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DEFINITIVE PROXY STATEMENT</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right="5020" w:firstLine="8"/>
        <w:spacing w:after="0" w:line="260" w:lineRule="exact"/>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880" w:hanging="42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80" w:hanging="42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80" w:hanging="922"/>
        <w:spacing w:after="0" w:line="277"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900" w:hanging="44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80" w:hanging="42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460" w:right="24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880" w:hanging="42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900" w:hanging="44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-2951480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-2660015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-2231390</wp:posOffset>
            </wp:positionV>
            <wp:extent cx="6011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-1931035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-1639570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-799465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51940"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AND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annual meeting of stockholders of ViaSat, Inc. will be held at the corporate offices of ViaSat at 6155 El Camino Real, Carlsbad, California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2005 at 8:00 a.m. for the following purposes:</w:t>
      </w:r>
    </w:p>
    <w:p>
      <w:pPr>
        <w:spacing w:after="0" w:line="103" w:lineRule="exact"/>
        <w:rPr>
          <w:sz w:val="20"/>
          <w:szCs w:val="20"/>
          <w:color w:val="auto"/>
        </w:rPr>
      </w:pPr>
    </w:p>
    <w:p>
      <w:pPr>
        <w:ind w:left="360" w:right="60" w:firstLine="269"/>
        <w:spacing w:after="0" w:line="264"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(3) directors for a three-year term to expire at the 2008 annual meeting of stockholders. Based upon the recommendation of ViaSat’s nominating and corporate governance committee, the present board of directors of ViaSat has nominated and recommends for election as directors the following persons:</w:t>
      </w:r>
    </w:p>
    <w:p>
      <w:pPr>
        <w:spacing w:after="0" w:line="73" w:lineRule="exact"/>
        <w:rPr>
          <w:rFonts w:ascii="Arial" w:cs="Arial" w:eastAsia="Arial" w:hAnsi="Arial"/>
          <w:sz w:val="18"/>
          <w:szCs w:val="18"/>
          <w:color w:val="auto"/>
        </w:rPr>
      </w:pPr>
    </w:p>
    <w:p>
      <w:pPr>
        <w:ind w:left="1260" w:hanging="10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 D. Dankberg</w:t>
      </w:r>
    </w:p>
    <w:p>
      <w:pPr>
        <w:spacing w:after="0" w:line="130" w:lineRule="exact"/>
        <w:rPr>
          <w:rFonts w:ascii="Arial" w:cs="Arial" w:eastAsia="Arial" w:hAnsi="Arial"/>
          <w:sz w:val="18"/>
          <w:szCs w:val="18"/>
          <w:color w:val="auto"/>
        </w:rPr>
      </w:pPr>
    </w:p>
    <w:p>
      <w:pPr>
        <w:ind w:left="1260" w:hanging="10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Michael B. Targoff</w:t>
      </w:r>
    </w:p>
    <w:p>
      <w:pPr>
        <w:spacing w:after="0" w:line="130" w:lineRule="exact"/>
        <w:rPr>
          <w:rFonts w:ascii="Arial" w:cs="Arial" w:eastAsia="Arial" w:hAnsi="Arial"/>
          <w:sz w:val="18"/>
          <w:szCs w:val="18"/>
          <w:color w:val="auto"/>
        </w:rPr>
      </w:pPr>
    </w:p>
    <w:p>
      <w:pPr>
        <w:ind w:left="1260" w:hanging="10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Harvey P. White</w:t>
      </w:r>
    </w:p>
    <w:p>
      <w:pPr>
        <w:spacing w:after="0" w:line="117" w:lineRule="exact"/>
        <w:rPr>
          <w:rFonts w:ascii="Arial" w:cs="Arial" w:eastAsia="Arial" w:hAnsi="Arial"/>
          <w:sz w:val="18"/>
          <w:szCs w:val="18"/>
          <w:color w:val="auto"/>
        </w:rPr>
      </w:pPr>
    </w:p>
    <w:p>
      <w:pPr>
        <w:ind w:left="360" w:right="200" w:firstLine="269"/>
        <w:spacing w:after="0" w:line="277"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amend ViaSat’s Employee Stock Purchase Plan to increase the number of shares authorized for issuance under the Employee Stock Purchase Plan by 500,000 shares.</w:t>
      </w:r>
    </w:p>
    <w:p>
      <w:pPr>
        <w:spacing w:after="0" w:line="75" w:lineRule="exact"/>
        <w:rPr>
          <w:rFonts w:ascii="Arial" w:cs="Arial" w:eastAsia="Arial" w:hAnsi="Arial"/>
          <w:sz w:val="18"/>
          <w:szCs w:val="18"/>
          <w:color w:val="auto"/>
        </w:rPr>
      </w:pPr>
    </w:p>
    <w:p>
      <w:pPr>
        <w:ind w:left="800" w:hanging="17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our annual meeting or any adjournment or postponement of the meeting.</w:t>
      </w:r>
    </w:p>
    <w:p>
      <w:pPr>
        <w:spacing w:after="0" w:line="129" w:lineRule="exact"/>
        <w:rPr>
          <w:sz w:val="20"/>
          <w:szCs w:val="20"/>
          <w:color w:val="auto"/>
        </w:rPr>
      </w:pPr>
    </w:p>
    <w:p>
      <w:pPr>
        <w:jc w:val="both"/>
        <w:ind w:right="100" w:firstLine="267"/>
        <w:spacing w:after="0" w:line="277" w:lineRule="auto"/>
        <w:rPr>
          <w:sz w:val="20"/>
          <w:szCs w:val="20"/>
          <w:color w:val="auto"/>
        </w:rPr>
      </w:pPr>
      <w:r>
        <w:rPr>
          <w:rFonts w:ascii="Arial" w:cs="Arial" w:eastAsia="Arial" w:hAnsi="Arial"/>
          <w:sz w:val="18"/>
          <w:szCs w:val="18"/>
          <w:color w:val="auto"/>
        </w:rPr>
        <w:t>The board of directors has fixed the close of business on July 18, 2005 as the record date for the determination of stockholders entitled to notice of and to vote at the annual meeting and at any adjournment or postponement of the meeting.</w:t>
      </w:r>
    </w:p>
    <w:p>
      <w:pPr>
        <w:spacing w:after="0" w:line="58" w:lineRule="exact"/>
        <w:rPr>
          <w:sz w:val="20"/>
          <w:szCs w:val="20"/>
          <w:color w:val="auto"/>
        </w:rPr>
      </w:pPr>
    </w:p>
    <w:p>
      <w:pPr>
        <w:jc w:val="both"/>
        <w:ind w:right="100" w:firstLine="260"/>
        <w:spacing w:after="0" w:line="266"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attend the annual meeting, please complete, sign and date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proxy and return it promptly. </w:t>
      </w:r>
      <w:r>
        <w:rPr>
          <w:rFonts w:ascii="Arial" w:cs="Arial" w:eastAsia="Arial" w:hAnsi="Arial"/>
          <w:sz w:val="18"/>
          <w:szCs w:val="18"/>
          <w:color w:val="auto"/>
        </w:rPr>
        <w:t>If you plan to attend the annual meeting and wish to vote your shares personally, you may do so at any time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is voted.</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92075</wp:posOffset>
            </wp:positionV>
            <wp:extent cx="185229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2005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your shares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058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 About the Annual Meeting and Voting</w:t>
              </w:r>
            </w:hyperlink>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580" w:type="dxa"/>
            <w:vAlign w:val="bottom"/>
            <w:gridSpan w:val="14"/>
            <w:vMerge w:val="continue"/>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Proposal 1: Election of Directors</w:t>
              </w:r>
            </w:hyperlink>
          </w:p>
        </w:tc>
        <w:tc>
          <w:tcPr>
            <w:tcW w:w="2080" w:type="dxa"/>
            <w:vAlign w:val="bottom"/>
            <w:tcBorders>
              <w:top w:val="single" w:sz="8" w:color="0000EE"/>
            </w:tcBorders>
            <w:gridSpan w:val="6"/>
          </w:tcPr>
          <w:p>
            <w:pPr>
              <w:spacing w:after="0"/>
              <w:rPr>
                <w:sz w:val="17"/>
                <w:szCs w:val="17"/>
                <w:color w:val="auto"/>
              </w:rPr>
            </w:pPr>
          </w:p>
        </w:tc>
        <w:tc>
          <w:tcPr>
            <w:tcW w:w="6000" w:type="dxa"/>
            <w:vAlign w:val="bottom"/>
            <w:gridSpan w:val="3"/>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Members of the Board Continuing in Office</w:t>
              </w:r>
            </w:hyperlink>
          </w:p>
        </w:tc>
        <w:tc>
          <w:tcPr>
            <w:tcW w:w="7220" w:type="dxa"/>
            <w:vAlign w:val="bottom"/>
            <w:gridSpan w:val="8"/>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Committees of the Board</w:t>
              </w:r>
            </w:hyperlink>
          </w:p>
        </w:tc>
        <w:tc>
          <w:tcPr>
            <w:tcW w:w="8660" w:type="dxa"/>
            <w:vAlign w:val="bottom"/>
            <w:gridSpan w:val="11"/>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1"/>
              </w:rPr>
            </w:pPr>
            <w:hyperlink w:anchor="page12">
              <w:r>
                <w:rPr>
                  <w:rFonts w:ascii="Arial" w:cs="Arial" w:eastAsia="Arial" w:hAnsi="Arial"/>
                  <w:sz w:val="18"/>
                  <w:szCs w:val="18"/>
                  <w:b w:val="1"/>
                  <w:bCs w:val="1"/>
                  <w:color w:val="0000EE"/>
                  <w:w w:val="91"/>
                </w:rPr>
                <w:t>Report of the Audit Committee</w:t>
              </w:r>
            </w:hyperlink>
          </w:p>
        </w:tc>
        <w:tc>
          <w:tcPr>
            <w:tcW w:w="8180" w:type="dxa"/>
            <w:vAlign w:val="bottom"/>
            <w:gridSpan w:val="10"/>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0"/>
              </w:rPr>
            </w:pPr>
            <w:hyperlink w:anchor="page14">
              <w:r>
                <w:rPr>
                  <w:rFonts w:ascii="Arial" w:cs="Arial" w:eastAsia="Arial" w:hAnsi="Arial"/>
                  <w:sz w:val="18"/>
                  <w:szCs w:val="18"/>
                  <w:b w:val="1"/>
                  <w:bCs w:val="1"/>
                  <w:color w:val="0000EE"/>
                  <w:w w:val="90"/>
                </w:rPr>
                <w:t>Security Ownership of Certain Beneficial Owners and Management</w:t>
              </w:r>
            </w:hyperlink>
          </w:p>
        </w:tc>
        <w:tc>
          <w:tcPr>
            <w:tcW w:w="5380" w:type="dxa"/>
            <w:vAlign w:val="bottom"/>
            <w:gridSpan w:val="2"/>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4"/>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Executive Compensation and 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4"/>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Compensation and Human Resources Committee Report on 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54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Performance Graph</w:t>
              </w:r>
            </w:hyperlink>
          </w:p>
        </w:tc>
        <w:tc>
          <w:tcPr>
            <w:tcW w:w="40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5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Proposal 2: Amendment to Employee Stock Purchase Plan</w:t>
              </w:r>
            </w:hyperlink>
          </w:p>
        </w:tc>
        <w:tc>
          <w:tcPr>
            <w:tcW w:w="60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4"/>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Relationship with Independent Accountants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Certain Relationships and Related Transactions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Section 16(a) Beneficial Ownership Reporting Compliance</w:t>
              </w:r>
            </w:hyperlink>
          </w:p>
        </w:tc>
        <w:tc>
          <w:tcPr>
            <w:tcW w:w="61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Stockholder Proposals for the 2006 Annual Meeting</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6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Matters</w:t>
              </w:r>
            </w:hyperlink>
          </w:p>
        </w:tc>
        <w:tc>
          <w:tcPr>
            <w:tcW w:w="662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808080"/>
            </w:tcBorders>
          </w:tcPr>
          <w:p>
            <w:pPr>
              <w:spacing w:after="0"/>
              <w:rPr>
                <w:sz w:val="21"/>
                <w:szCs w:val="21"/>
                <w:color w:val="auto"/>
              </w:rPr>
            </w:pPr>
          </w:p>
        </w:tc>
        <w:tc>
          <w:tcPr>
            <w:tcW w:w="1100" w:type="dxa"/>
            <w:vAlign w:val="bottom"/>
            <w:tcBorders>
              <w:top w:val="single" w:sz="8" w:color="0000EE"/>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340" w:type="dxa"/>
            <w:vAlign w:val="bottom"/>
            <w:tcBorders>
              <w:bottom w:val="single" w:sz="8" w:color="808080"/>
            </w:tcBorders>
          </w:tcPr>
          <w:p>
            <w:pPr>
              <w:spacing w:after="0"/>
              <w:rPr>
                <w:sz w:val="21"/>
                <w:szCs w:val="21"/>
                <w:color w:val="auto"/>
              </w:rPr>
            </w:pPr>
          </w:p>
        </w:tc>
        <w:tc>
          <w:tcPr>
            <w:tcW w:w="404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411"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5194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STOCKHOLDERS AND PROXY STATEMENT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9, 2005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8:00 a.m. at the corporate offices of ViaSat, 6155 El Camino Real, Carlsbad, California.</w:t>
      </w:r>
    </w:p>
    <w:p>
      <w:pPr>
        <w:spacing w:after="0" w:line="31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121"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2005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79"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We intend to begin mailing this proxy statement, the attached notice of annual meeting and the enclosed proxy card on or about August 4, 2005 to all stockholders of record entitled to vote at the annual meeting. Only stockholders who owned ViaSat common stock at the close of business on July 18, 2005 are entitled to vote at the annual meeting. On this record date, there were 26,971,186 shares of ViaSat common stock outstanding. Common stock is our only class of stock entitled to vote. We are also sending along with this proxy statement our 2005 Annual Report, which includes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i w:val="1"/>
          <w:iCs w:val="1"/>
          <w:color w:val="auto"/>
        </w:rPr>
        <w:t xml:space="preserve">Proposal 1: Election of Directors. </w:t>
      </w:r>
      <w:r>
        <w:rPr>
          <w:rFonts w:ascii="Arial" w:cs="Arial" w:eastAsia="Arial" w:hAnsi="Arial"/>
          <w:sz w:val="16"/>
          <w:szCs w:val="16"/>
          <w:color w:val="auto"/>
        </w:rPr>
        <w:t>The election of three (3) directors to serve a three-year term. Based upon the recommendation of ViaSat’s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governance committee, the present board of directors of ViaSat has nominated and recommends for election as directors the following persons:</w:t>
      </w:r>
    </w:p>
    <w:p>
      <w:pPr>
        <w:spacing w:after="0" w:line="16"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D. Dankberg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B. Targoff</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Harvey P. White</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i w:val="1"/>
          <w:iCs w:val="1"/>
          <w:color w:val="auto"/>
        </w:rPr>
        <w:t xml:space="preserve">Proposal 2: Amendment to Employee Stock Purchase Plan. </w:t>
      </w:r>
      <w:r>
        <w:rPr>
          <w:rFonts w:ascii="Arial" w:cs="Arial" w:eastAsia="Arial" w:hAnsi="Arial"/>
          <w:sz w:val="18"/>
          <w:szCs w:val="18"/>
          <w:color w:val="auto"/>
        </w:rPr>
        <w:t>To consider and vote upon a proposal to amend ViaSat’s Employee Stock Purchase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the number of shares authorized for issuance under the Employee Stock Purchase Plan by 500,000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ViaSat common stock that you own as of the close of business on July 18, 2005 entitles you to one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121"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62"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If you properly complete your proxy card and send it to us in time to vote, your proxy (i.e., one of the individuals named on your proxy card) will vote your shares as you have directed. If you sign the proxy card but do not make specific choices, your shares will be voted as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If any other matter is presented at the annual meeting, your proxy (one of the individuals named on your proxy card) will vote in accordance with his best judgment. As of the date of this proxy statement, we knew of no matters that needed to be acted on at the meeting, other than those discussed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If you give us your proxy, you may revoke it at any time before it is exercised. You may revoke your proxy in any one of the three following ways:</w:t>
      </w:r>
    </w:p>
    <w:p>
      <w:pPr>
        <w:spacing w:after="0" w:line="129"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may notify ViaSat’s corporate secretary, Gregory D. Monahan, in writing before the annual meeting that you have revoked your proxy, or</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121"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18, 2005, the record date for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121" w:lineRule="exact"/>
        <w:rPr>
          <w:sz w:val="20"/>
          <w:szCs w:val="20"/>
          <w:color w:val="auto"/>
        </w:rPr>
      </w:pPr>
    </w:p>
    <w:p>
      <w:pPr>
        <w:jc w:val="both"/>
        <w:ind w:right="540" w:firstLine="270"/>
        <w:spacing w:after="0" w:line="286" w:lineRule="auto"/>
        <w:rPr>
          <w:sz w:val="20"/>
          <w:szCs w:val="20"/>
          <w:color w:val="auto"/>
        </w:rPr>
      </w:pPr>
      <w:r>
        <w:rPr>
          <w:rFonts w:ascii="Arial" w:cs="Arial" w:eastAsia="Arial" w:hAnsi="Arial"/>
          <w:sz w:val="17"/>
          <w:szCs w:val="17"/>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ind w:right="680" w:firstLine="267"/>
        <w:spacing w:after="0" w:line="277"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13,485,594 shares, constitutes a quorum at the meeting, permitting us to conduct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The three nominees for director that receive the most votes will be elected.</w:t>
      </w:r>
    </w:p>
    <w:p>
      <w:pPr>
        <w:spacing w:after="0" w:line="117" w:lineRule="exact"/>
        <w:rPr>
          <w:sz w:val="20"/>
          <w:szCs w:val="20"/>
          <w:color w:val="auto"/>
        </w:rPr>
      </w:pPr>
    </w:p>
    <w:p>
      <w:pPr>
        <w:ind w:right="560" w:firstLine="270"/>
        <w:spacing w:after="0" w:line="342" w:lineRule="auto"/>
        <w:rPr>
          <w:sz w:val="20"/>
          <w:szCs w:val="20"/>
          <w:color w:val="auto"/>
        </w:rPr>
      </w:pPr>
      <w:r>
        <w:rPr>
          <w:rFonts w:ascii="Arial" w:cs="Arial" w:eastAsia="Arial" w:hAnsi="Arial"/>
          <w:sz w:val="16"/>
          <w:szCs w:val="16"/>
          <w:i w:val="1"/>
          <w:iCs w:val="1"/>
          <w:color w:val="auto"/>
        </w:rPr>
        <w:t xml:space="preserve">Proposal 2: Amendment to Employee Stock Purchase Plan. </w:t>
      </w:r>
      <w:r>
        <w:rPr>
          <w:rFonts w:ascii="Arial" w:cs="Arial" w:eastAsia="Arial" w:hAnsi="Arial"/>
          <w:sz w:val="16"/>
          <w:szCs w:val="16"/>
          <w:color w:val="auto"/>
        </w:rPr>
        <w:t>The approval of the amendment to the Employee Stock Purchase Plan will require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a majority of the shares of common stock present or represented by proxy and entitled to vote at the annual meeting.</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Voting results will be tabulated and certified by our transfer agent, Computershare Investor Services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121"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Shares held by persons attending the annual meeting but not voting, and shares represented by proxies that reflect abstentions as to a particular proposal will be counted as present for purposes of determining the presence of a quorum. Abstentions are treated as shares present in person or by proxy and entitled to vote, so abstaining has the same effect as a negative vote for purposes of determining whether our stockholders have approved the amendment to the Employee Stock Purchase Plan. However, because directors are elected by a plurality of votes cast, abstentions will not be counted in determining which nominees received the largest number of votes at the annual meeting.</w:t>
      </w:r>
    </w:p>
    <w:p>
      <w:pPr>
        <w:spacing w:after="0" w:line="64"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color w:val="auto"/>
        </w:rPr>
        <w:t>Shares represented by proxies that reflect a “broker non-vote” will be counted for purposes of determining whether a quorum exists. A “broker non-vote” occurs when a nominee holding shares for a beneficial owner has not received instructions from the beneficial owner and does not have discretionary</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authority to vote the shares. As a result, broker non-votes will not be counted for purposes of determining whether our stockholders have approved the amendment to the Employee Stock Purchase Plan. In addition, because directors are elected by a plurality of votes cast, broker non-votes will not be counted in determining which nominees received the largest number of votes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121"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If you would like a copy of our Annual Report on Form 10-K for the fiscal year ended April 1, 2005 that we filed with the Securities and Exchange Commission (SEC), we will send you one without charge. Please write to:</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Investor Relations</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6155 El Camino Real, Carlsbad, California 92009</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ir@viasat.com</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right="120" w:firstLine="270"/>
        <w:spacing w:after="0" w:line="286" w:lineRule="auto"/>
        <w:rPr>
          <w:sz w:val="20"/>
          <w:szCs w:val="20"/>
          <w:color w:val="auto"/>
        </w:rPr>
      </w:pPr>
      <w:r>
        <w:rPr>
          <w:rFonts w:ascii="Arial" w:cs="Arial" w:eastAsia="Arial" w:hAnsi="Arial"/>
          <w:sz w:val="17"/>
          <w:szCs w:val="17"/>
          <w:color w:val="auto"/>
        </w:rPr>
        <w:t>Our board of directors is divided into three classes with one class of our directors standing for election each year, generally for a three-year term. You are requested to vote for three nominees for director, whose terms expire at this annual meeting and who will be elected for a new three-year term and until their successors are elected and qualified. The nominees are Mark D. Dankberg, Michael B. Targoff and Harvey P. White.</w:t>
      </w:r>
    </w:p>
    <w:p>
      <w:pPr>
        <w:spacing w:after="0" w:line="57"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If no contrary indication is made, proxies in the accompanying form are to be voted for Mr. Dankberg, Mr. Targoff and Mr. White or in the event that Mr. Dankberg, Mr. Targoff or Mr. White is not a candidate or is unable to serve as a director at the time of the election (which is not currently expected), for any nominee who is designated by our board of directors to fill the vacancy. Mr. Dankberg, Mr. Targoff and Mr. White are members of our present board of directors.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2008 Annual Meeting of Stockholders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Present Position with ViaSat</w:t>
            </w: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Mark D. Dankberg</w:t>
            </w:r>
          </w:p>
        </w:tc>
        <w:tc>
          <w:tcPr>
            <w:tcW w:w="34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Chairman and</w:t>
            </w:r>
          </w:p>
        </w:tc>
      </w:tr>
      <w:tr>
        <w:trPr>
          <w:trHeight w:val="216"/>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Michael B. Targoff</w:t>
            </w:r>
          </w:p>
        </w:tc>
        <w:tc>
          <w:tcPr>
            <w:tcW w:w="900" w:type="dxa"/>
            <w:vAlign w:val="bottom"/>
            <w:gridSpan w:val="2"/>
          </w:tcPr>
          <w:p>
            <w:pPr>
              <w:jc w:val="right"/>
              <w:ind w:right="19"/>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Harvey P. White</w:t>
            </w:r>
          </w:p>
        </w:tc>
        <w:tc>
          <w:tcPr>
            <w:tcW w:w="900" w:type="dxa"/>
            <w:vAlign w:val="bottom"/>
            <w:gridSpan w:val="2"/>
          </w:tcPr>
          <w:p>
            <w:pPr>
              <w:jc w:val="right"/>
              <w:ind w:right="19"/>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94"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MARK D. DANKBERG was a founder of ViaSat and has served as Chairman of the Board and Chief Executive Officer of ViaSat since its inception in May 1986. Mr. Dankberg also serves as a director of TrellisWare Technologies, Inc., a privately-held, majority-owned subsidiary of ViaSat that develops advanced signal processing technologies for communication applications. In addition, Mr. Dankberg is a director, Chairman of the Corporate Strategy Committee and a member of the Audit and Nominating and Corporate Governance Committee of REMEC, Inc., a publicly-held worldwide manufacturer of microwave components for defense, commercial communications and related applications. Prior to founding ViaSat, he was Assistant Vice President of M/ A-COM Linkabit, a manufacturer of satellite telecommunications equipment, from 1979 to 1986 and Communications Engineer for Rockwell International Corporation from 1977 to 1979. Mr. Dankberg holds B.S.E.E. and M.E.E. degrees from Rice University.</w:t>
      </w:r>
    </w:p>
    <w:p>
      <w:pPr>
        <w:spacing w:after="0" w:line="70" w:lineRule="exact"/>
        <w:rPr>
          <w:sz w:val="20"/>
          <w:szCs w:val="20"/>
          <w:color w:val="auto"/>
        </w:rPr>
      </w:pPr>
    </w:p>
    <w:p>
      <w:pPr>
        <w:ind w:right="20" w:firstLine="270"/>
        <w:spacing w:after="0" w:line="284" w:lineRule="auto"/>
        <w:rPr>
          <w:sz w:val="20"/>
          <w:szCs w:val="20"/>
          <w:color w:val="auto"/>
        </w:rPr>
      </w:pPr>
      <w:r>
        <w:rPr>
          <w:rFonts w:ascii="Arial" w:cs="Arial" w:eastAsia="Arial" w:hAnsi="Arial"/>
          <w:sz w:val="16"/>
          <w:szCs w:val="16"/>
          <w:color w:val="auto"/>
        </w:rPr>
        <w:t>MICHAEL B. TARGOFF has been a director of ViaSat since February 2003. Mr. Targoff is founder of Michael B. Targoff and Co., a company which seeks active or controlling investments in telecommunications and related industry early stage companies. From its formation in January 1996 through January 1998, Mr. Targoff was President and Chief Operating Officer of Loral Space &amp; Communications Limited. Mr. Targoff had been Senior Vice President of Loral Corporation prior to the combination of Loral’s defense electronics and systems integration businesses with Lockheed Martin in 1996. Mr. Targoff is the Chairman of the Board of Communication &amp; Power Industries (CPI); a director of Leap Wireless International, Inc., (Leap) a publicly-held wireless communication service provider; and Infocrossing, Inc., a publicly-held provider of information technology and business process outsourcing solutions.</w:t>
      </w:r>
    </w:p>
    <w:p>
      <w:pPr>
        <w:spacing w:after="0" w:line="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Mr. Targoff is Chairman of the audit committees of CPI and Leap. Mr. Targoff is also Chairman of the board of directors of three privately-held technology and telecommunications companies. Before joining Loral Corporation in 1981, Mr. Targoff was a Partner in the New York law firm of Willkie Farr &amp; Gallagher LLP. Mr. Targoff holds a B.A. degree from Brown University and a J.D. degree from Columbia University School of Law, where he was a Hamilton Fisk Scholar and Editor of the Columbia Journal of Law and Social Problems.</w:t>
      </w:r>
    </w:p>
    <w:p>
      <w:pPr>
        <w:spacing w:after="0" w:line="82"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HARVEY P. WHITE has been a director of ViaSat since May 2005. Beginning June 2004, Mr. White served as Chairman of (SHW)2, a business development and consulting firm. From September 1998 through June 2004, Mr. White served as Chairman and Chief Executive Officer of Leap Wireless International, Inc. Prior to that, Mr. White was a co-founder of QUALCOMM, Incorporated where he held various positions including director, President, and Chief Operating Officer. Mr. White attended West Virginia Wesleyan College and Marshall University where he received a B.A. degree in Economics.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Expiring at the 2006 Annual Meeting of Stockholders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4"/>
                <w:szCs w:val="14"/>
                <w:color w:val="auto"/>
              </w:rPr>
            </w:pPr>
          </w:p>
        </w:tc>
        <w:tc>
          <w:tcPr>
            <w:tcW w:w="3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Present Position with ViaSat</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Dr. Robert W. Johnson</w:t>
            </w:r>
          </w:p>
        </w:tc>
        <w:tc>
          <w:tcPr>
            <w:tcW w:w="3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620" w:type="dxa"/>
            <w:vAlign w:val="bottom"/>
          </w:tcPr>
          <w:p>
            <w:pPr>
              <w:ind w:left="1560"/>
              <w:spacing w:after="0"/>
              <w:rPr>
                <w:sz w:val="20"/>
                <w:szCs w:val="20"/>
                <w:color w:val="auto"/>
              </w:rPr>
            </w:pPr>
            <w:r>
              <w:rPr>
                <w:rFonts w:ascii="Arial" w:cs="Arial" w:eastAsia="Arial" w:hAnsi="Arial"/>
                <w:sz w:val="18"/>
                <w:szCs w:val="18"/>
                <w:color w:val="auto"/>
              </w:rPr>
              <w:t>Director</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John P. Stenbit</w:t>
            </w: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0"/>
                <w:szCs w:val="20"/>
                <w:color w:val="auto"/>
              </w:rPr>
            </w:pPr>
          </w:p>
        </w:tc>
        <w:tc>
          <w:tcPr>
            <w:tcW w:w="3620" w:type="dxa"/>
            <w:vAlign w:val="bottom"/>
          </w:tcPr>
          <w:p>
            <w:pPr>
              <w:ind w:left="156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DR. ROBERT W. JOHNSON has been a director of ViaSat since 1986. Dr. Johnson has worked in the venture capital industry since 1980, and has acted as an independent investor since 1988. Dr. Johnson currently serves as a director of Hi/fn Inc., a publicly-held company that manufactures semiconductors and software for networking and data storage industries. Dr. Johnson holds B.S. and M.S. degrees in Electrical Engineering from Stanford University and M.B.A. and D.B.A. degrees from Harvard Business School.</w:t>
      </w:r>
    </w:p>
    <w:p>
      <w:pPr>
        <w:spacing w:after="0" w:line="7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JOHN P. STENBIT joined ViaSat as a director in August 2004. From 2001 to his retirement in March 2004, Mr. Stenbit served as Assistant Secretary of Defense for Command, Control, Communications, and Intelligence (C3I) and later as Assistant Secretary of Defense of Networks and Information Integration/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advisory committees for the Director of the Central Intelligence Agency and the Administrator of the Federal Aviation Administration. Mr. Stenbit currently serves on the board of directors of SM&amp;A Corporation, Cogent, Inc., SI International and The Mitre Corp. Mr. Stenbit also serves on the Defense Science Board, the Technical Advisory Group of the National Reconnaissance Office, the Advisory Board of the National Security Agency, the Science Advisory Group of the U.S. Strategic Command and the Naval Studies Board.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Expiring at the 2007 Annual Meeting of Stockholders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4"/>
                <w:szCs w:val="14"/>
                <w:color w:val="auto"/>
              </w:rPr>
            </w:pPr>
          </w:p>
        </w:tc>
        <w:tc>
          <w:tcPr>
            <w:tcW w:w="3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Present Position with ViaSat</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B. Allen Lay</w:t>
            </w:r>
          </w:p>
        </w:tc>
        <w:tc>
          <w:tcPr>
            <w:tcW w:w="3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3620" w:type="dxa"/>
            <w:vAlign w:val="bottom"/>
          </w:tcPr>
          <w:p>
            <w:pPr>
              <w:ind w:left="1560"/>
              <w:spacing w:after="0"/>
              <w:rPr>
                <w:sz w:val="20"/>
                <w:szCs w:val="20"/>
                <w:color w:val="auto"/>
              </w:rPr>
            </w:pPr>
            <w:r>
              <w:rPr>
                <w:rFonts w:ascii="Arial" w:cs="Arial" w:eastAsia="Arial" w:hAnsi="Arial"/>
                <w:sz w:val="18"/>
                <w:szCs w:val="18"/>
                <w:color w:val="auto"/>
              </w:rPr>
              <w:t>Director</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Dr. Jeffrey M. Nash</w:t>
            </w: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3620" w:type="dxa"/>
            <w:vAlign w:val="bottom"/>
          </w:tcPr>
          <w:p>
            <w:pPr>
              <w:ind w:left="156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B. ALLEN LAY has been a director of ViaSat since 1996. From 1983 to 2001, he was a General Partner of Southern California Ventures, a venture capital company. From 2001 to the present he has acted as a consultant to the venture capital industry. Mr. Lay is currently a director of Physical Optics Corporation, a privately-held optical systems company; Oncotech, Inc., a privately-held medical diagnostic company; and NPI, LLC, a privately-held developer and supplier of proprietary and patentable ingredients for dietary supplements.</w:t>
      </w:r>
    </w:p>
    <w:p>
      <w:pPr>
        <w:spacing w:after="0" w:line="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DR. JEFFREY M. NASH joined ViaSat as a director in 1987. From 1994 until 2003, he served as President of Digital Perceptions Inc., a privately-held consulting and software development firm serving the defense, remote sensing, communications, aviation and commercial computer industries. Since September 2003, he has been President and Chairman of Inclined Plane Inc., a privately-held consulting and intellectual property development company serving the defense, communications and media industries. In addition to his role at ViaSat, Dr. Nash serves as a director of two San Diego-based companies: Pepperball Technologies, Inc., a privately-held manufacturer of non-lethal personal defense equipment for law enforcement, security and personal defense applications and REMEC, Inc., a publicly-held worldwide manufacturer of microwave components for defense, commercial communications and related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If a quorum is present and voting at the annual meeting, the three nominees receiving the highest number of votes will be elected to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Votes withheld from any nominee, abstentions and broker non-votes will be counted only for purposes of determining a quorum.</w:t>
      </w:r>
    </w:p>
    <w:p>
      <w:pPr>
        <w:spacing w:after="0" w:line="99" w:lineRule="exact"/>
        <w:rPr>
          <w:sz w:val="20"/>
          <w:szCs w:val="20"/>
          <w:color w:val="auto"/>
        </w:rPr>
      </w:pPr>
    </w:p>
    <w:p>
      <w:pPr>
        <w:jc w:val="both"/>
        <w:ind w:right="240" w:firstLine="270"/>
        <w:spacing w:after="0" w:line="266" w:lineRule="auto"/>
        <w:rPr>
          <w:sz w:val="20"/>
          <w:szCs w:val="20"/>
          <w:color w:val="auto"/>
        </w:rPr>
      </w:pPr>
      <w:r>
        <w:rPr>
          <w:rFonts w:ascii="Arial" w:cs="Arial" w:eastAsia="Arial" w:hAnsi="Arial"/>
          <w:sz w:val="18"/>
          <w:szCs w:val="18"/>
          <w:b w:val="1"/>
          <w:bCs w:val="1"/>
          <w:color w:val="auto"/>
        </w:rPr>
        <w:t>OUR BOARD OF DIRECTORS UNANIMOUSLY RECOMMENDS THAT THE STOCKHOLDERS VOTE FOR THE ELECTION OF MR. DANKBERG, MR. TARGOFF AND MR. WHITE. PROXIES SOLICITED BY THE BOARD OF DIRECTORS WILL BE SO VOTED UNLESS YOU SPECIFY OTHERWISE ON YOUR PROXY CARD.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400" w:firstLine="260"/>
        <w:spacing w:after="0" w:line="264" w:lineRule="auto"/>
        <w:rPr>
          <w:sz w:val="20"/>
          <w:szCs w:val="20"/>
          <w:color w:val="auto"/>
        </w:rPr>
      </w:pPr>
      <w:r>
        <w:rPr>
          <w:rFonts w:ascii="Arial" w:cs="Arial" w:eastAsia="Arial" w:hAnsi="Arial"/>
          <w:sz w:val="18"/>
          <w:szCs w:val="18"/>
          <w:color w:val="auto"/>
        </w:rPr>
        <w:t>As required under the Nasdaq Stock Market qualification standards, our board of directors has affirmatively determined that, with the exception of Mr. Dankberg, each of our board members is an independent director within the meaning of the applicable Nasdaq Stock Market qualification standards. Mr. Dankberg is not considered independent because he is an executive officer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During the fiscal year 2005, our board of directors met nine times including telephonic meetings. In that year, each director attended at least 75% of the aggregate of all meetings held by our board of directors and all meetings held by all committees of our board of directors on which the director served. As required under Nasdaq Stock Market qualification standards, our independent directors meet in regularly scheduled executive sessions at which only independent directors are present.</w:t>
      </w:r>
    </w:p>
    <w:p>
      <w:pPr>
        <w:spacing w:after="0" w:line="183" w:lineRule="exact"/>
        <w:rPr>
          <w:sz w:val="20"/>
          <w:szCs w:val="20"/>
          <w:color w:val="auto"/>
        </w:rPr>
      </w:pPr>
    </w:p>
    <w:p>
      <w:pPr>
        <w:jc w:val="center"/>
        <w:ind w:right="9460"/>
        <w:spacing w:after="0"/>
        <w:rPr>
          <w:sz w:val="20"/>
          <w:szCs w:val="20"/>
          <w:color w:val="auto"/>
        </w:rPr>
      </w:pPr>
      <w:r>
        <w:rPr>
          <w:rFonts w:ascii="Arial" w:cs="Arial" w:eastAsia="Arial" w:hAnsi="Arial"/>
          <w:sz w:val="16"/>
          <w:szCs w:val="16"/>
          <w:b w:val="1"/>
          <w:bCs w:val="1"/>
          <w:color w:val="auto"/>
        </w:rPr>
        <w:t>Committees of the Board</w:t>
      </w:r>
    </w:p>
    <w:p>
      <w:pPr>
        <w:spacing w:after="0" w:line="90" w:lineRule="exact"/>
        <w:rPr>
          <w:sz w:val="20"/>
          <w:szCs w:val="20"/>
          <w:color w:val="auto"/>
        </w:rPr>
      </w:pPr>
    </w:p>
    <w:p>
      <w:pPr>
        <w:jc w:val="center"/>
        <w:ind w:right="94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audit committee of our board of directors currently consists of Dr. Johnson, Mr. Lay and Dr. Nash. The audit committee met five times including telephonic meetings during fiscal year 2005. All members of the audit committee are independent directors, as defined in the Nasdaq Stock Market qualification standards and by Section 10A of the Exchange Act. Our board of directors has determined that Mr. Lay qualifies as an “audit committee financial expert” as that term is defined in the rules and regulations established by the SEC. The audit committee is governed by a written charter adopted by our board of directors. The functions of the audit committee include:</w:t>
      </w:r>
    </w:p>
    <w:p>
      <w:pPr>
        <w:spacing w:after="0" w:line="80"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meeting with our management periodically to consider the adequacy of our internal controls and the quality and objectivity of our financial reporting;</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and with internal financial personnel regarding these matters;</w:t>
      </w:r>
    </w:p>
    <w:p>
      <w:pPr>
        <w:spacing w:after="0" w:line="130" w:lineRule="exact"/>
        <w:rPr>
          <w:rFonts w:ascii="Arial" w:cs="Arial" w:eastAsia="Arial" w:hAnsi="Arial"/>
          <w:sz w:val="18"/>
          <w:szCs w:val="18"/>
          <w:color w:val="auto"/>
        </w:rPr>
      </w:pPr>
    </w:p>
    <w:p>
      <w:pPr>
        <w:ind w:left="460" w:right="260" w:hanging="101"/>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independence and performance of our independent registered public accounting firm and recommending to our board of directors the engagement of our independent registered public accounting firm;</w:t>
      </w:r>
    </w:p>
    <w:p>
      <w:pPr>
        <w:spacing w:after="0" w:line="75" w:lineRule="exact"/>
        <w:rPr>
          <w:rFonts w:ascii="Arial" w:cs="Arial" w:eastAsia="Arial" w:hAnsi="Arial"/>
          <w:sz w:val="18"/>
          <w:szCs w:val="18"/>
          <w:color w:val="auto"/>
        </w:rPr>
      </w:pPr>
    </w:p>
    <w:p>
      <w:pPr>
        <w:ind w:left="460" w:right="160" w:hanging="101"/>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86"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our audited and unaudited published financial statements and reports and discussing the statements and reports with our management and our independent registered public accounting firm, including any significant adjustments, management judgments and estimates, new accounting policies and disagreements with management; and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our financial plans and reporting recommendations to our full board for approval and to authorize action.</w:t>
      </w:r>
    </w:p>
    <w:p>
      <w:pPr>
        <w:spacing w:after="0" w:line="117"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Both our independent registered public accounting firm and internal financial personnel meet privately with our audit committee and have unrestricted access to this committee.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and Human Resources Committee</w:t>
      </w:r>
    </w:p>
    <w:p>
      <w:pPr>
        <w:spacing w:after="0" w:line="117" w:lineRule="exact"/>
        <w:rPr>
          <w:sz w:val="20"/>
          <w:szCs w:val="20"/>
          <w:color w:val="auto"/>
        </w:rPr>
      </w:pPr>
    </w:p>
    <w:p>
      <w:pPr>
        <w:ind w:right="180" w:firstLine="267"/>
        <w:spacing w:after="0" w:line="286" w:lineRule="auto"/>
        <w:rPr>
          <w:sz w:val="20"/>
          <w:szCs w:val="20"/>
          <w:color w:val="auto"/>
        </w:rPr>
      </w:pPr>
      <w:r>
        <w:rPr>
          <w:rFonts w:ascii="Arial" w:cs="Arial" w:eastAsia="Arial" w:hAnsi="Arial"/>
          <w:sz w:val="17"/>
          <w:szCs w:val="17"/>
          <w:color w:val="auto"/>
        </w:rPr>
        <w:t>The compensation and human resources committee of our board of directors currently consists of Drs. Johnson and Nash and Mr. Stenbit. The compensation and human resources committee met five times including telephonic meetings during fiscal year 2005. All members of the compensation and human resources committee are independent directors, as defined in the Nasdaq Stock Market qualification standards.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compensation and human resources committee is governed by a written charter approved by our board of directors. The functions of the compensation and human resources committee include:</w:t>
      </w:r>
    </w:p>
    <w:p>
      <w:pPr>
        <w:spacing w:after="0" w:line="62" w:lineRule="exact"/>
        <w:rPr>
          <w:sz w:val="20"/>
          <w:szCs w:val="20"/>
          <w:color w:val="auto"/>
        </w:rPr>
      </w:pPr>
    </w:p>
    <w:p>
      <w:pPr>
        <w:ind w:left="460" w:right="40" w:hanging="101"/>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and, as it deems appropriate, recommending to our board of directors, policies, practices and procedures relating to the compensation of our directors, officers and other managerial employees and the establishment and administration of our employee benefit plans;</w:t>
      </w:r>
    </w:p>
    <w:p>
      <w:pPr>
        <w:spacing w:after="0" w:line="51" w:lineRule="exact"/>
        <w:rPr>
          <w:rFonts w:ascii="Arial" w:cs="Arial" w:eastAsia="Arial" w:hAnsi="Arial"/>
          <w:sz w:val="17"/>
          <w:szCs w:val="17"/>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exercising authority under our employee benefit plans;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advising and consulting with our officers regarding managerial personnel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nominating and corporate governance committee of our board of directors currently consists of Dr. Johnson, Mr. Stenbit and Mr. Targoff. The nominating and corporate governance committee was formed in April 2004 and met three times during fiscal year 2005. All members of the nominating and corporate governance committee are independent directors, as defined in the Nasdaq Stock Market qualification standards. The nominating and corporate governance committee is governed by a written charter approved by our board of directors. The functions of the nominating and corporate governance committee include:</w:t>
      </w:r>
    </w:p>
    <w:p>
      <w:pPr>
        <w:spacing w:after="0" w:line="80"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recommending nominees for election as directors and committee members;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process for self assessment of our board of directors; and</w:t>
      </w:r>
    </w:p>
    <w:p>
      <w:pPr>
        <w:spacing w:after="0" w:line="130"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our corporate governance guidelines and procedures and considering other issues relating to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evaluating director nominees, the nominating and corporate governance committee will consider, among other things, the following factors:</w:t>
      </w:r>
    </w:p>
    <w:p>
      <w:pPr>
        <w:spacing w:after="0" w:line="129"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in our industry and with relevant social policy concerns;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117"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such other facts as it may deem are in the best interests of our company and our stockholders. The nominating and corporate governance committee does, however, believe it appropriate for at least one, and, preferably, several, members of our board of directors to meet the criteria for an “audit committee financial expert” as defined by SEC rules, and that a majority of the members of our board of directors be independent as required by the Nasdaq Stock Market qualification standards.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nominating and corporate governance committee will identify nominees for director by first evaluating the current members of our board of directors willing to continue in service. Current members with qualifications and skills that are consistent with the nominating and corporate governance committee’s criteria for board of directors service and who are willing to continue in service will be considered for re-nomination, balancing the value of continuity of service by existing members of our board of directors with that of obtaining a new perspective. If any member of our board of directors does not wish to continue in service or if our board of directors decides not to re-nominate a member for re-election, the nominating and corporate governance committee will identify the desired skills and experience of a new nominee in light of the criteria above. The nominating and corporate governance committee may also poll our board of directors and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will review the qualifications, experience and background of the candidates. Final candidates will be interviewed by the members of the nominating and corporate governance committee and by certain of our other independent directors and executive management. In making its determinations, the nominating and corporate governance committee will evaluate each individual in the context of our board of directors as a whole, with the objective of assembling a group that can best perpetuate the success of our company and represent stockholder interests through the exercise of sound judgment. After review and deliberation of all feedback and data, the nominating and corporate governance committee will make its recommendation to our board of directors. To date, the nominating and corporate governance committee has not relied on third-party search firms to identify board of directors’ candidates. The nominating and corporate governance committee may in the future choose to do so in those situations where particular qualifications are required or where existing contacts are not sufficient to identify an appropriate candidate.</w:t>
      </w:r>
    </w:p>
    <w:p>
      <w:pPr>
        <w:spacing w:after="0" w:line="70" w:lineRule="exact"/>
        <w:rPr>
          <w:sz w:val="20"/>
          <w:szCs w:val="20"/>
          <w:color w:val="auto"/>
        </w:rPr>
      </w:pPr>
    </w:p>
    <w:p>
      <w:pPr>
        <w:ind w:right="360" w:firstLine="267"/>
        <w:spacing w:after="0" w:line="264" w:lineRule="auto"/>
        <w:rPr>
          <w:sz w:val="20"/>
          <w:szCs w:val="20"/>
          <w:color w:val="auto"/>
        </w:rPr>
      </w:pPr>
      <w:r>
        <w:rPr>
          <w:rFonts w:ascii="Arial" w:cs="Arial" w:eastAsia="Arial" w:hAnsi="Arial"/>
          <w:sz w:val="18"/>
          <w:szCs w:val="18"/>
          <w:color w:val="auto"/>
        </w:rPr>
        <w:t>The nominating and corporate governance committee will consider candidates recommended by any company stockholder who has held our common stock for at least one year and who holds a minimum of 1% of our outstanding shares. The recommending stockholder must submit to the company the following in connection with recommending a candidate:</w:t>
      </w:r>
    </w:p>
    <w:p>
      <w:pPr>
        <w:spacing w:after="0" w:line="73"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detailed resumé of the recommended candidate;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explanation of the reasons why the stockholder believes the recommended candidate is qualified for service on the company’s board of directors;</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information that would be required by the rules of the SEC to be included in a proxy statement;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written consent of the recommended candidate;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description of any arrangements or undertakings between the stockholder and the recommended candidate regarding the nomination; and</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proof of the recommending stockholder’s stock holdings in the company.</w:t>
      </w:r>
    </w:p>
    <w:p>
      <w:pPr>
        <w:spacing w:after="0" w:line="117" w:lineRule="exact"/>
        <w:rPr>
          <w:sz w:val="20"/>
          <w:szCs w:val="20"/>
          <w:color w:val="auto"/>
        </w:rPr>
      </w:pPr>
    </w:p>
    <w:p>
      <w:pPr>
        <w:ind w:right="300" w:firstLine="270"/>
        <w:spacing w:after="0" w:line="277" w:lineRule="auto"/>
        <w:rPr>
          <w:sz w:val="20"/>
          <w:szCs w:val="20"/>
          <w:color w:val="auto"/>
        </w:rPr>
      </w:pPr>
      <w:r>
        <w:rPr>
          <w:rFonts w:ascii="Arial" w:cs="Arial" w:eastAsia="Arial" w:hAnsi="Arial"/>
          <w:sz w:val="18"/>
          <w:szCs w:val="18"/>
          <w:color w:val="auto"/>
        </w:rPr>
        <w:t>Recommendations received by stockholders will be processed and subject to the same criteria as other candidates recommended to the nominating and corporate governance committee.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not received director candidate recommendations from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121"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Stockholders seeking to communicate with our board of directors should submit their written comments to the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right="100" w:firstLine="267"/>
        <w:spacing w:after="0" w:line="286" w:lineRule="auto"/>
        <w:rPr>
          <w:sz w:val="20"/>
          <w:szCs w:val="20"/>
          <w:color w:val="auto"/>
        </w:rPr>
      </w:pPr>
      <w:r>
        <w:rPr>
          <w:rFonts w:ascii="Arial" w:cs="Arial" w:eastAsia="Arial" w:hAnsi="Arial"/>
          <w:sz w:val="17"/>
          <w:szCs w:val="17"/>
          <w:color w:val="auto"/>
        </w:rPr>
        <w:t>We have established a Guide to Business Conduct (Code of Conduct) that applies to our officers, directors and employees. The Code of Conduct contains general guidelines for conducting our business consistent with the highest standards of business ethics, and is intended to qualify as a “code of ethics” within the meaning of Section 406 of the Sarbanes-Oxley Act of 2002 and Item 406 of Regulation S-K promulgated by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ViaSat maintains a corporate governance page on its website which includes key information about our corporate governance initiatives and practices, including copies of our Corporate Governance Guidelines, the Code of Conduct, Audit Committee Charter, Compensation and Human Resources Committee Charter, Nominating and Corporate Governance Committee Charter as well as our bylaws and corporate charter. ViaSat’s corporate governance webpage can be found on our website at www.viasat.com under the heading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“Investor Relations.” Please note, however, that the information contained on the website is not incorporated by reference in, or considered part of, this proxy statement. We will also provide copies of these documents, free of charge, to any stockholder upon written request to Investor Relations, ViaSat, Inc., 6155 El Camino Real, Carlsbad, California 92009.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Members of our board of directors are reimbursed for expenses actually incurred in attending meetings of our board of directors and its committees. Each independent director is paid an annual fee of $12,000. In addition, each independent director is paid $2,000 for participation in each regular meeting of our board of directors and $1,000 for participation in each committee meeting as a regular committee member, or $1,500 for participation in each committee meeting as a committee chairperson. The fee paid to each director for participation via telephone for each regular meeting or each committee meeting is one-half of the regular fee. Each independent director at the time of initial election to our board of directors is granted an option to purchase 15,000 shares of our common stock and on the date of each subsequent annual meeting of stockholders is granted an option to purchase 10,000 shares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right="20" w:firstLine="260"/>
        <w:spacing w:after="0" w:line="264" w:lineRule="auto"/>
        <w:rPr>
          <w:sz w:val="20"/>
          <w:szCs w:val="20"/>
          <w:color w:val="auto"/>
        </w:rPr>
      </w:pPr>
      <w:r>
        <w:rPr>
          <w:rFonts w:ascii="Arial" w:cs="Arial" w:eastAsia="Arial" w:hAnsi="Arial"/>
          <w:sz w:val="18"/>
          <w:szCs w:val="18"/>
          <w:color w:val="auto"/>
        </w:rPr>
        <w:t>Although our company does not have a formal policy regarding attendance by members of our board of directors at our annual meeting, we encourage the attendance of our directors and director nominees at our annual meeting and historically more than a majority have done so. For example, all but one of our directors attended our 2004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purpose of the audit committee is to assist our board of directors in its general oversight of ViaSat’s financial reporting, internal control and audit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functions. The audit committee is comprised solely of independent directors, as defined in the Nasdaq Stock Market qualification standards and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10A of the Exchange Act. The audit committee operates under a written audit committee charter adopted by our board of directors. The composition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audit committee, the attributes of its members and the responsibilities of the audit committee, as reflected in its written charter, are intended to be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requirements for corporate audit committees under applicable Nasdaq Stock Market and SEC rules. Our board of directors reviews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assesses the adequacy of the audit committee’s written charter on an annual basis in light of applicable Nasdaq Stock Market and SEC rules. The audit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committee has authority to engage its own outside advisors, including experts in particular areas of accounting, as it determines appropriate, apart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counsel or advisors hired by management.</w:t>
      </w:r>
    </w:p>
    <w:p>
      <w:pPr>
        <w:spacing w:after="0" w:line="103" w:lineRule="exact"/>
        <w:rPr>
          <w:sz w:val="20"/>
          <w:szCs w:val="20"/>
          <w:color w:val="auto"/>
        </w:rPr>
      </w:pPr>
    </w:p>
    <w:p>
      <w:pPr>
        <w:ind w:right="80" w:firstLine="260"/>
        <w:spacing w:after="0" w:line="273" w:lineRule="auto"/>
        <w:rPr>
          <w:sz w:val="20"/>
          <w:szCs w:val="20"/>
          <w:color w:val="auto"/>
        </w:rPr>
      </w:pPr>
      <w:r>
        <w:rPr>
          <w:rFonts w:ascii="Arial" w:cs="Arial" w:eastAsia="Arial" w:hAnsi="Arial"/>
          <w:sz w:val="17"/>
          <w:szCs w:val="17"/>
          <w:color w:val="auto"/>
        </w:rPr>
        <w:t>Among other matters, the audit committee monitors the activities and performance of ViaSat’s independent registered public accounting firm, including the audit scope, external audit fees, auditor independence matters and the extent to which the independent registered public accounting firm may be retained to perform non-audit services. The audit committee and the board of directors have ultimate authority and responsibility to select, evaluate and, when appropriate, replace ViaSat’s independent registered public accounting firm. The audit committee reviewed with ViaSat’s independent registered public accounting firm its audit plans, audit scope, and identification of audit risks. The audit committee engaged the independent registered public accounting firm and approved auditor services and fees, including audit, audit related, and non audit fees.</w:t>
      </w:r>
    </w:p>
    <w:p>
      <w:pPr>
        <w:spacing w:after="0" w:line="70"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 over financial reporting, evaluating the effectiveness of disclosure controls and procedures, evaluating the effectiveness of internal control over financial reporting, evaluating any change in internal control over financial reporting that has materially affected, or is reasonably likely to materially affect, internal control over financial reporting, and the procedures designed to facilitate compliance with accounting standards and applicable laws and regulations. ViaSat’s independent registered public accounting firm, PricewaterhouseCoopers LLP,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(1) management’s assessment of the effectiveness of internal control over financial reporting and (2) the effectiveness of internal control over financial reporting. The audit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committee members are not professional accountants or auditors, and their functions are not intended to duplicate or to certify the activities of management or ViaSat’s independent registered public accounting firm, nor can the audit committee certify that ViaSat’s independent registered public accounting firm is “independent” under applicable rules.</w:t>
      </w:r>
    </w:p>
    <w:p>
      <w:pPr>
        <w:spacing w:after="0" w:line="73"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audit committee has reviewed and discussed the audited consolidated financial statements for fiscal 2005 with management and ViaSat’s independent registered public accounting firm. Specifically, the audit committee reviewed with the independent registered public accounting firm,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In addition, ViaSat’s independent registered public accounting firm represented that its presentations included the matters required to be discussed with the audit committee by Statement on Auditing Standards No. 61, as amended, “Communication with Audit Committees.”</w:t>
      </w:r>
    </w:p>
    <w:p>
      <w:pPr>
        <w:spacing w:after="0" w:line="70"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ViaSat’s independent registered public accounting firm also provided the audit committee with the written disclosures and letter required by Independence Standards Board Standard No. 1, “Independence Discussions with Audit Committees,” and the audit committee discussed with ViaSat’s independent registered public accounting firm that firm’s independence.</w:t>
      </w:r>
    </w:p>
    <w:p>
      <w:pPr>
        <w:spacing w:after="0" w:line="73"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During the course of fiscal 2005, management completed the documentation, testing and evaluation of ViaSat’s system of internal control over financial reporting as a result of the requirements set forth in Section 404 of the Sarbanes-Oxley Act and related regulations. The audit committee was kept apprised of the progress of the evaluation and provided oversight and advice to management during the process. In connection with this oversight, the audit committee received periodic updates from management and ViaSat’s independent registered public accounting firm at its meetings. Once the documentation, testing and evaluation were completed, the audit committee reviewed and discussed with management its report on the effectiveness of ViaSat’s internal control over financial reporting containing management’s conclusion that ViaSat’s internal control over financial reporting was effective as of April 1, 2005 based on the applicable criteria. The audit committee also reviewed and discussed with ViaSat’s independent registered public accounting firm, (1) such firm’s attestation report related to its audit of management’s assessment of the effectiveness of internal control over financial reporting containing its opinion that our management’s assessment of the effectiveness of internal control over financial reporting was fairly stated, in all material respects, based on the applicable criteria and (2) its review and report on the effectiveness of ViaSat’s internal control over financial reporting and its opinion that the Company maintained, in all material respects, effective internal control over financial reporting as of April 1, 2005, based on the applicable criteria. The audit committee continues to oversee ViaSat’s efforts related to its internal control over financial reporting and management’s preparations for the evaluation in fiscal year 2006.</w:t>
      </w:r>
    </w:p>
    <w:p>
      <w:pPr>
        <w:spacing w:after="0" w:line="61"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In reliance on these reviews and discussions, the audit committee recommended to the board of directors that ViaSat’s audited financial statements be included in ViaSat’s Annual Report on Form 10-K for the fiscal year ended April 1, 2005, and be filed with the SEC.</w:t>
      </w:r>
    </w:p>
    <w:p>
      <w:pPr>
        <w:spacing w:after="0" w:line="62" w:lineRule="exact"/>
        <w:rPr>
          <w:sz w:val="20"/>
          <w:szCs w:val="20"/>
          <w:color w:val="auto"/>
        </w:rPr>
      </w:pPr>
    </w:p>
    <w:p>
      <w:pPr>
        <w:ind w:right="180" w:firstLine="270"/>
        <w:spacing w:after="0" w:line="312" w:lineRule="auto"/>
        <w:rPr>
          <w:sz w:val="20"/>
          <w:szCs w:val="20"/>
          <w:color w:val="auto"/>
        </w:rPr>
      </w:pPr>
      <w:r>
        <w:rPr>
          <w:rFonts w:ascii="Arial" w:cs="Arial" w:eastAsia="Arial" w:hAnsi="Arial"/>
          <w:sz w:val="16"/>
          <w:szCs w:val="16"/>
          <w:i w:val="1"/>
          <w:iCs w:val="1"/>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ViaSat specifically incorporates this information by reference, and shall not otherwise be deemed to be “soliciting material” or deemed “filed” under such Acts.</w:t>
      </w:r>
    </w:p>
    <w:p>
      <w:pPr>
        <w:spacing w:after="0" w:line="14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Respectfully submitted,</w:t>
      </w:r>
    </w:p>
    <w:p>
      <w:pPr>
        <w:spacing w:after="0" w:line="1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w:t>
      </w:r>
    </w:p>
    <w:p>
      <w:pPr>
        <w:spacing w:after="0" w:line="103" w:lineRule="exact"/>
        <w:rPr>
          <w:sz w:val="20"/>
          <w:szCs w:val="20"/>
          <w:color w:val="auto"/>
        </w:rPr>
      </w:pPr>
    </w:p>
    <w:p>
      <w:pPr>
        <w:ind w:right="220" w:firstLine="267"/>
        <w:spacing w:after="0" w:line="259" w:lineRule="auto"/>
        <w:rPr>
          <w:sz w:val="20"/>
          <w:szCs w:val="20"/>
          <w:color w:val="auto"/>
        </w:rPr>
      </w:pPr>
      <w:r>
        <w:rPr>
          <w:rFonts w:ascii="Arial" w:cs="Arial" w:eastAsia="Arial" w:hAnsi="Arial"/>
          <w:sz w:val="18"/>
          <w:szCs w:val="18"/>
          <w:color w:val="auto"/>
        </w:rPr>
        <w:t>The following table provides information regarding the ownership of ViaSat’s common stock as of July 18, 2005 by: (1) each director, (2) each of the Named Executive Officers, (3) all executive officers and directors of ViaSat as a group, and (4) all other stockholders known by ViaSat to be beneficial owners of more than five percent (5%) of its common stock. Unless otherwise indicated, the address for each of the stockholders listed below is c/o ViaSat, Inc., 6155 El Camino Real, Carlsbad, California 92009.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or Group(1)</w:t>
            </w:r>
          </w:p>
        </w:tc>
        <w:tc>
          <w:tcPr>
            <w:tcW w:w="300" w:type="dxa"/>
            <w:vAlign w:val="bottom"/>
          </w:tcPr>
          <w:p>
            <w:pPr>
              <w:spacing w:after="0"/>
              <w:rPr>
                <w:sz w:val="14"/>
                <w:szCs w:val="14"/>
                <w:color w:val="auto"/>
              </w:rPr>
            </w:pPr>
          </w:p>
        </w:tc>
        <w:tc>
          <w:tcPr>
            <w:tcW w:w="3440" w:type="dxa"/>
            <w:vAlign w:val="bottom"/>
            <w:gridSpan w:val="2"/>
          </w:tcPr>
          <w:p>
            <w:pPr>
              <w:jc w:val="right"/>
              <w:ind w:right="1700"/>
              <w:spacing w:after="0"/>
              <w:rPr>
                <w:sz w:val="20"/>
                <w:szCs w:val="20"/>
                <w:color w:val="auto"/>
              </w:rPr>
            </w:pPr>
            <w:r>
              <w:rPr>
                <w:rFonts w:ascii="Arial" w:cs="Arial" w:eastAsia="Arial" w:hAnsi="Arial"/>
                <w:sz w:val="14"/>
                <w:szCs w:val="14"/>
                <w:b w:val="1"/>
                <w:bCs w:val="1"/>
                <w:color w:val="auto"/>
              </w:rPr>
              <w:t>Amount and Nature of</w:t>
            </w:r>
          </w:p>
        </w:tc>
        <w:tc>
          <w:tcPr>
            <w:tcW w:w="21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8"/>
              </w:rPr>
              <w:t>Percent Beneficial</w:t>
            </w:r>
          </w:p>
        </w:tc>
        <w:tc>
          <w:tcPr>
            <w:tcW w:w="0" w:type="dxa"/>
            <w:vAlign w:val="bottom"/>
          </w:tcPr>
          <w:p>
            <w:pPr>
              <w:spacing w:after="0"/>
              <w:rPr>
                <w:sz w:val="1"/>
                <w:szCs w:val="1"/>
                <w:color w:val="auto"/>
              </w:rPr>
            </w:pPr>
          </w:p>
        </w:tc>
      </w:tr>
      <w:tr>
        <w:trPr>
          <w:trHeight w:val="178"/>
        </w:trPr>
        <w:tc>
          <w:tcPr>
            <w:tcW w:w="5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Beneficial Ownership(2)</w:t>
            </w:r>
          </w:p>
        </w:tc>
        <w:tc>
          <w:tcPr>
            <w:tcW w:w="21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30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Mark D. Dankberg</w:t>
            </w:r>
          </w:p>
        </w:tc>
        <w:tc>
          <w:tcPr>
            <w:tcW w:w="3740" w:type="dxa"/>
            <w:vAlign w:val="bottom"/>
            <w:gridSpan w:val="3"/>
          </w:tcPr>
          <w:p>
            <w:pPr>
              <w:jc w:val="right"/>
              <w:ind w:right="1140"/>
              <w:spacing w:after="0"/>
              <w:rPr>
                <w:sz w:val="20"/>
                <w:szCs w:val="20"/>
                <w:color w:val="auto"/>
              </w:rPr>
            </w:pPr>
            <w:r>
              <w:rPr>
                <w:rFonts w:ascii="Arial" w:cs="Arial" w:eastAsia="Arial" w:hAnsi="Arial"/>
                <w:sz w:val="18"/>
                <w:szCs w:val="18"/>
                <w:color w:val="auto"/>
              </w:rPr>
              <w:t>1,808,784(3)</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884,726</w:t>
            </w:r>
          </w:p>
        </w:tc>
        <w:tc>
          <w:tcPr>
            <w:tcW w:w="1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Robert W. Johnson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602,497</w:t>
            </w:r>
          </w:p>
        </w:tc>
        <w:tc>
          <w:tcPr>
            <w:tcW w:w="13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418,729</w:t>
            </w:r>
          </w:p>
        </w:tc>
        <w:tc>
          <w:tcPr>
            <w:tcW w:w="1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Jeffrey M. Nash</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337,913</w:t>
            </w:r>
          </w:p>
        </w:tc>
        <w:tc>
          <w:tcPr>
            <w:tcW w:w="13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Gregory D. Monahan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315,179</w:t>
            </w:r>
          </w:p>
        </w:tc>
        <w:tc>
          <w:tcPr>
            <w:tcW w:w="1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Richard A. Baldridge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172,000</w:t>
            </w:r>
          </w:p>
        </w:tc>
        <w:tc>
          <w:tcPr>
            <w:tcW w:w="13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Robert L. Barrie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1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Michael B. Targoff</w:t>
            </w:r>
          </w:p>
        </w:tc>
        <w:tc>
          <w:tcPr>
            <w:tcW w:w="3740" w:type="dxa"/>
            <w:vAlign w:val="bottom"/>
            <w:gridSpan w:val="3"/>
          </w:tcPr>
          <w:p>
            <w:pPr>
              <w:jc w:val="right"/>
              <w:ind w:right="1340"/>
              <w:spacing w:after="0"/>
              <w:rPr>
                <w:sz w:val="20"/>
                <w:szCs w:val="20"/>
                <w:color w:val="auto"/>
              </w:rPr>
            </w:pPr>
            <w:r>
              <w:rPr>
                <w:rFonts w:ascii="Arial" w:cs="Arial" w:eastAsia="Arial" w:hAnsi="Arial"/>
                <w:sz w:val="18"/>
                <w:szCs w:val="18"/>
                <w:color w:val="auto"/>
              </w:rPr>
              <w:t>87,751</w:t>
            </w: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37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16,696</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John P. Stenbit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8,334</w:t>
            </w:r>
          </w:p>
        </w:tc>
        <w:tc>
          <w:tcPr>
            <w:tcW w:w="13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37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0</w:t>
            </w: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5,388,528</w:t>
            </w:r>
          </w:p>
        </w:tc>
        <w:tc>
          <w:tcPr>
            <w:tcW w:w="1340" w:type="dxa"/>
            <w:vAlign w:val="bottom"/>
          </w:tcPr>
          <w:p>
            <w:pPr>
              <w:spacing w:after="0"/>
              <w:rPr>
                <w:sz w:val="18"/>
                <w:szCs w:val="18"/>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Franklin Resources, Inc.(5)</w:t>
            </w: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One Franklin Parkway,</w:t>
            </w: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San Mateo, CA 94403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1,985,162</w:t>
            </w:r>
          </w:p>
        </w:tc>
        <w:tc>
          <w:tcPr>
            <w:tcW w:w="1340" w:type="dxa"/>
            <w:vAlign w:val="bottom"/>
          </w:tcPr>
          <w:p>
            <w:pPr>
              <w:spacing w:after="0"/>
              <w:rPr>
                <w:sz w:val="20"/>
                <w:szCs w:val="20"/>
                <w:color w:val="auto"/>
              </w:rPr>
            </w:pPr>
          </w:p>
        </w:tc>
        <w:tc>
          <w:tcPr>
            <w:tcW w:w="2140" w:type="dxa"/>
            <w:vAlign w:val="bottom"/>
            <w:gridSpan w:val="2"/>
          </w:tcPr>
          <w:p>
            <w:pPr>
              <w:jc w:val="right"/>
              <w:ind w:right="8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hanging="407"/>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right="10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 sole or shared voting power or investment power and also any shares that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following shares issuable upon the exercise of outstanding stock options that are exercisable within 60 days of July 18, 2005:</w:t>
      </w:r>
    </w:p>
    <w:p>
      <w:pPr>
        <w:spacing w:after="0" w:line="23"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7"/>
          <w:szCs w:val="17"/>
          <w:color w:val="auto"/>
        </w:rPr>
        <w:t>Mr. Dankberg — 198,000 option shares; Mr. Hart — 55,600 option shares; Dr. Johnson — 73,001 option shares; Mr. Lay — 50,001 option shares; Dr. Nash — 42,000 option shares; Mr. Monahan — 54,000 option shares; Mr. Baldridge — 172,000 option shares; Mr. Barrie — 141,000 option shares; Mr. Targoff — 20,001 option shares; Mr. Wangerin — 16,000 option shares; and Mr. Stenbit — 8,334 option shares.</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3,039 shares of common stock held by Mr. Dankberg’s children. Mr. Dankberg disclaims beneficial ownership of all these securities.</w:t>
      </w:r>
    </w:p>
    <w:p>
      <w:pPr>
        <w:spacing w:after="0" w:line="88" w:lineRule="exact"/>
        <w:rPr>
          <w:rFonts w:ascii="Arial" w:cs="Arial" w:eastAsia="Arial" w:hAnsi="Arial"/>
          <w:sz w:val="17"/>
          <w:szCs w:val="17"/>
          <w:color w:val="auto"/>
        </w:rPr>
      </w:pPr>
    </w:p>
    <w:p>
      <w:pPr>
        <w:ind w:left="460" w:right="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30,400 shares of common stock held by Lay Charitable Remainder Unitrust, (b) 112,842 shares of common stock held by Lay Living Trust and (c) 225,486 shares of common stock held by Lay Ventures.</w:t>
      </w:r>
    </w:p>
    <w:p>
      <w:pPr>
        <w:spacing w:after="0" w:line="21"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ownership information shown is based solely on information contained in Schedule 13G dated February 14, 2005 filed with SEC by Franklin Resources, Inc. (Franklin) with respect to ownership of shares of common stock, which indicated that Franklin has sole dispositive power with respect to all 1,985,162 shares. Franklin, a registered investment adviser, is deemed to be the beneficial owner of such shares as a result of acting as investment adviser to various registered investment companies.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provided below is submitted with respect to each of ViaSat’s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4"/>
                <w:szCs w:val="14"/>
                <w:color w:val="auto"/>
              </w:rPr>
            </w:pPr>
          </w:p>
        </w:tc>
        <w:tc>
          <w:tcPr>
            <w:tcW w:w="730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Present Position With ViaSat</w:t>
            </w:r>
          </w:p>
        </w:tc>
      </w:tr>
      <w:tr>
        <w:trPr>
          <w:trHeight w:val="209"/>
        </w:trPr>
        <w:tc>
          <w:tcPr>
            <w:tcW w:w="2880" w:type="dxa"/>
            <w:vAlign w:val="bottom"/>
          </w:tcPr>
          <w:p>
            <w:pPr>
              <w:spacing w:after="0"/>
              <w:rPr>
                <w:sz w:val="20"/>
                <w:szCs w:val="20"/>
                <w:color w:val="auto"/>
              </w:rPr>
            </w:pPr>
            <w:r>
              <w:rPr>
                <w:rFonts w:ascii="Arial" w:cs="Arial" w:eastAsia="Arial" w:hAnsi="Arial"/>
                <w:sz w:val="18"/>
                <w:szCs w:val="18"/>
                <w:color w:val="auto"/>
              </w:rPr>
              <w:t>Mark D. Dankberg</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Richard A. Baldridge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Steven R. Hart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Mark J. Miller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Gregory D. Monahan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Administration, General Counsel and Secretary</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Ronald G. Wangerin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Robert L. Barrie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Operations</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Cathy B. Akin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Human Resources</w:t>
            </w:r>
          </w:p>
        </w:tc>
      </w:tr>
    </w:tbl>
    <w:p>
      <w:pPr>
        <w:spacing w:after="0" w:line="94" w:lineRule="exact"/>
        <w:rPr>
          <w:sz w:val="20"/>
          <w:szCs w:val="20"/>
          <w:color w:val="auto"/>
        </w:rPr>
      </w:pPr>
    </w:p>
    <w:p>
      <w:pPr>
        <w:ind w:right="240" w:firstLine="270"/>
        <w:spacing w:after="0" w:line="272" w:lineRule="auto"/>
        <w:rPr>
          <w:sz w:val="20"/>
          <w:szCs w:val="20"/>
          <w:color w:val="auto"/>
        </w:rPr>
      </w:pPr>
      <w:r>
        <w:rPr>
          <w:rFonts w:ascii="Arial" w:cs="Arial" w:eastAsia="Arial" w:hAnsi="Arial"/>
          <w:sz w:val="17"/>
          <w:szCs w:val="17"/>
          <w:color w:val="auto"/>
        </w:rPr>
        <w:t>MARK D. DANKBERG was a founder of ViaSat and has served as Chairman of the Board and Chief Executive Officer of ViaSat since its inception in May 1986. Mr. Dankberg also serves as a director of TrellisWare Technologies, Inc., a privately-held subsidiary of ViaSat that develops advanced signal processing technologies for communication applications. In addition, Mr. Dankberg is a director, Chairman of the Corporate Strategy Committee and a member of the Audit and Nominating and Corporate Governance Committee of REMEC, Inc., a publicly-held worldwide manufacturer of microwave components for defense, commercial communications and related applications. Prior to founding ViaSat, he was Assistant Vice President of M/ A-COM Linkabit, a manufacturer of satellite telecommunications equipment, from 1979 to 1986 and Communications Engineer for Rockwell International Corporation from 1977 to 1979. Mr. Dankberg holds B.S.E.E. and M.E.E. degrees from Rice University.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RICHARD A. BALDRIDGE joined ViaSat in April 1999 as Vice President and Chief Financial Officer. From September 2000 to August 2002,</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Mr. Baldridge served as Executive Vice President, Chief Operating Officer and Chief Financial Officer. He currently serves as President and Chief Operating Officer of ViaSat.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w:t>
      </w:r>
    </w:p>
    <w:p>
      <w:pPr>
        <w:spacing w:after="0" w:line="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Baldridge’s other experience includes various senior financial management roles with General Dynamics Corporation. Mr. Baldridge also serves as a director of Jobs for America’s Graduates and the National Alliance of Business (NAB). Mr. Baldridge holds a B.S. degree in Business Administration, with an emphasis in Information Systems, from New Mexico State University.</w:t>
      </w:r>
    </w:p>
    <w:p>
      <w:pPr>
        <w:spacing w:after="0" w:line="82" w:lineRule="exact"/>
        <w:rPr>
          <w:sz w:val="20"/>
          <w:szCs w:val="20"/>
          <w:color w:val="auto"/>
        </w:rPr>
      </w:pPr>
    </w:p>
    <w:p>
      <w:pPr>
        <w:ind w:right="400" w:firstLine="270"/>
        <w:spacing w:after="0" w:line="259" w:lineRule="auto"/>
        <w:rPr>
          <w:sz w:val="20"/>
          <w:szCs w:val="20"/>
          <w:color w:val="auto"/>
        </w:rPr>
      </w:pPr>
      <w:r>
        <w:rPr>
          <w:rFonts w:ascii="Arial" w:cs="Arial" w:eastAsia="Arial" w:hAnsi="Arial"/>
          <w:sz w:val="18"/>
          <w:szCs w:val="18"/>
          <w:color w:val="auto"/>
        </w:rPr>
        <w:t>STEVEN R. HART was a founder of ViaSat and has served as Vice President — Engineering and Chief Technical Officer since March 1997, as Vice President and Chief Technical Officer since 1993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79"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 A-COM Linkabit from 1983 to 1986. Mr. Miller holds a B.S.E.E. degree from the University of California, San Diego and a M.S.E.E. degree from the University of California, Los Angeles.</w:t>
      </w:r>
    </w:p>
    <w:p>
      <w:pPr>
        <w:spacing w:after="0" w:line="73" w:lineRule="exact"/>
        <w:rPr>
          <w:sz w:val="20"/>
          <w:szCs w:val="20"/>
          <w:color w:val="auto"/>
        </w:rPr>
      </w:pPr>
    </w:p>
    <w:p>
      <w:pPr>
        <w:ind w:right="500" w:firstLine="270"/>
        <w:spacing w:after="0" w:line="264" w:lineRule="auto"/>
        <w:rPr>
          <w:sz w:val="20"/>
          <w:szCs w:val="20"/>
          <w:color w:val="auto"/>
        </w:rPr>
      </w:pPr>
      <w:r>
        <w:rPr>
          <w:rFonts w:ascii="Arial" w:cs="Arial" w:eastAsia="Arial" w:hAnsi="Arial"/>
          <w:sz w:val="18"/>
          <w:szCs w:val="18"/>
          <w:color w:val="auto"/>
        </w:rPr>
        <w:t>GREGORY D. MONAHAN has served as Vice President — Administration, General Counsel and Secretary of ViaSat since April 1999 and as Vice President, Chief Financial Officer and General Counsel from December 1988 to April 1999. Prior to joining ViaSat, Mr. Monahan was Assistant Vice President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M/A-COM Linkabit from 1978 to 1988. Mr. Monahan holds a J.D. degree from the University of San Diego and B.S.M.E. and M.B.A. degrees from the University of California, Berkeley.</w:t>
      </w:r>
    </w:p>
    <w:p>
      <w:pPr>
        <w:spacing w:after="0" w:line="62"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RONALD G. WANGERIN joined ViaSat in August 2002 as Vice President and Chief Financial Officer. Prior to joining ViaSat, Mr. Wangerin served as Vice President, Chief Financial Officer, Treasurer, and Secretary at NexusData Inc., a privately-held wireless data collection company, from 2000 to 2002. From 1997 to 2000, Mr. Wangerin held several positions at Hughes Training, Inc., a subsidiary of Raytheon Company, including Vice President and Chief Financial Officer. Mr. Wangerin worked for Deloitte &amp; Touche LLP from 1989 to 1997. Mr. Wangerin holds a B.S. degree in Accounting and a Masters of Accounting degree from the University of Southern California.</w:t>
      </w:r>
    </w:p>
    <w:p>
      <w:pPr>
        <w:spacing w:after="0" w:line="80"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ROBERT L. BARRIE joined ViaSat in January 1997 as Vice President — Operations. Prior to joining ViaSat,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an M.B.A. from National University.</w:t>
      </w:r>
    </w:p>
    <w:p>
      <w:pPr>
        <w:spacing w:after="0" w:line="6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CATHY B. AKIN joined ViaSat in September 2000 as Vice President — Human Resources. Prior to joining ViaSat, Ms. Akin was Vice President of Human Resources at DataWorks/ Epicor Software from 1998 to 2000. From 1996 to 1998, Ms. Akin served as the Director of Human Resources for Uniden. Ms. Akin was also the Director of Human Resources for Spectragraphics from 1993 to 1996. Ms. Akin holds a B.S. degree in Business Management from San Diego State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provides summary information concerning compensation paid by us to, or on behalf of, our chief executive officer and each of our four other most highly compensated executive officers (collectively, the “Named Executive Officers”).</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 Compensation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2"/>
            <w:vMerge w:val="restart"/>
          </w:tcPr>
          <w:p>
            <w:pPr>
              <w:jc w:val="center"/>
              <w:ind w:left="804"/>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3"/>
          </w:tcPr>
          <w:p>
            <w:pPr>
              <w:jc w:val="center"/>
              <w:ind w:left="62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Fiscal</w:t>
            </w: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 and Principal Positions</w:t>
            </w:r>
          </w:p>
        </w:tc>
        <w:tc>
          <w:tcPr>
            <w:tcW w:w="24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Compensation(1)</w:t>
            </w:r>
          </w:p>
        </w:tc>
        <w:tc>
          <w:tcPr>
            <w:tcW w:w="0" w:type="dxa"/>
            <w:vAlign w:val="bottom"/>
          </w:tcPr>
          <w:p>
            <w:pPr>
              <w:spacing w:after="0"/>
              <w:rPr>
                <w:sz w:val="1"/>
                <w:szCs w:val="1"/>
                <w:color w:val="auto"/>
              </w:rPr>
            </w:pPr>
          </w:p>
        </w:tc>
      </w:tr>
      <w:tr>
        <w:trPr>
          <w:trHeight w:val="209"/>
        </w:trPr>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D. Dankberg</w:t>
            </w:r>
          </w:p>
        </w:tc>
        <w:tc>
          <w:tcPr>
            <w:tcW w:w="2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450,000</w:t>
            </w:r>
          </w:p>
        </w:tc>
        <w:tc>
          <w:tcPr>
            <w:tcW w:w="62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5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Chairman and Chief Executive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40" w:type="dxa"/>
            <w:vAlign w:val="bottom"/>
            <w:gridSpan w:val="3"/>
          </w:tcPr>
          <w:p>
            <w:pPr>
              <w:jc w:val="right"/>
              <w:ind w:right="420"/>
              <w:spacing w:after="0"/>
              <w:rPr>
                <w:sz w:val="20"/>
                <w:szCs w:val="20"/>
                <w:color w:val="auto"/>
              </w:rPr>
            </w:pPr>
            <w:r>
              <w:rPr>
                <w:rFonts w:ascii="Arial" w:cs="Arial" w:eastAsia="Arial" w:hAnsi="Arial"/>
                <w:sz w:val="18"/>
                <w:szCs w:val="18"/>
                <w:color w:val="auto"/>
              </w:rPr>
              <w:t>462,116(2)</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Officer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355,769</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160,000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Richard A. Baldridge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350,090</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253,400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President and Chief Operating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326,846</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Officer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40" w:type="dxa"/>
            <w:vAlign w:val="bottom"/>
            <w:gridSpan w:val="3"/>
          </w:tcPr>
          <w:p>
            <w:pPr>
              <w:jc w:val="right"/>
              <w:ind w:right="420"/>
              <w:spacing w:after="0"/>
              <w:rPr>
                <w:sz w:val="20"/>
                <w:szCs w:val="20"/>
                <w:color w:val="auto"/>
              </w:rPr>
            </w:pPr>
            <w:r>
              <w:rPr>
                <w:rFonts w:ascii="Arial" w:cs="Arial" w:eastAsia="Arial" w:hAnsi="Arial"/>
                <w:sz w:val="18"/>
                <w:szCs w:val="18"/>
                <w:color w:val="auto"/>
              </w:rPr>
              <w:t>267,712(2)</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77,900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41,704(3)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Ronald G. Wangerin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125,000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9,162(3)</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 and Chief Financial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203,077</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Officer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40" w:type="dxa"/>
            <w:vAlign w:val="bottom"/>
            <w:gridSpan w:val="3"/>
          </w:tcPr>
          <w:p>
            <w:pPr>
              <w:jc w:val="right"/>
              <w:ind w:right="420"/>
              <w:spacing w:after="0"/>
              <w:rPr>
                <w:sz w:val="20"/>
                <w:szCs w:val="20"/>
                <w:color w:val="auto"/>
              </w:rPr>
            </w:pPr>
            <w:r>
              <w:rPr>
                <w:rFonts w:ascii="Arial" w:cs="Arial" w:eastAsia="Arial" w:hAnsi="Arial"/>
                <w:sz w:val="18"/>
                <w:szCs w:val="18"/>
                <w:color w:val="auto"/>
              </w:rPr>
              <w:t>123,865(4)</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59,941(3)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Gregory D. Monahan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220,000</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110,000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 — Administration,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216,981</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191,250</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45,000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Robert L. Barrie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225,077</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102,000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Vice President —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226,769</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191,538</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47,500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5620" w:right="2940" w:hanging="5612"/>
        <w:spacing w:after="0" w:line="481" w:lineRule="auto"/>
        <w:tabs>
          <w:tab w:leader="none" w:pos="4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by ViaSat, unless indicated otherwise.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vacation pay of $16,346 in fiscal year 2004 for Mark Dankberg and $10,577 in fiscal year 2003 for Richard Baldridge.</w:t>
      </w:r>
    </w:p>
    <w:p>
      <w:pPr>
        <w:spacing w:after="0" w:line="76" w:lineRule="exact"/>
        <w:rPr>
          <w:rFonts w:ascii="Arial" w:cs="Arial" w:eastAsia="Arial" w:hAnsi="Arial"/>
          <w:sz w:val="18"/>
          <w:szCs w:val="18"/>
          <w:color w:val="auto"/>
        </w:rPr>
      </w:pPr>
    </w:p>
    <w:p>
      <w:pPr>
        <w:ind w:left="460" w:right="48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reimbursement of relocation expenses. Mr. Baldridge was reimbursed $36,298 for such expenses in fiscal year 2003. Mr. Wangerin was reimbursed $59,941 for such expenses in fiscal year 2003 and received additional compensation of $5,000 in fiscal years 2004 and 2005.</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Wangerin joined ViaSat August 7, 2002.</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Options During Last Fiscal Year</w:t>
      </w:r>
    </w:p>
    <w:p>
      <w:pPr>
        <w:spacing w:after="0" w:line="121"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our fiscal year 2005 to each of our Named Executive Officers.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w w:val="96"/>
              </w:rPr>
              <w:t>Individual Grants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jc w:val="center"/>
              <w:ind w:left="646"/>
              <w:spacing w:after="0"/>
              <w:rPr>
                <w:sz w:val="20"/>
                <w:szCs w:val="20"/>
                <w:color w:val="auto"/>
              </w:rPr>
            </w:pPr>
            <w:r>
              <w:rPr>
                <w:rFonts w:ascii="Arial" w:cs="Arial" w:eastAsia="Arial" w:hAnsi="Arial"/>
                <w:sz w:val="14"/>
                <w:szCs w:val="14"/>
                <w:b w:val="1"/>
                <w:bCs w:val="1"/>
                <w:color w:val="auto"/>
                <w:w w:val="91"/>
              </w:rPr>
              <w:t>Value at Assumed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left="646"/>
              <w:spacing w:after="0" w:line="149" w:lineRule="exact"/>
              <w:rPr>
                <w:sz w:val="20"/>
                <w:szCs w:val="20"/>
                <w:color w:val="auto"/>
              </w:rPr>
            </w:pPr>
            <w:r>
              <w:rPr>
                <w:rFonts w:ascii="Arial" w:cs="Arial" w:eastAsia="Arial" w:hAnsi="Arial"/>
                <w:sz w:val="14"/>
                <w:szCs w:val="14"/>
                <w:b w:val="1"/>
                <w:bCs w:val="1"/>
                <w:color w:val="auto"/>
                <w:w w:val="91"/>
              </w:rPr>
              <w:t>Annual Rates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Potential Realizable</w:t>
            </w: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5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 of Total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left="646"/>
              <w:spacing w:after="0" w:line="149" w:lineRule="exact"/>
              <w:rPr>
                <w:sz w:val="20"/>
                <w:szCs w:val="20"/>
                <w:color w:val="auto"/>
              </w:rPr>
            </w:pPr>
            <w:r>
              <w:rPr>
                <w:rFonts w:ascii="Arial" w:cs="Arial" w:eastAsia="Arial" w:hAnsi="Arial"/>
                <w:sz w:val="14"/>
                <w:szCs w:val="14"/>
                <w:b w:val="1"/>
                <w:bCs w:val="1"/>
                <w:color w:val="auto"/>
                <w:w w:val="91"/>
              </w:rPr>
              <w:t>Stock Price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Exercise or</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left="646"/>
              <w:spacing w:after="0" w:line="149" w:lineRule="exact"/>
              <w:rPr>
                <w:sz w:val="20"/>
                <w:szCs w:val="20"/>
                <w:color w:val="auto"/>
              </w:rPr>
            </w:pPr>
            <w:r>
              <w:rPr>
                <w:rFonts w:ascii="Arial" w:cs="Arial" w:eastAsia="Arial" w:hAnsi="Arial"/>
                <w:sz w:val="14"/>
                <w:szCs w:val="14"/>
                <w:b w:val="1"/>
                <w:bCs w:val="1"/>
                <w:color w:val="auto"/>
                <w:w w:val="94"/>
              </w:rPr>
              <w:t>Appreciation for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Granted to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left="666"/>
              <w:spacing w:after="0" w:line="149" w:lineRule="exact"/>
              <w:rPr>
                <w:sz w:val="20"/>
                <w:szCs w:val="20"/>
                <w:color w:val="auto"/>
              </w:rPr>
            </w:pPr>
            <w:r>
              <w:rPr>
                <w:rFonts w:ascii="Arial" w:cs="Arial" w:eastAsia="Arial" w:hAnsi="Arial"/>
                <w:sz w:val="14"/>
                <w:szCs w:val="14"/>
                <w:b w:val="1"/>
                <w:bCs w:val="1"/>
                <w:color w:val="auto"/>
                <w:w w:val="95"/>
              </w:rPr>
              <w:t>Option Term(1)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Options</w:t>
            </w: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Employees in</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Base Price</w:t>
            </w: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Expiration</w:t>
            </w: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Granted(1)</w:t>
            </w:r>
          </w:p>
        </w:tc>
        <w:tc>
          <w:tcPr>
            <w:tcW w:w="4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Fiscal Year 2005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Per Share</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5%</w:t>
            </w: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8"/>
                <w:szCs w:val="18"/>
                <w:color w:val="auto"/>
              </w:rPr>
              <w:t>Mark D. Dankberg</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80,000</w:t>
            </w:r>
          </w:p>
        </w:tc>
        <w:tc>
          <w:tcPr>
            <w:tcW w:w="46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21.02</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12/16/14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   1,315,566</w:t>
            </w:r>
          </w:p>
        </w:tc>
        <w:tc>
          <w:tcPr>
            <w:tcW w:w="4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3,090,886</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55,000</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21.02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12/16/14</w:t>
            </w: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904,452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2,124,984</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Ronald G. Wangerin</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30,000</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21.02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12/16/14</w:t>
            </w: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493,337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1,159,082</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Gregory D. Monahan</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20,000</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21.02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12/16/14</w:t>
            </w: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328,892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772,722</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Robert L. Barrie</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20,000</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21.02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12/16/14</w:t>
            </w: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328,892</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options granted become exercisable for each grantee as follows: 20% of the granted number of shares vest on each anniversary of the date of grant over the course of five years.</w:t>
      </w:r>
    </w:p>
    <w:p>
      <w:pPr>
        <w:spacing w:after="0" w:line="62"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following table provides information concerning exercises of stock options by each of our Named Executive Officers, and the number of options and value of unexercised options held by each such person at April 1, 2005.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Number of Securities</w:t>
            </w:r>
          </w:p>
        </w:tc>
        <w:tc>
          <w:tcPr>
            <w:tcW w:w="2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Value of Unexercised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In-the-Money Options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Options at Year-End</w:t>
            </w:r>
          </w:p>
        </w:tc>
        <w:tc>
          <w:tcPr>
            <w:tcW w:w="2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at Year-End(1)</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Acquired</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on Exercise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Realized</w:t>
            </w: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Exercisable</w:t>
            </w:r>
          </w:p>
        </w:tc>
        <w:tc>
          <w:tcPr>
            <w:tcW w:w="18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Unexercisable</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Unexercisable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D. Dankberg</w:t>
            </w:r>
          </w:p>
        </w:tc>
        <w:tc>
          <w:tcPr>
            <w:tcW w:w="200" w:type="dxa"/>
            <w:vAlign w:val="bottom"/>
          </w:tcPr>
          <w:p>
            <w:pPr>
              <w:spacing w:after="0"/>
              <w:rPr>
                <w:sz w:val="18"/>
                <w:szCs w:val="18"/>
                <w:color w:val="auto"/>
              </w:rPr>
            </w:pP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198,000</w:t>
            </w:r>
          </w:p>
        </w:tc>
        <w:tc>
          <w:tcPr>
            <w:tcW w:w="5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172,000</w:t>
            </w:r>
          </w:p>
        </w:tc>
        <w:tc>
          <w:tcPr>
            <w:tcW w:w="5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1,380,060</w:t>
            </w:r>
          </w:p>
        </w:tc>
        <w:tc>
          <w:tcPr>
            <w:tcW w:w="5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Richard A. Baldridge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172,000</w:t>
            </w:r>
          </w:p>
        </w:tc>
        <w:tc>
          <w:tcPr>
            <w:tcW w:w="50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118,000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1,460,270</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131,280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Ronald G. Wangerin</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81,200</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12,000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64,000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84,200</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207,540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Gregory D. Monahan</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54,000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44,500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302,970</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59,720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Robert L. Barrie</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141,000</w:t>
            </w:r>
          </w:p>
        </w:tc>
        <w:tc>
          <w:tcPr>
            <w:tcW w:w="500" w:type="dxa"/>
            <w:vAlign w:val="bottom"/>
          </w:tcPr>
          <w:p>
            <w:pPr>
              <w:spacing w:after="0"/>
              <w:rPr>
                <w:sz w:val="20"/>
                <w:szCs w:val="20"/>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44,000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1,349,580</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dollar values have been calculated by determining the difference between the fair market value of the securities underlying the options and the exercise price at April 1, 2005.</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following table provides certain information as of April 1, 2005 about our common stock that may be issued upon the exercise of options and rights under all of our existing equity compensation plans: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Securities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tcPr>
          <w:p>
            <w:pPr>
              <w:spacing w:after="0"/>
              <w:rPr>
                <w:sz w:val="12"/>
                <w:szCs w:val="12"/>
                <w:color w:val="auto"/>
              </w:rPr>
            </w:pPr>
          </w:p>
        </w:tc>
        <w:tc>
          <w:tcPr>
            <w:tcW w:w="1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and Rights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1"/>
              </w:rPr>
              <w:t>and Rights</w:t>
            </w:r>
          </w:p>
        </w:tc>
        <w:tc>
          <w:tcPr>
            <w:tcW w:w="1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0"/>
        </w:trPr>
        <w:tc>
          <w:tcPr>
            <w:tcW w:w="35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24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Arial" w:cs="Arial" w:eastAsia="Arial" w:hAnsi="Arial"/>
                <w:sz w:val="18"/>
                <w:szCs w:val="18"/>
                <w:color w:val="auto"/>
              </w:rPr>
              <w:t>security holders(1)</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5,827,590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860"/>
              <w:spacing w:after="0"/>
              <w:rPr>
                <w:sz w:val="20"/>
                <w:szCs w:val="20"/>
                <w:color w:val="auto"/>
              </w:rPr>
            </w:pPr>
            <w:r>
              <w:rPr>
                <w:rFonts w:ascii="Arial" w:cs="Arial" w:eastAsia="Arial" w:hAnsi="Arial"/>
                <w:sz w:val="18"/>
                <w:szCs w:val="18"/>
                <w:color w:val="auto"/>
              </w:rPr>
              <w:t>16.05</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955,215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9"/>
              </w:rPr>
              <w:t>Equity compensation plans not approved by</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security holders(2)</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187,771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860"/>
              <w:spacing w:after="0"/>
              <w:rPr>
                <w:sz w:val="20"/>
                <w:szCs w:val="20"/>
                <w:color w:val="auto"/>
              </w:rPr>
            </w:pPr>
            <w:r>
              <w:rPr>
                <w:rFonts w:ascii="Arial" w:cs="Arial" w:eastAsia="Arial" w:hAnsi="Arial"/>
                <w:sz w:val="18"/>
                <w:szCs w:val="18"/>
                <w:color w:val="auto"/>
              </w:rPr>
              <w:t>14.01</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6,015,361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860"/>
              <w:spacing w:after="0"/>
              <w:rPr>
                <w:sz w:val="20"/>
                <w:szCs w:val="20"/>
                <w:color w:val="auto"/>
              </w:rPr>
            </w:pPr>
            <w:r>
              <w:rPr>
                <w:rFonts w:ascii="Arial" w:cs="Arial" w:eastAsia="Arial" w:hAnsi="Arial"/>
                <w:sz w:val="18"/>
                <w:szCs w:val="18"/>
                <w:color w:val="auto"/>
              </w:rPr>
              <w:t>15.98</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7" w:lineRule="exact"/>
        <w:rPr>
          <w:sz w:val="20"/>
          <w:szCs w:val="20"/>
          <w:color w:val="auto"/>
        </w:rPr>
      </w:pPr>
    </w:p>
    <w:p>
      <w:pPr>
        <w:ind w:left="460" w:right="20" w:hanging="452"/>
        <w:spacing w:after="0" w:line="31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two plans: (a) our Second Amended and Restated 1996 Equity Participation Plan (the 1996 Equity Participation Plan) and (b) our Employee Stock Purchase Plan, as amended (the Purchase Plan). See below for a more detailed discussion of the 1996 Equity Participation Plan and the Purchase Plan. These numbers do not include the proposed increase of 500,000 shares to the Purchase Plan described in Proposal 2 below.</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the US Monolithics, LLC 2000 Unit Incentive Plan (the USM Plan). See below for a more detailed discussion of the USM Plan.</w:t>
      </w:r>
    </w:p>
    <w:p>
      <w:pPr>
        <w:spacing w:after="0" w:line="117"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i w:val="1"/>
          <w:iCs w:val="1"/>
          <w:color w:val="auto"/>
        </w:rPr>
        <w:t xml:space="preserve">The 1996 Equity Participation Plan. </w:t>
      </w:r>
      <w:r>
        <w:rPr>
          <w:rFonts w:ascii="Arial" w:cs="Arial" w:eastAsia="Arial" w:hAnsi="Arial"/>
          <w:sz w:val="18"/>
          <w:szCs w:val="18"/>
          <w:color w:val="auto"/>
        </w:rPr>
        <w:t>In November 1996 we adopted the 1996 Equity Participation Plan, which provides for the grant to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other key employees, consultants and non-employee directors of a broad variety of stock-based compensation alternatives such as nonqualified stock options, incentive stock options, restricted stock and performance awards. The 1996 Equity Participation Plan currently provides for aggregate award grants of up to 7,600,000 shares. As of April 1, 2005, options to purchase an aggregate of 5,827,590 shares of common stock at prices ranging from $4.25 to $35.63 were outstanding under the 1996 Equity Participation Plan.</w:t>
      </w:r>
    </w:p>
    <w:p>
      <w:pPr>
        <w:spacing w:after="0" w:line="80"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 xml:space="preserve">The Purchase Plan. </w:t>
      </w:r>
      <w:r>
        <w:rPr>
          <w:rFonts w:ascii="Arial" w:cs="Arial" w:eastAsia="Arial" w:hAnsi="Arial"/>
          <w:sz w:val="18"/>
          <w:szCs w:val="18"/>
          <w:color w:val="auto"/>
        </w:rPr>
        <w:t>In November 1996 we established the Purchase Plan to assist our employees in acquiring a stock ownership interest in ViaSat and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compensation and human resources committee administers the Purchase Plan. Currently, a maximum of 1,000,000 shares of common stock are authorized for issuance under the Purchase Plan. If Proposal 2 below is approved, the shares of common stock authorized for issuance under the Purchase Plan will be increased by 500,000 shares to a total of 1,500,000. For a discussion of the material terms of the Purchase Plan, see “Proposal 2: Amendment to the Employee Stock Purchase Plan.” As of April 1, 2005, an aggregate of 881,969 shares of common stock at prices ranging from $3.83 to $21.20 had been issued under the Purchase Plan.</w:t>
      </w:r>
    </w:p>
    <w:p>
      <w:pPr>
        <w:spacing w:after="0" w:line="84"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i w:val="1"/>
          <w:iCs w:val="1"/>
          <w:color w:val="auto"/>
        </w:rPr>
        <w:t xml:space="preserve">The USM Plan. </w:t>
      </w:r>
      <w:r>
        <w:rPr>
          <w:rFonts w:ascii="Arial" w:cs="Arial" w:eastAsia="Arial" w:hAnsi="Arial"/>
          <w:sz w:val="17"/>
          <w:szCs w:val="17"/>
          <w:color w:val="auto"/>
        </w:rPr>
        <w:t>In connection with our acquisition of US Monolithics, LLC in 2002, options to purchase approximately 44,418 of our shares at a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exercise price of $8.94 were assumed from the USM Plan. Our stockholders have not approved the USM Plan. The purpose of the USM Plan is to assist the employees of US Monolithics (which is now operated as a wholly-owned subsidiary of ViaSat) in acquiring a stock ownership interest in ViaSat and to encourage them to remain employees of US Monolithics. The USM Plan authorizes the grant of non-qualified stock options and restricted stock covering an aggregate of 203,000 shares of our common stock. As of April 1, 2005, options to purchase an aggregate of 187,771 shares of common stock at prices ranging from $6.56 to $23.37 were outstanding under the USM Plan.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During fiscal year 2005, the compensation and human resources committee was comprised of Drs. Johnson and Nash and Mr. Stenbit. No interlocking relationship exists between any member of the compensation and human resources committee and any member of any other company’s board of directors or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Human Resources Committee Report on Executive Compensation</w:t>
      </w:r>
    </w:p>
    <w:p>
      <w:pPr>
        <w:spacing w:after="0" w:line="121"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compensation and human resources committee of our board of directors assists our board in fulfilling its responsibilities with respect to the compensation of ViaSat’s executive officers. Three outside independent directors serve on the compensation and human resources committee. Its charter is to oversee, review and recommend to our board of directors for approval the compensation policies and practices for our chief executive officer and other key executives, as well as ViaSat’s general employee benefits programs and policies. The compensation and human resources committee reports regularly to our full board of directors on its activities. In general, the compensation policies recommended by the compensation and human resources committee and adopted by the board of directors are designed to provide competitive levels of compensation to:</w:t>
      </w:r>
    </w:p>
    <w:p>
      <w:pPr>
        <w:spacing w:after="0" w:line="70"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executives capable of achieving our business objectives,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motivate our executives to enhance long-term stockholder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Our executive compensation program is comprised of base salary, annual cash incentive bonus and long-term incentive compensation in the form of stock option grants at current market prices. We may provide performance based restricted stock grants in fiscal year 2006 as part of our executive compensation program.</w:t>
      </w:r>
    </w:p>
    <w:p>
      <w:pPr>
        <w:spacing w:after="0" w:line="73"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Our compensation program for executive officers is designed to provide a total compensation level (including both annual and long-term incentives) that is competitive with surveyed companies. When making compensation decisions for executive officers, the compensation and human resources committee evaluates each compensation element in the context of the executive’s overall total compensation. For executive officers recently recruited by us, annual compensation rates and long-term incentive awards reflect amounts necessary to attract them to ViaSat. The compensation program is benchmarked by using surveys of companies in the telecommunications industry of similar size and stage as ViaSat. These companies, which are representative of the firms we compete with for executive talent and have jobs similar to those at our company in magnitude, complexity and scope of responsibility, form the basis for the survey group used by the compensation and human resources committee. The compensation and human resource committee has also worked with an independent consulting firm to furnish the committee with executive compensation data drawn from a group of specifically identified peer group companies as well as survey data. The compensation and human resources committee compares the compensation programs as a whole, and also compares the pay of individual executives if it believes the jobs are sufficiently similar to make the comparisons meaningful.</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17" w:lineRule="exact"/>
        <w:rPr>
          <w:sz w:val="20"/>
          <w:szCs w:val="20"/>
          <w:color w:val="auto"/>
        </w:rPr>
      </w:pPr>
    </w:p>
    <w:p>
      <w:pPr>
        <w:ind w:left="460" w:hanging="101"/>
        <w:spacing w:after="0" w:line="297"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 salary is based on an executive’s job responsibilities, level of experience, individual performance and contribution to ViaSat, as well as information obtained from surveys of companies in the telecommunications industry of similar size and stage as ViaSat. Year-to-year adjustments to each executive officer’s base salary are determined by an assessment of his or her individual performance against job responsibilities, overall company performance, the company’s budget for merit increases and competitive salary information. The compensation and human resources committee believes that the executives’ base salaries are at approximately the fiftieth percentile (50%) of executive officers at comparable surveyed companies.</w:t>
      </w:r>
    </w:p>
    <w:p>
      <w:pPr>
        <w:spacing w:after="0" w:line="63" w:lineRule="exact"/>
        <w:rPr>
          <w:rFonts w:ascii="Arial" w:cs="Arial" w:eastAsia="Arial" w:hAnsi="Arial"/>
          <w:sz w:val="16"/>
          <w:szCs w:val="16"/>
          <w:color w:val="auto"/>
        </w:rPr>
      </w:pPr>
    </w:p>
    <w:p>
      <w:pPr>
        <w:ind w:left="460" w:right="120" w:hanging="101"/>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variable cash incentive bonuses for our executives are reviewed at the end of the fiscal year and are based on ViaSat’s performance, individual performance, and compensation surveys. Bonuses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awarded in prior years are also taken into consideration. The compensation and human resources committee believes that a significant portion of the annual compensation of each executive should be in the form of a variable cash incentive bonus. The bonuses are at risk and are derived using a formula based upon ViaSat’s achievement of financial performance goals previously established by the compensation and human resources committee and the executive’s individual contribution. These financial performance goals included earnings per share, revenues, new contract orders, and net operating asset turns. The use of financial goals is intended to establish a link between the executive’s pay and our business performance.</w:t>
      </w:r>
    </w:p>
    <w:p>
      <w:pPr>
        <w:spacing w:after="0" w:line="64" w:lineRule="exact"/>
        <w:rPr>
          <w:sz w:val="20"/>
          <w:szCs w:val="20"/>
          <w:color w:val="auto"/>
        </w:rPr>
      </w:pPr>
    </w:p>
    <w:p>
      <w:pPr>
        <w:ind w:left="460" w:right="40" w:hanging="101"/>
        <w:spacing w:after="0" w:line="28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Long-term incentives may include awards of stock options, restricted stock, and performance awards. The objective for the awards is to closely align executive interests with the longer-term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 Our long-term incentives are primarily in the form of stock option awards. The timing of stock option grants and the number of stock options granted are based on a variety of factors, including the company’s achievement of milestones and overall business results and the executive’s performance. Each stock option grant allows the executive to acquire shares of our common stock at a fixed price per share (the market price on the date of grant) over a specified period of time. Stock options granted to our executives generally vest over a five-year period and each option is exercisable over a ten-year period following its grant unless the executive’s employment terminates prior to such date. Accordingly, the stock option grants will provide a return only if the executive remains with ViaSat and only if our market price appreciates over the option term.</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for the Chairman and Chief Executive Officer</w:t>
      </w:r>
    </w:p>
    <w:p>
      <w:pPr>
        <w:spacing w:after="0" w:line="11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Based on the framework described above, the compensation and human resources committee reviews and recommends to our board of directors for approval the compensation of Mr. Dankberg, our chairman and chief executive officer, by judging his individual contributions to ViaSat’s business for the year under review, his level of responsibility and career experience as well as ViaSat’s performance. The compensation and human resources committee does not believe that narrow quantitative measures or formulas are sufficient for determining Mr. Dankberg’s compensation. The compensation and human resources committee does not give specific weights to the factors considered, but the primary factors are Mr. Dankberg’s individual contribution to our business as well as peer survey data. The compensation and human resources committee recognizes Mr. Dankberg’s contributions to ViaSat’s business performance during the fiscal year ended April 1, 2005.</w:t>
      </w:r>
    </w:p>
    <w:p>
      <w:pPr>
        <w:spacing w:after="0" w:line="81"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In May, 2005, Mr. Dankberg’s base salary was increased from $450,000 to $495,000. In determining this adjustment, the compensation and human resources committee considered Mr. Dankberg’s individual performance and strong leadership, as well as ViaSat’s strong overall performance in fiscal year 2005, including our growth in backlog, revenues and earnings per share. The compensation and human resources committee also reviewed competitive salary information and determined that Mr. Dankberg’s then current salary was below the median salary range for other chief executive officers at comparable companies.</w:t>
      </w:r>
    </w:p>
    <w:p>
      <w:pPr>
        <w:spacing w:after="0" w:line="8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For the fiscal year ended April 1, 2005, Mr. Dankberg’s target bonus was equal to approximately 83% of his base salary. In determining Mr. Dankberg’s bonus for such fiscal year, the compensation and human resources committee considered ViaSat’s overall achievement of the financial performance goals for such fiscal year, including earnings per share, revenues, new contract orders and net operating asset turns. The compensation and human resources committee also considered Mr. Dankberg’s contributions to our business. For the fiscal year ended April 1, 2005, Mr. Dankberg received a bonus of $375,000, which represented approximately 100% of his target bonus.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connection with the review of Mr. Dankberg’s individual performance during the fiscal year ended April 1, 2005, as well as ViaSat’s performance during such fiscal year, and considering the level of his current ownership of shares of our common stock, in December 2004, Mr. Dankberg was granted an option to purchase 80,000 shares of our common stock at an exercise price of $21.02.</w:t>
      </w:r>
    </w:p>
    <w:p>
      <w:pPr>
        <w:spacing w:after="0" w:line="7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Considering all the factors, the compensation and human resources committee believes that Mr. Dankberg’s total compensation is at a level competitive with chief executive officers of other telecommunications companies of similar size and stage as ViaSat.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Deductibility of Compensation in Excess of $1 Million Per Year</w:t>
      </w:r>
    </w:p>
    <w:p>
      <w:pPr>
        <w:spacing w:after="0" w:line="117" w:lineRule="exact"/>
        <w:rPr>
          <w:sz w:val="20"/>
          <w:szCs w:val="20"/>
          <w:color w:val="auto"/>
        </w:rPr>
      </w:pPr>
    </w:p>
    <w:p>
      <w:pPr>
        <w:ind w:right="180" w:firstLine="270"/>
        <w:spacing w:after="0" w:line="276" w:lineRule="auto"/>
        <w:rPr>
          <w:sz w:val="20"/>
          <w:szCs w:val="20"/>
          <w:color w:val="auto"/>
        </w:rPr>
      </w:pPr>
      <w:r>
        <w:rPr>
          <w:rFonts w:ascii="Arial" w:cs="Arial" w:eastAsia="Arial" w:hAnsi="Arial"/>
          <w:sz w:val="17"/>
          <w:szCs w:val="17"/>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2005 and 2006, we do not anticipate that there will be nondeductible compensation for the positions in question. The compensation and human resources committee plans to continue to review the matter for 2006 and future years in order to determine the extent of possible modification to our compensation arrangements.</w:t>
      </w:r>
    </w:p>
    <w:p>
      <w:pPr>
        <w:spacing w:after="0" w:line="64"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This report of the compensation and human resources committee shall not be deemed incorporated by reference by any general statement incorporating by reference this Proxy Statement into any filing under the Securities Act of 1933, as amended, or the Securities Exchange Act of 1934, as amended, except to the extent that ViaSat specifically incorporates this information by reference, and shall not otherwise be deemed to be “soliciting material” or deemed “filed” under such Acts.</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and Human Resources Committee</w:t>
      </w:r>
    </w:p>
    <w:p>
      <w:pPr>
        <w:spacing w:after="0" w:line="1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P. Stenbit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The following graph shows the value of an investment of $100 in cash on March 31, 2000 in (1) ViaSat’s common stock, (2) the NASDAQ Telecommunications Index, (3) the NASDAQ Composite Index and (4) the S&amp;P 600 Smallcap Index. The graph assumes that all dividends were reinvested. The stock price performance shown on the graph is not necessarily indicative of future performance. The information contained under this heading “Performance Graph”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62865</wp:posOffset>
            </wp:positionV>
            <wp:extent cx="4871085" cy="256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7108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i w:val="1"/>
          <w:iCs w:val="1"/>
          <w:color w:val="auto"/>
        </w:rPr>
        <w:t>This section shall not be deemed incorporated by reference by any general statement incorporating by reference this Proxy Statement into any filing under the Securities Act of 1933, as amended, or the Securities Exchange Act of 1934, as amended, except to the extent that ViaSat specifically incorporates this information by reference, and shall not otherwise be deemed to be “soliciting material” or deemed “filed” under such Acts.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THE EMPLOYEE STOCK PURCHASE PLAN</w:t>
      </w:r>
    </w:p>
    <w:p>
      <w:pPr>
        <w:spacing w:after="0" w:line="121" w:lineRule="exact"/>
        <w:rPr>
          <w:sz w:val="20"/>
          <w:szCs w:val="20"/>
          <w:color w:val="auto"/>
        </w:rPr>
      </w:pPr>
    </w:p>
    <w:p>
      <w:pPr>
        <w:ind w:right="320" w:firstLine="260"/>
        <w:spacing w:after="0" w:line="277" w:lineRule="auto"/>
        <w:rPr>
          <w:sz w:val="20"/>
          <w:szCs w:val="20"/>
          <w:color w:val="auto"/>
        </w:rPr>
      </w:pPr>
      <w:r>
        <w:rPr>
          <w:rFonts w:ascii="Arial" w:cs="Arial" w:eastAsia="Arial" w:hAnsi="Arial"/>
          <w:sz w:val="18"/>
          <w:szCs w:val="18"/>
          <w:color w:val="auto"/>
        </w:rPr>
        <w:t>At the annual meeting, you will be asked to consider and vote upon a proposal to approve an amendment to the Purchase Plan. The Purchase Plan was initially adopted by our board of directors and approved by our stockholders in October 1996.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Purchase Plan</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key provisions of the Purchase Plan are summarized below. This summary, however, is not intended to be a complete description of all of the terms of the Purchase Plan and is qualified in its entirety by the specific text of the Purchase Plan. A copy of the complete text of the Purchase Plan will be furnished to any stockholder upon written request. Such request should be directed to Investor Relations, ViaSat, Inc., 6155 El Camino Real, Carlsbad, California 92009.</w:t>
      </w:r>
    </w:p>
    <w:p>
      <w:pPr>
        <w:spacing w:after="0" w:line="79"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i w:val="1"/>
          <w:iCs w:val="1"/>
          <w:color w:val="auto"/>
        </w:rPr>
        <w:t xml:space="preserve">General Nature and Purpose. </w:t>
      </w:r>
      <w:r>
        <w:rPr>
          <w:rFonts w:ascii="Arial" w:cs="Arial" w:eastAsia="Arial" w:hAnsi="Arial"/>
          <w:sz w:val="17"/>
          <w:szCs w:val="17"/>
          <w:color w:val="auto"/>
        </w:rPr>
        <w:t>The Purchase Plan was adopted to (1) provide a means by which our employees could be given an opportunity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ViaSat stock and (2) assist our employees to provide for their future security and to encourage them to remain employees of ViaSat. Employees make such purchases by participation in the regular offering periods from which they may withdraw prior to the end of the offering period.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Purchase Plan is administered by the compensation and human resources committee of the board of directors.</w:t>
      </w:r>
    </w:p>
    <w:p>
      <w:pPr>
        <w:spacing w:after="0" w:line="117"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Only employees may participate in the Purchase Plan. For this purpose, an “employee” is any person who is regularly employed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20 hours per week and five months per calendar year by ViaSat or any of its majority-owned subsidiaries. No employee will be permitted to subscribe for shares under the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an option that would permit him or her to buy more than $25,000 worth of stock under the Purchase Plan in any calendar year. As of July 1, 2005 (the last enrollment date), there were 870 employees eligible to participate in the Purchase Plan, of whom 495 were participants.</w:t>
      </w:r>
    </w:p>
    <w:p>
      <w:pPr>
        <w:spacing w:after="0" w:line="70"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i w:val="1"/>
          <w:iCs w:val="1"/>
          <w:color w:val="auto"/>
        </w:rPr>
        <w:t xml:space="preserve">Offering Period. </w:t>
      </w:r>
      <w:r>
        <w:rPr>
          <w:rFonts w:ascii="Arial" w:cs="Arial" w:eastAsia="Arial" w:hAnsi="Arial"/>
          <w:sz w:val="18"/>
          <w:szCs w:val="18"/>
          <w:color w:val="auto"/>
        </w:rPr>
        <w:t>There is generally one offering under the Purchase Plan during each six-month period commencing January 1 and July 1 of each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Plan. The current offering will end on December 31, 2005. The first day of an offering period is referred to as the “Date of Grant.” The last day of an offering period is referred to as the “Date of Exercise.”</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purchase price per share at which shares will be sold in an offering under the Purchase Plan is the lower of (1) 85%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 share of common stock on the Date of Exercise or (2) 85% of the fair market value of a share of common stock on the Date of Grant. The fair market value of the common stock on a given date is the closing price as reported on the Nasdaq National Market.</w:t>
      </w:r>
    </w:p>
    <w:p>
      <w:pPr>
        <w:spacing w:after="0" w:line="73"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i w:val="1"/>
          <w:iCs w:val="1"/>
          <w:color w:val="auto"/>
        </w:rPr>
        <w:t xml:space="preserve">Payment of Purchase Price; Payroll Deductions. </w:t>
      </w:r>
      <w:r>
        <w:rPr>
          <w:rFonts w:ascii="Arial" w:cs="Arial" w:eastAsia="Arial" w:hAnsi="Arial"/>
          <w:sz w:val="17"/>
          <w:szCs w:val="17"/>
          <w:color w:val="auto"/>
        </w:rPr>
        <w:t>The purchase price of the shares is accumulated by payroll deductions over the offering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Plan provides that the aggregate of these payroll deductions during the offering period will not exceed 5% of each employee’s base salary during the offering period. All payroll deductions made for a participant are credited to the participant’s account under the Purchase Plan and are included with the general funds of ViaSat. Funds received upon sales of stock under the Purchase Plan are used for general corporate purposes.</w:t>
      </w:r>
    </w:p>
    <w:p>
      <w:pPr>
        <w:spacing w:after="0" w:line="63" w:lineRule="exact"/>
        <w:rPr>
          <w:sz w:val="20"/>
          <w:szCs w:val="20"/>
          <w:color w:val="auto"/>
        </w:rPr>
      </w:pPr>
    </w:p>
    <w:p>
      <w:pPr>
        <w:ind w:right="580" w:firstLine="270"/>
        <w:spacing w:after="0" w:line="277" w:lineRule="auto"/>
        <w:rPr>
          <w:sz w:val="20"/>
          <w:szCs w:val="20"/>
          <w:color w:val="auto"/>
        </w:rPr>
      </w:pPr>
      <w:r>
        <w:rPr>
          <w:rFonts w:ascii="Arial" w:cs="Arial" w:eastAsia="Arial" w:hAnsi="Arial"/>
          <w:sz w:val="18"/>
          <w:szCs w:val="18"/>
          <w:i w:val="1"/>
          <w:iCs w:val="1"/>
          <w:color w:val="auto"/>
        </w:rPr>
        <w:t xml:space="preserve">Withdrawal. </w:t>
      </w:r>
      <w:r>
        <w:rPr>
          <w:rFonts w:ascii="Arial" w:cs="Arial" w:eastAsia="Arial" w:hAnsi="Arial"/>
          <w:sz w:val="18"/>
          <w:szCs w:val="18"/>
          <w:color w:val="auto"/>
        </w:rPr>
        <w:t>A participant may terminate his or her interest in a given offering by signing and delivering to ViaSat a notice of withdrawal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Plan at least ten days prior to the Date of Exercise of the applicable offering period.</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i w:val="1"/>
          <w:iCs w:val="1"/>
          <w:color w:val="auto"/>
        </w:rPr>
        <w:t xml:space="preserve">Termination of Employment. </w:t>
      </w:r>
      <w:r>
        <w:rPr>
          <w:rFonts w:ascii="Arial" w:cs="Arial" w:eastAsia="Arial" w:hAnsi="Arial"/>
          <w:sz w:val="17"/>
          <w:szCs w:val="17"/>
          <w:color w:val="auto"/>
        </w:rPr>
        <w:t>Termination of a participant’s employment for any reason, including retirement, cancels his or her participation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Plan immediately. In such event the payroll deductions credited to the participant’s account will be returned without interest to such participant.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ViaSat does not receive such notice prior to the Date of Exercise, the participant’s option to purchase shares under the Purchase Plan will be deemed to have been exercised on the Date of Exercise.</w:t>
      </w:r>
    </w:p>
    <w:p>
      <w:pPr>
        <w:spacing w:after="0" w:line="70"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i w:val="1"/>
          <w:iCs w:val="1"/>
          <w:color w:val="auto"/>
        </w:rPr>
        <w:t xml:space="preserve">Capital Changes. </w:t>
      </w:r>
      <w:r>
        <w:rPr>
          <w:rFonts w:ascii="Arial" w:cs="Arial" w:eastAsia="Arial" w:hAnsi="Arial"/>
          <w:sz w:val="18"/>
          <w:szCs w:val="18"/>
          <w:color w:val="auto"/>
        </w:rPr>
        <w:t>In the event of any changes in our capitalization, such as stock splits, stock dividends, recapitalizations or combinations,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or decrease in the number of outstanding shares of common stock, appropriate adjustments will be made by ViaSat in the shares subject to purchase and in the price per share under the Purchase Plan.</w:t>
      </w:r>
    </w:p>
    <w:p>
      <w:pPr>
        <w:spacing w:after="0" w:line="73"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i w:val="1"/>
          <w:iCs w:val="1"/>
          <w:color w:val="auto"/>
        </w:rPr>
        <w:t xml:space="preserve">Effect of Liquidation, Dissolution, Sale of Assets or Merger. </w:t>
      </w:r>
      <w:r>
        <w:rPr>
          <w:rFonts w:ascii="Arial" w:cs="Arial" w:eastAsia="Arial" w:hAnsi="Arial"/>
          <w:sz w:val="16"/>
          <w:szCs w:val="16"/>
          <w:color w:val="auto"/>
        </w:rPr>
        <w:t>In the event of liquidation, dissolution, merger, consolidation or sale of all or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assets of ViaSat, the Date of Exercise will be the business day immediately preceding the effective date of such event, unless the compensation and human resources committee provides for the assumption or substitution of such options to purchase shares of common stock under the Purchase Plan.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Amendment and Termination of the Purchase Plan. </w:t>
      </w:r>
      <w:r>
        <w:rPr>
          <w:rFonts w:ascii="Arial" w:cs="Arial" w:eastAsia="Arial" w:hAnsi="Arial"/>
          <w:sz w:val="18"/>
          <w:szCs w:val="18"/>
          <w:color w:val="auto"/>
        </w:rPr>
        <w:t>The Purchase Plan may be wholly or partially amended or otherwise modified, suspended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at any time or from time to time by our board of directors. However, without approval of our stockholders, the Purchase Plan may not be amended to (1) change the number of shares of common stock reserved for issuance under the Purchase Plan, (2) decrease the purchase price of common stock issued under the Purchase Plan below a price computed in accordance with the applicable provisions of the Purchase Plan, (3) alter requirements for eligibility to participate in the Purchase Plan, or (4) amend the Purchase Plan in any manner which would cause such plan to no longer be an “employee stock purchase plan” within the meaning of the Internal Revenue Code.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Tax Information. </w:t>
      </w:r>
      <w:r>
        <w:rPr>
          <w:rFonts w:ascii="Arial" w:cs="Arial" w:eastAsia="Arial" w:hAnsi="Arial"/>
          <w:sz w:val="17"/>
          <w:szCs w:val="17"/>
          <w:color w:val="auto"/>
        </w:rPr>
        <w:t>The Purchase Plan, and the right of participants to make purchases thereunder, is intended to qualify under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Sections 421 and 423 of the Internal Revenue Code. Under these provisions, no income will be taxable to a participant until the shares purchased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Plan are sold or otherwise disposed. Upon sale or other disposition of the shares, the participant will generally be subject to tax and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tax will depend upon the holding period. If the shares are sold or otherwise disposed of more than two years from the Date of Grant, the participant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 ordinary income measured as the lesser of (a) the excess of the fair market value of the shares at the time of such sale or disposition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or (b) an amount equal to 15% of the fair market value of the shares as of the Date of Grant. Any additional gain will be treated as long-term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gain. If the shares are sold or otherwise disposed of before the expiration of this holding period, the participant will recognize ordinary income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measured as the excess of the fair market value of the shares on the date the shares are purchased over the purchase price. Any further gain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such sale or disposition will be treated as capital gain or loss. ViaSat generally is not entitled to a deduction for amounts taxed as ordinary income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gain to a participant, except to the extent of ordinary income recognized by participants upon a sale or disposition of shares prior to the expiration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holding period described above and subject to the limitation on deductibility set forth in Section 162(m) of the Internal Revenue Code.</w:t>
      </w:r>
    </w:p>
    <w:p>
      <w:pPr>
        <w:spacing w:after="0" w:line="99" w:lineRule="exact"/>
        <w:rPr>
          <w:sz w:val="20"/>
          <w:szCs w:val="20"/>
          <w:color w:val="auto"/>
        </w:rPr>
      </w:pPr>
    </w:p>
    <w:p>
      <w:pPr>
        <w:ind w:right="60" w:firstLine="270"/>
        <w:spacing w:after="0" w:line="258" w:lineRule="auto"/>
        <w:rPr>
          <w:sz w:val="20"/>
          <w:szCs w:val="20"/>
          <w:color w:val="auto"/>
        </w:rPr>
      </w:pPr>
      <w:r>
        <w:rPr>
          <w:rFonts w:ascii="Arial" w:cs="Arial" w:eastAsia="Arial" w:hAnsi="Arial"/>
          <w:sz w:val="18"/>
          <w:szCs w:val="18"/>
          <w:b w:val="1"/>
          <w:bCs w:val="1"/>
          <w:color w:val="auto"/>
        </w:rPr>
        <w:t>THE FOREGOING IS ONLY A SUMMARY OF THE EFFECT OF FEDERAL INCOME TAXATION LAWS UPON THE PARTICIPANT AND VIASAT WITH RESPECT TO THE SHARES PURCHASED UNDER THE PURCHASE PLAN. REFERENCE SHOULD BE MADE TO THE APPLICABLE PROVISIONS OF THE INTERNAL REVENUE CODE. IN ADDITION, THE SUMMARY DOES NOT DISCUSS THE TAX CONSEQUENCES OF A PARTICIPANT’S DEATH OR THE INCOME TAX LAWS OF ANY STATE OR FOREIGN COUNTRY IN WHICH THE PARTICIPANT MAY RESIDE.</w:t>
      </w:r>
    </w:p>
    <w:p>
      <w:pPr>
        <w:spacing w:after="0" w:line="80"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i w:val="1"/>
          <w:iCs w:val="1"/>
          <w:color w:val="auto"/>
        </w:rPr>
        <w:t xml:space="preserve">Participation in the Purchase Plan. </w:t>
      </w:r>
      <w:r>
        <w:rPr>
          <w:rFonts w:ascii="Arial" w:cs="Arial" w:eastAsia="Arial" w:hAnsi="Arial"/>
          <w:sz w:val="18"/>
          <w:szCs w:val="18"/>
          <w:color w:val="auto"/>
        </w:rPr>
        <w:t>Participation in the Purchase Plan is voluntary and is dependent on each eligible employee’s election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and his or her respective determination as to the level of payroll deductions. Accordingly, future purchases under the Purchase Plan are not determinable. Similarly, future purchase prices are not determinable because they are based upon the fair market value of our common stock at the time of purchase. The following table sets forth information with respect to the shares purchased during fiscal year 2005 by (1) the Named Executive Officers named in the Summary Compensation Table above,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executive officers as a group, (3) all current directors who are not current executive officers as a group and (4) all other employees as a group who participated in the Purchase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Name (or Group) and Position</w:t>
            </w:r>
          </w:p>
        </w:tc>
        <w:tc>
          <w:tcPr>
            <w:tcW w:w="280" w:type="dxa"/>
            <w:vAlign w:val="bottom"/>
          </w:tcPr>
          <w:p>
            <w:pPr>
              <w:spacing w:after="0"/>
              <w:rPr>
                <w:sz w:val="14"/>
                <w:szCs w:val="14"/>
                <w:color w:val="auto"/>
              </w:rPr>
            </w:pPr>
          </w:p>
        </w:tc>
        <w:tc>
          <w:tcPr>
            <w:tcW w:w="36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Number of Shares Purchased</w:t>
            </w:r>
          </w:p>
        </w:tc>
        <w:tc>
          <w:tcPr>
            <w:tcW w:w="180" w:type="dxa"/>
            <w:vAlign w:val="bottom"/>
          </w:tcPr>
          <w:p>
            <w:pPr>
              <w:spacing w:after="0"/>
              <w:rPr>
                <w:sz w:val="14"/>
                <w:szCs w:val="14"/>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Aggregate Purchase Price</w:t>
            </w:r>
          </w:p>
        </w:tc>
      </w:tr>
      <w:tr>
        <w:trPr>
          <w:trHeight w:val="209"/>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D. Dankberg</w:t>
            </w:r>
          </w:p>
        </w:tc>
        <w:tc>
          <w:tcPr>
            <w:tcW w:w="280" w:type="dxa"/>
            <w:vAlign w:val="bottom"/>
          </w:tcPr>
          <w:p>
            <w:pPr>
              <w:spacing w:after="0"/>
              <w:rPr>
                <w:sz w:val="18"/>
                <w:szCs w:val="18"/>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rPr>
              <w:t>Chairman, President and Chief Executive Officer</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Richard A. Baldridge</w:t>
            </w:r>
          </w:p>
        </w:tc>
        <w:tc>
          <w:tcPr>
            <w:tcW w:w="280" w:type="dxa"/>
            <w:vAlign w:val="bottom"/>
          </w:tcPr>
          <w:p>
            <w:pPr>
              <w:spacing w:after="0"/>
              <w:rPr>
                <w:sz w:val="18"/>
                <w:szCs w:val="18"/>
                <w:color w:val="auto"/>
              </w:rPr>
            </w:pPr>
          </w:p>
        </w:tc>
        <w:tc>
          <w:tcPr>
            <w:tcW w:w="364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rPr>
              <w:t>President and Chief Operating Officer</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Ronald G. Wangerin</w:t>
            </w:r>
          </w:p>
        </w:tc>
        <w:tc>
          <w:tcPr>
            <w:tcW w:w="3920" w:type="dxa"/>
            <w:vAlign w:val="bottom"/>
            <w:gridSpan w:val="3"/>
          </w:tcPr>
          <w:p>
            <w:pPr>
              <w:jc w:val="right"/>
              <w:ind w:right="1380"/>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11,310</w:t>
            </w: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rPr>
              <w:t>Vice President and Chief Financial Officer</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Gregory D. Monahan</w:t>
            </w:r>
          </w:p>
        </w:tc>
        <w:tc>
          <w:tcPr>
            <w:tcW w:w="3920" w:type="dxa"/>
            <w:vAlign w:val="bottom"/>
            <w:gridSpan w:val="3"/>
          </w:tcPr>
          <w:p>
            <w:pPr>
              <w:jc w:val="right"/>
              <w:ind w:right="1380"/>
              <w:spacing w:after="0"/>
              <w:rPr>
                <w:sz w:val="20"/>
                <w:szCs w:val="20"/>
                <w:color w:val="auto"/>
              </w:rPr>
            </w:pPr>
            <w:r>
              <w:rPr>
                <w:rFonts w:ascii="Arial" w:cs="Arial" w:eastAsia="Arial" w:hAnsi="Arial"/>
                <w:sz w:val="18"/>
                <w:szCs w:val="18"/>
                <w:color w:val="auto"/>
              </w:rPr>
              <w:t>7,027</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63,744</w:t>
            </w: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w w:val="96"/>
              </w:rPr>
              <w:t>Vice President Administration, General Counsel and</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rPr>
              <w:t>Secretary</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Robert L. Barrie</w:t>
            </w:r>
          </w:p>
        </w:tc>
        <w:tc>
          <w:tcPr>
            <w:tcW w:w="3920" w:type="dxa"/>
            <w:vAlign w:val="bottom"/>
            <w:gridSpan w:val="3"/>
          </w:tcPr>
          <w:p>
            <w:pPr>
              <w:jc w:val="right"/>
              <w:ind w:right="1380"/>
              <w:spacing w:after="0"/>
              <w:rPr>
                <w:sz w:val="20"/>
                <w:szCs w:val="20"/>
                <w:color w:val="auto"/>
              </w:rPr>
            </w:pPr>
            <w:r>
              <w:rPr>
                <w:rFonts w:ascii="Arial" w:cs="Arial" w:eastAsia="Arial" w:hAnsi="Arial"/>
                <w:sz w:val="18"/>
                <w:szCs w:val="18"/>
                <w:color w:val="auto"/>
              </w:rPr>
              <w:t>7,893</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72,172</w:t>
            </w:r>
          </w:p>
        </w:tc>
      </w:tr>
      <w:tr>
        <w:trPr>
          <w:trHeight w:val="216"/>
        </w:trPr>
        <w:tc>
          <w:tcPr>
            <w:tcW w:w="4320" w:type="dxa"/>
            <w:vAlign w:val="bottom"/>
          </w:tcPr>
          <w:p>
            <w:pPr>
              <w:ind w:left="300"/>
              <w:spacing w:after="0"/>
              <w:rPr>
                <w:sz w:val="20"/>
                <w:szCs w:val="20"/>
                <w:color w:val="auto"/>
              </w:rPr>
            </w:pPr>
            <w:r>
              <w:rPr>
                <w:rFonts w:ascii="Arial" w:cs="Arial" w:eastAsia="Arial" w:hAnsi="Arial"/>
                <w:sz w:val="18"/>
                <w:szCs w:val="18"/>
                <w:color w:val="auto"/>
              </w:rPr>
              <w:t>Vice President — Operations</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All current participating executive officers as a group</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(4 persons)</w:t>
            </w:r>
          </w:p>
        </w:tc>
        <w:tc>
          <w:tcPr>
            <w:tcW w:w="3920" w:type="dxa"/>
            <w:vAlign w:val="bottom"/>
            <w:gridSpan w:val="3"/>
          </w:tcPr>
          <w:p>
            <w:pPr>
              <w:jc w:val="right"/>
              <w:ind w:right="1380"/>
              <w:spacing w:after="0"/>
              <w:rPr>
                <w:sz w:val="20"/>
                <w:szCs w:val="20"/>
                <w:color w:val="auto"/>
              </w:rPr>
            </w:pPr>
            <w:r>
              <w:rPr>
                <w:rFonts w:ascii="Arial" w:cs="Arial" w:eastAsia="Arial" w:hAnsi="Arial"/>
                <w:sz w:val="18"/>
                <w:szCs w:val="18"/>
                <w:color w:val="auto"/>
              </w:rPr>
              <w:t>16,943</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159,735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3"/>
              </w:rPr>
              <w:t>All current directors who are not current executive officers</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as a group (0 persons)</w:t>
            </w:r>
          </w:p>
        </w:tc>
        <w:tc>
          <w:tcPr>
            <w:tcW w:w="280" w:type="dxa"/>
            <w:vAlign w:val="bottom"/>
          </w:tcPr>
          <w:p>
            <w:pPr>
              <w:spacing w:after="0"/>
              <w:rPr>
                <w:sz w:val="18"/>
                <w:szCs w:val="18"/>
                <w:color w:val="auto"/>
              </w:rPr>
            </w:pPr>
          </w:p>
        </w:tc>
        <w:tc>
          <w:tcPr>
            <w:tcW w:w="364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2"/>
              </w:rPr>
              <w:t>All other participating employees as a group (888 persons)</w:t>
            </w:r>
          </w:p>
        </w:tc>
        <w:tc>
          <w:tcPr>
            <w:tcW w:w="3920" w:type="dxa"/>
            <w:vAlign w:val="bottom"/>
            <w:gridSpan w:val="3"/>
          </w:tcPr>
          <w:p>
            <w:pPr>
              <w:jc w:val="right"/>
              <w:ind w:right="1380"/>
              <w:spacing w:after="0"/>
              <w:rPr>
                <w:sz w:val="20"/>
                <w:szCs w:val="20"/>
                <w:color w:val="auto"/>
              </w:rPr>
            </w:pPr>
            <w:r>
              <w:rPr>
                <w:rFonts w:ascii="Arial" w:cs="Arial" w:eastAsia="Arial" w:hAnsi="Arial"/>
                <w:sz w:val="18"/>
                <w:szCs w:val="18"/>
                <w:color w:val="auto"/>
              </w:rPr>
              <w:t>919,441</w:t>
            </w:r>
          </w:p>
        </w:tc>
        <w:tc>
          <w:tcPr>
            <w:tcW w:w="180" w:type="dxa"/>
            <w:vAlign w:val="bottom"/>
          </w:tcPr>
          <w:p>
            <w:pPr>
              <w:spacing w:after="0"/>
              <w:rPr>
                <w:sz w:val="20"/>
                <w:szCs w:val="20"/>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8,788,837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to the Purchase Plan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Increase in Authorized Shares</w:t>
      </w:r>
    </w:p>
    <w:p>
      <w:pPr>
        <w:spacing w:after="0" w:line="117" w:lineRule="exact"/>
        <w:rPr>
          <w:sz w:val="20"/>
          <w:szCs w:val="20"/>
          <w:color w:val="auto"/>
        </w:rPr>
      </w:pPr>
    </w:p>
    <w:p>
      <w:pPr>
        <w:ind w:right="400" w:firstLine="260"/>
        <w:spacing w:after="0" w:line="342" w:lineRule="auto"/>
        <w:rPr>
          <w:sz w:val="20"/>
          <w:szCs w:val="20"/>
          <w:color w:val="auto"/>
        </w:rPr>
      </w:pPr>
      <w:r>
        <w:rPr>
          <w:rFonts w:ascii="Arial" w:cs="Arial" w:eastAsia="Arial" w:hAnsi="Arial"/>
          <w:sz w:val="16"/>
          <w:szCs w:val="16"/>
          <w:color w:val="auto"/>
        </w:rPr>
        <w:t>A total of 1,000,000 shares of common stock are currently authorized for issuance under the Purchase Plan. Our board of directors has approved and recommends an amendment to the Purchase Plan to increase the number of shares available for issuance by 500,000 shares to a total of 1,500,000.</w:t>
      </w:r>
    </w:p>
    <w:p>
      <w:pPr>
        <w:spacing w:after="0" w:line="16" w:lineRule="exact"/>
        <w:rPr>
          <w:sz w:val="20"/>
          <w:szCs w:val="20"/>
          <w:color w:val="auto"/>
        </w:rPr>
      </w:pPr>
    </w:p>
    <w:p>
      <w:pPr>
        <w:ind w:firstLine="260"/>
        <w:spacing w:after="0" w:line="255" w:lineRule="auto"/>
        <w:rPr>
          <w:sz w:val="20"/>
          <w:szCs w:val="20"/>
          <w:color w:val="auto"/>
        </w:rPr>
      </w:pPr>
      <w:r>
        <w:rPr>
          <w:rFonts w:ascii="Arial" w:cs="Arial" w:eastAsia="Arial" w:hAnsi="Arial"/>
          <w:sz w:val="18"/>
          <w:szCs w:val="18"/>
          <w:color w:val="auto"/>
        </w:rPr>
        <w:t>As of July 1, 2005, an aggregate of 936,384 shares of common stock had been issued under the Purchase Plan. Although 63,616 shares of common stock remain available for issuance under the Purchase Plan as of July 1, 2005, we anticipate that such shares will only permit us to continue the Purchase Plan through the middle of fiscal 2006. Our board of directors believes that increasing the number of shares available for sale under the Purchase Plan is necessary in order for the compensation and human resources committee to have sufficient flexibility to carry out its responsibilities to (1) administer compensation programs that attract, motivate and retain our employees and (2) administer such programs in a manner that benefits the long-term interests of ViaSat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Recommendation of the Board of Directors</w:t>
      </w:r>
    </w:p>
    <w:p>
      <w:pPr>
        <w:spacing w:after="0" w:line="121" w:lineRule="exact"/>
        <w:rPr>
          <w:sz w:val="20"/>
          <w:szCs w:val="20"/>
          <w:color w:val="auto"/>
        </w:rPr>
      </w:pPr>
    </w:p>
    <w:p>
      <w:pPr>
        <w:ind w:right="80" w:firstLine="267"/>
        <w:spacing w:after="0" w:line="302" w:lineRule="auto"/>
        <w:rPr>
          <w:sz w:val="20"/>
          <w:szCs w:val="20"/>
          <w:color w:val="auto"/>
        </w:rPr>
      </w:pPr>
      <w:r>
        <w:rPr>
          <w:rFonts w:ascii="Arial" w:cs="Arial" w:eastAsia="Arial" w:hAnsi="Arial"/>
          <w:sz w:val="16"/>
          <w:szCs w:val="16"/>
          <w:color w:val="auto"/>
        </w:rPr>
        <w:t>The approval of the amendment to the Purchase Plan will require the affirmative vote of a majority of the shares of common stock present or represented by proxy and entitled to vote at the annual meeting. Abstentions are treated as shares present in person or represented by proxy and entitled to vote, so abstaining has the same effect as a negative vote for purposes of determining whether our stockholders have approved the amendment to the Purchase Plan. Broker non-votes will not be counted for purposes of determining whether our stockholders have approved the amendment to the Purchase Plan.</w:t>
      </w:r>
    </w:p>
    <w:p>
      <w:pPr>
        <w:spacing w:after="0" w:line="42" w:lineRule="exact"/>
        <w:rPr>
          <w:sz w:val="20"/>
          <w:szCs w:val="20"/>
          <w:color w:val="auto"/>
        </w:rPr>
      </w:pPr>
    </w:p>
    <w:p>
      <w:pPr>
        <w:ind w:right="320" w:firstLine="270"/>
        <w:spacing w:after="0" w:line="266" w:lineRule="auto"/>
        <w:rPr>
          <w:sz w:val="20"/>
          <w:szCs w:val="20"/>
          <w:color w:val="auto"/>
        </w:rPr>
      </w:pPr>
      <w:r>
        <w:rPr>
          <w:rFonts w:ascii="Arial" w:cs="Arial" w:eastAsia="Arial" w:hAnsi="Arial"/>
          <w:sz w:val="18"/>
          <w:szCs w:val="18"/>
          <w:b w:val="1"/>
          <w:bCs w:val="1"/>
          <w:color w:val="auto"/>
        </w:rPr>
        <w:t>THE BOARD OF DIRECTORS UNANIMOUSLY RECOMMENDS THAT THE STOCKHOLDERS VOTE FOR THE AMENDMENT TO THE PURCHASE PLAN. PROXIES SOLICITED BY THE BOARD OF DIRECTORS WILL BE SO VOTED UNLESS STOCKHOLDERS SPECIFY OTHERWISE ON THEIR PROXY CARDS.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ACCOUNTANTS</w:t>
      </w:r>
    </w:p>
    <w:p>
      <w:pPr>
        <w:spacing w:after="0" w:line="121"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Our financial statements for the fiscal year ended April 1, 2005 have been audited by PricewaterhouseCoopers LLP. PricewaterhouseCoopers LLP has been engaged as ViaSat’s independent registered public accounting firm since 1992. The audit committee has appointed PricewaterhouseCoopers LLP as ViaSat’s independent registered public accounting firm for the fiscal year 2006. Representatives of PricewaterhouseCoopers LLP are expected to be available at the annual meeting to respond to appropriate questions and to make a statement if they desire to do so.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following is a summary of fees incurred by ViaSat from PricewaterhouseCoopers LLP for professional services rendered for the fiscal years ended April 1, 2005 and April 2, 2004.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20"/>
                <w:szCs w:val="20"/>
                <w:color w:val="auto"/>
              </w:rPr>
            </w:pPr>
            <w:r>
              <w:rPr>
                <w:rFonts w:ascii="Arial" w:cs="Arial" w:eastAsia="Arial" w:hAnsi="Arial"/>
                <w:sz w:val="14"/>
                <w:szCs w:val="14"/>
                <w:b w:val="1"/>
                <w:bCs w:val="1"/>
                <w:color w:val="auto"/>
              </w:rPr>
              <w:t>Fee Category</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Arial" w:cs="Arial" w:eastAsia="Arial" w:hAnsi="Arial"/>
                <w:sz w:val="14"/>
                <w:szCs w:val="14"/>
                <w:b w:val="1"/>
                <w:bCs w:val="1"/>
                <w:color w:val="auto"/>
              </w:rPr>
              <w:t>Fiscal 2005 Fees</w:t>
            </w:r>
          </w:p>
        </w:tc>
        <w:tc>
          <w:tcPr>
            <w:tcW w:w="16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Fiscal 2004 Fees</w:t>
            </w:r>
          </w:p>
        </w:tc>
      </w:tr>
      <w:tr>
        <w:trPr>
          <w:trHeight w:val="209"/>
        </w:trPr>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Audit Fees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1,204,457</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423,000</w:t>
            </w:r>
          </w:p>
        </w:tc>
        <w:tc>
          <w:tcPr>
            <w:tcW w:w="2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3"/>
          </w:tcPr>
          <w:p>
            <w:pPr>
              <w:jc w:val="right"/>
              <w:ind w:right="1120"/>
              <w:spacing w:after="0"/>
              <w:rPr>
                <w:sz w:val="20"/>
                <w:szCs w:val="20"/>
                <w:color w:val="auto"/>
              </w:rPr>
            </w:pPr>
            <w:r>
              <w:rPr>
                <w:rFonts w:ascii="Arial" w:cs="Arial" w:eastAsia="Arial" w:hAnsi="Arial"/>
                <w:sz w:val="18"/>
                <w:szCs w:val="18"/>
                <w:color w:val="auto"/>
              </w:rPr>
              <w:t>40,156</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17,500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Fees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3"/>
          </w:tcPr>
          <w:p>
            <w:pPr>
              <w:jc w:val="right"/>
              <w:ind w:right="1120"/>
              <w:spacing w:after="0"/>
              <w:rPr>
                <w:sz w:val="20"/>
                <w:szCs w:val="20"/>
                <w:color w:val="auto"/>
              </w:rPr>
            </w:pPr>
            <w:r>
              <w:rPr>
                <w:rFonts w:ascii="Arial" w:cs="Arial" w:eastAsia="Arial" w:hAnsi="Arial"/>
                <w:sz w:val="18"/>
                <w:szCs w:val="18"/>
                <w:color w:val="auto"/>
              </w:rPr>
              <w:t>29,434</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36,727</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7,018</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 Fees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1,281,065</w:t>
            </w: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478,727</w:t>
            </w:r>
          </w:p>
        </w:tc>
        <w:tc>
          <w:tcPr>
            <w:tcW w:w="20" w:type="dxa"/>
            <w:vAlign w:val="bottom"/>
          </w:tcPr>
          <w:p>
            <w:pPr>
              <w:spacing w:after="0"/>
              <w:rPr>
                <w:sz w:val="19"/>
                <w:szCs w:val="19"/>
                <w:color w:val="auto"/>
              </w:rPr>
            </w:pPr>
          </w:p>
        </w:tc>
      </w:tr>
      <w:tr>
        <w:trPr>
          <w:trHeight w:val="21"/>
        </w:trPr>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70"/>
        <w:spacing w:after="0" w:line="288"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Consist of fees for professional services rendered for the audit of ViaSat’s consolidated annual financial statements and review of the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included in quarterly reports and services that are normally provided by PricewaterhouseCoopers LLP in connection with statutory and regulatory filings or engagements. In 2005, audit fees also include $658,000 of fees for professional services rendered for the audits of</w:t>
      </w:r>
    </w:p>
    <w:p>
      <w:pPr>
        <w:ind w:right="520"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management’s assessment of the effectiveness of internal control over financial reporting and (2) the effectiveness of internal control over financial reporting.</w:t>
      </w:r>
    </w:p>
    <w:p>
      <w:pPr>
        <w:spacing w:after="0" w:line="76" w:lineRule="exact"/>
        <w:rPr>
          <w:sz w:val="20"/>
          <w:szCs w:val="20"/>
          <w:color w:val="auto"/>
        </w:rPr>
      </w:pPr>
    </w:p>
    <w:p>
      <w:pPr>
        <w:jc w:val="both"/>
        <w:ind w:right="260" w:firstLine="27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Consist of fees incurred for assurance and related services that are reasonably related to the performance of the audit or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consolidated financial statements and are not reported under “Audit Fees.” These services include employee benefit plan audits and consultations concerning financial accounting and reporting standards.</w:t>
      </w:r>
    </w:p>
    <w:p>
      <w:pPr>
        <w:spacing w:after="0" w:line="73"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incurred for professional services for tax compliance, tax advice and tax planning. These services include assistance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international tax compliance, and international tax planning.</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Represent fees for subscription to PricewaterhouseCoopers LLP’s on-line research tool and human resources surveys.</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Audit Committee Policy Regarding Pre-Approval of Audit and Permissible Non-Audit Services of the Company’s Independent Registered Public Accounting Firm</w:t>
      </w:r>
    </w:p>
    <w:p>
      <w:pPr>
        <w:spacing w:after="0" w:line="58"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audit committee has established a policy that all audit and permissible non-audit services provided by ViaSat’s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ViaSat’s auditor. Pre-approval is detailed as to the particular service or category of services and is generally subject to a specific budget. ViaSat’s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There are no exceptions to the policy of securing pre-approval of the audit committee for any service provided by ViaSat’s independent registered public accounting firm. Four percent of these services were approved by the audit committee of ViaSat under paragraph (c)(7)(i)(C) of Rule 2-01 of Regulation S-X in fiscal year 2004. Prior to May 6, 2003, ViaSat was not subject to Rule 2-01(c)(7) of Regulation S-X.</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There were no material transactions, or series of similar transactions, since the beginning of our last fiscal year, or any currently proposed transactions, or series of similar transactions, to which we are a party, in which the amount involved exceeds $60,000, and in which any director or executive officer, or any security holder who is known by us to own of record or beneficially more than 5% of any class of our common stock, or any member of the immediate family of any of the foregoing persons, has an interest.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Under Section 16(a) of the Exchange Act, directors, executive officers and beneficial owners of 10% or more of ViaSat’s common stock (Reporting Persons) are required to report to the SEC on a timely basis the initiation of their status as a Reporting Person and any changes with respect to their beneficial ownership of ViaSat’s common stock. Based solely on ViaSat’s review of copies of such forms that ViaSat has received, or written representations from Reporting Persons, ViaSat believes that during the fiscal year ended April 1, 2005, all executive officers, directors and greater than 10% stockholders complied with all applicable filing requirements.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2006 ANNUAL MEETING</w:t>
      </w:r>
    </w:p>
    <w:p>
      <w:pPr>
        <w:spacing w:after="0" w:line="121" w:lineRule="exact"/>
        <w:rPr>
          <w:sz w:val="20"/>
          <w:szCs w:val="20"/>
          <w:color w:val="auto"/>
        </w:rPr>
      </w:pPr>
    </w:p>
    <w:p>
      <w:pPr>
        <w:ind w:right="20" w:firstLine="260"/>
        <w:spacing w:after="0" w:line="272" w:lineRule="auto"/>
        <w:rPr>
          <w:sz w:val="20"/>
          <w:szCs w:val="20"/>
          <w:color w:val="auto"/>
        </w:rPr>
      </w:pPr>
      <w:r>
        <w:rPr>
          <w:rFonts w:ascii="Arial" w:cs="Arial" w:eastAsia="Arial" w:hAnsi="Arial"/>
          <w:sz w:val="17"/>
          <w:szCs w:val="17"/>
          <w:color w:val="auto"/>
        </w:rPr>
        <w:t>Any proposal of a stockholder of ViaSat intended to be presented at the next annual meeting of stockholders must be received by our corporate secretary not later than April 12, 2006, which is 120 days prior to August 10, 2006, to be considered for inclusion in our proxy statement and form of proxy relating to that meeting. Under our First Amended and Restated Bylaws, a stockholder who wishes to make a proposal at the 2006 Annual Meeting without including the proposal in our proxy statement and form of proxy relating to that meeting must notify us no earlier than May 12, 2006 and no later than June 10, 2006 unless the date of the 2006 annual meeting of stockholders is more than 30 days before or more than 60 days after the one-year anniversary of the 2005 annual meeting. If the stockholder fails to give notice by this date, then the persons named as proxies in the proxies solicited by the board of directors for the 2006 Annual Meeting may exercise discretionary voting power regarding any such proposal.</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 All stockholders are urged to complete, sign and return the accompanying proxy card in the enclosed envelope.</w:t>
      </w:r>
    </w:p>
    <w:p>
      <w:pPr>
        <w:spacing w:after="0" w:line="200" w:lineRule="exact"/>
        <w:rPr>
          <w:sz w:val="20"/>
          <w:szCs w:val="20"/>
          <w:color w:val="auto"/>
        </w:rPr>
      </w:pPr>
    </w:p>
    <w:p>
      <w:pPr>
        <w:spacing w:after="0" w:line="3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92075</wp:posOffset>
            </wp:positionV>
            <wp:extent cx="1852295" cy="574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22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2005</w:t>
      </w:r>
    </w:p>
    <w:p>
      <w:pPr>
        <w:spacing w:after="0" w:line="17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9, 2005,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10"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b w:val="1"/>
          <w:bCs w:val="1"/>
          <w:color w:val="auto"/>
        </w:rPr>
        <w:t>THIS PROXY WILL BE VOTED FOR THE ELECTION AS DIRECTORS OF THE NOMINEES LISTED IN PROPOSAL 1 AND FOR THE APPROVAL OF THE AMENDMENT TO THE PURCHASE PLAN SET FORTH IN PROPOSAL 2, EACH AS MORE SPECIFICALLY DESCRIBED IN THE PROXY STATEMENT, UNLESS THE CONTRARY IS INDICATED IN THE APPROPRIATE PLACE.</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 on reverse side)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-FOLD AND DETACH HERE -</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MARK VOTE IN BOX IN THE FOLLOWING MANNER USING DARK INK ONLY.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FOR all nominees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listed below (except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marked to the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contrary below)</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WITHHOLD AUTHORITY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vote for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nominees listed below</w:t>
      </w:r>
    </w:p>
    <w:p>
      <w:pPr>
        <w:spacing w:after="0" w:line="400" w:lineRule="exact"/>
        <w:rPr>
          <w:sz w:val="20"/>
          <w:szCs w:val="20"/>
          <w:color w:val="auto"/>
        </w:rPr>
      </w:pPr>
    </w:p>
    <w:p>
      <w:pPr>
        <w:sectPr>
          <w:pgSz w:w="11900" w:h="16838" w:orient="portrait"/>
          <w:cols w:equalWidth="0" w:num="2">
            <w:col w:w="2580" w:space="720"/>
            <w:col w:w="8040"/>
          </w:cols>
          <w:pgMar w:left="240" w:top="419" w:right="319" w:bottom="1440" w:gutter="0" w:footer="0" w:header="0"/>
          <w:type w:val="continuous"/>
        </w:sectPr>
      </w:pPr>
    </w:p>
    <w:p>
      <w:pPr>
        <w:spacing w:after="0"/>
        <w:rPr>
          <w:sz w:val="20"/>
          <w:szCs w:val="20"/>
          <w:color w:val="auto"/>
        </w:rPr>
      </w:pPr>
      <w:r>
        <w:rPr>
          <w:rFonts w:ascii="Arial" w:cs="Arial" w:eastAsia="Arial" w:hAnsi="Arial"/>
          <w:sz w:val="17"/>
          <w:szCs w:val="17"/>
          <w:color w:val="auto"/>
        </w:rPr>
        <w:t>Mark D. Dankberg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B. Targoff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Harvey P. White</w:t>
      </w:r>
    </w:p>
    <w:p>
      <w:pPr>
        <w:sectPr>
          <w:pgSz w:w="11900" w:h="16838" w:orient="portrait"/>
          <w:cols w:equalWidth="0" w:num="1">
            <w:col w:w="11340"/>
          </w:cols>
          <w:pgMar w:left="240" w:top="419" w:right="319" w:bottom="1440" w:gutter="0" w:footer="0" w:header="0"/>
          <w:type w:val="continuous"/>
        </w:sectPr>
      </w:pP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3987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2: Approval of Amendment to Employee Stock Purchase Plan as described in the accompanying proxy statement:</w:t>
      </w:r>
    </w:p>
    <w:p>
      <w:pPr>
        <w:spacing w:after="0" w:line="200" w:lineRule="exact"/>
        <w:rPr>
          <w:sz w:val="20"/>
          <w:szCs w:val="20"/>
          <w:color w:val="auto"/>
        </w:rPr>
      </w:pPr>
    </w:p>
    <w:p>
      <w:pPr>
        <w:spacing w:after="0" w:line="201" w:lineRule="exact"/>
        <w:rPr>
          <w:sz w:val="20"/>
          <w:szCs w:val="20"/>
          <w:color w:val="auto"/>
        </w:rPr>
      </w:pPr>
    </w:p>
    <w:p>
      <w:pPr>
        <w:ind w:left="580"/>
        <w:spacing w:after="0"/>
        <w:tabs>
          <w:tab w:leader="none" w:pos="2200" w:val="left"/>
          <w:tab w:leader="none" w:pos="4360" w:val="left"/>
        </w:tabs>
        <w:rPr>
          <w:sz w:val="20"/>
          <w:szCs w:val="20"/>
          <w:color w:val="auto"/>
        </w:rPr>
      </w:pPr>
      <w:r>
        <w:rPr>
          <w:rFonts w:ascii="Arial" w:cs="Arial" w:eastAsia="Arial" w:hAnsi="Arial"/>
          <w:sz w:val="18"/>
          <w:szCs w:val="18"/>
          <w:color w:val="auto"/>
        </w:rPr>
        <w:t>£ FOR</w:t>
      </w:r>
      <w:r>
        <w:rPr>
          <w:sz w:val="20"/>
          <w:szCs w:val="20"/>
          <w:color w:val="auto"/>
        </w:rPr>
        <w:tab/>
      </w:r>
      <w:r>
        <w:rPr>
          <w:rFonts w:ascii="Arial" w:cs="Arial" w:eastAsia="Arial" w:hAnsi="Arial"/>
          <w:sz w:val="18"/>
          <w:szCs w:val="18"/>
          <w:color w:val="auto"/>
        </w:rPr>
        <w:t>£ WITHHOLD</w:t>
      </w:r>
      <w:r>
        <w:rPr>
          <w:sz w:val="20"/>
          <w:szCs w:val="20"/>
          <w:color w:val="auto"/>
        </w:rPr>
        <w:tab/>
      </w:r>
      <w:r>
        <w:rPr>
          <w:rFonts w:ascii="Arial" w:cs="Arial" w:eastAsia="Arial" w:hAnsi="Arial"/>
          <w:sz w:val="17"/>
          <w:szCs w:val="17"/>
          <w:color w:val="auto"/>
        </w:rPr>
        <w:t>£ ABSTAIN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revokes any prior proxy at the meeting and ratifies all that said attorneys and proxies, or any of them, may lawfully do by virtue 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Notice of Annual Meeting of Stockholders and proxy statement is hereby acknowledged.</w:t>
      </w:r>
    </w:p>
    <w:p>
      <w:pPr>
        <w:spacing w:after="0" w:line="386" w:lineRule="exact"/>
        <w:rPr>
          <w:sz w:val="20"/>
          <w:szCs w:val="20"/>
          <w:color w:val="auto"/>
        </w:rPr>
      </w:pPr>
    </w:p>
    <w:p>
      <w:pPr>
        <w:ind w:left="580"/>
        <w:spacing w:after="0"/>
        <w:tabs>
          <w:tab w:leader="none" w:pos="2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160655</wp:posOffset>
            </wp:positionV>
            <wp:extent cx="2752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-10160</wp:posOffset>
            </wp:positionV>
            <wp:extent cx="571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351790</wp:posOffset>
            </wp:positionV>
            <wp:extent cx="2752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(Signature(s) of Stockholders)</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IS SOLICITED ON BEHALF OF THE BOARD OF DIRECTORS OF VIASAT, INC. PLEASE COMPLETE, SIGN, DATE AND MAIL PROMPTLY IN THE POSTAGE-PAID ENVELOPE ENCLOSED. THANK YOU.</w:t>
      </w: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o"/>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lvl w:ilvl="1">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2"/>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2019-12-13T16:52:14Z</dcterms:created>
  <dcterms:modified xsi:type="dcterms:W3CDTF">2019-12-13T16:52:14Z</dcterms:modified>
</cp:coreProperties>
</file>