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 w:lineRule="exact"/>
        <w:rPr>
          <w:sz w:val="24"/>
          <w:szCs w:val="24"/>
          <w:color w:val="auto"/>
        </w:rPr>
      </w:pPr>
    </w:p>
    <w:p>
      <w:pPr>
        <w:ind w:left="460" w:right="460" w:hanging="452"/>
        <w:spacing w:after="0" w:line="244"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28,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16" w:lineRule="exact"/>
        <w:rPr>
          <w:sz w:val="24"/>
          <w:szCs w:val="24"/>
          <w:color w:val="auto"/>
        </w:rPr>
      </w:pPr>
    </w:p>
    <w:p>
      <w:pPr>
        <w:sectPr>
          <w:pgSz w:w="11900" w:h="16838" w:orient="portrait"/>
          <w:cols w:equalWidth="0" w:num="3">
            <w:col w:w="6160" w:space="580"/>
            <w:col w:w="140" w:space="620"/>
            <w:col w:w="392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tbl>
      <w:tblPr>
        <w:tblLayout w:type="fixed"/>
        <w:tblInd w:w="2020" w:type="dxa"/>
        <w:tblCellMar>
          <w:top w:w="0" w:type="dxa"/>
          <w:left w:w="0" w:type="dxa"/>
          <w:bottom w:w="0" w:type="dxa"/>
          <w:right w:w="0" w:type="dxa"/>
        </w:tblCellMar>
      </w:tblPr>
      <w:tr>
        <w:trPr>
          <w:trHeight w:val="529"/>
        </w:trPr>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60" w:type="dxa"/>
            <w:vAlign w:val="bottom"/>
            <w:gridSpan w:val="2"/>
          </w:tcPr>
          <w:p>
            <w:pPr>
              <w:jc w:val="center"/>
              <w:ind w:right="2192"/>
              <w:spacing w:after="0"/>
              <w:rPr>
                <w:sz w:val="20"/>
                <w:szCs w:val="20"/>
                <w:color w:val="auto"/>
              </w:rPr>
            </w:pPr>
            <w:r>
              <w:rPr>
                <w:rFonts w:ascii="Arial" w:cs="Arial" w:eastAsia="Arial" w:hAnsi="Arial"/>
                <w:sz w:val="43"/>
                <w:szCs w:val="43"/>
                <w:b w:val="1"/>
                <w:bCs w:val="1"/>
                <w:color w:val="auto"/>
                <w:w w:val="94"/>
              </w:rPr>
              <w:t>ViaSat, Inc.</w:t>
            </w:r>
          </w:p>
        </w:tc>
      </w:tr>
      <w:tr>
        <w:trPr>
          <w:trHeight w:val="228"/>
        </w:trPr>
        <w:tc>
          <w:tcPr>
            <w:tcW w:w="1760" w:type="dxa"/>
            <w:vAlign w:val="bottom"/>
          </w:tcPr>
          <w:p>
            <w:pPr>
              <w:spacing w:after="0"/>
              <w:rPr>
                <w:sz w:val="19"/>
                <w:szCs w:val="19"/>
                <w:color w:val="auto"/>
              </w:rPr>
            </w:pPr>
          </w:p>
        </w:tc>
        <w:tc>
          <w:tcPr>
            <w:tcW w:w="5400" w:type="dxa"/>
            <w:vAlign w:val="bottom"/>
            <w:gridSpan w:val="3"/>
          </w:tcPr>
          <w:p>
            <w:pPr>
              <w:jc w:val="center"/>
              <w:ind w:right="1452"/>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r>
      <w:tr>
        <w:trPr>
          <w:trHeight w:val="178"/>
        </w:trPr>
        <w:tc>
          <w:tcPr>
            <w:tcW w:w="1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2280" w:type="dxa"/>
            <w:vAlign w:val="bottom"/>
          </w:tcPr>
          <w:p>
            <w:pPr>
              <w:spacing w:after="0"/>
              <w:rPr>
                <w:sz w:val="15"/>
                <w:szCs w:val="15"/>
                <w:color w:val="auto"/>
              </w:rPr>
            </w:pPr>
          </w:p>
        </w:tc>
      </w:tr>
      <w:tr>
        <w:trPr>
          <w:trHeight w:val="305"/>
        </w:trPr>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400" w:type="dxa"/>
            <w:vAlign w:val="bottom"/>
            <w:gridSpan w:val="3"/>
          </w:tcPr>
          <w:p>
            <w:pPr>
              <w:jc w:val="center"/>
              <w:ind w:left="4257"/>
              <w:spacing w:after="0"/>
              <w:rPr>
                <w:sz w:val="20"/>
                <w:szCs w:val="20"/>
                <w:color w:val="auto"/>
              </w:rPr>
            </w:pPr>
            <w:r>
              <w:rPr>
                <w:rFonts w:ascii="Arial" w:cs="Arial" w:eastAsia="Arial" w:hAnsi="Arial"/>
                <w:sz w:val="18"/>
                <w:szCs w:val="18"/>
                <w:b w:val="1"/>
                <w:bCs w:val="1"/>
                <w:color w:val="auto"/>
                <w:w w:val="89"/>
              </w:rPr>
              <w:t>33-0174996</w:t>
            </w:r>
          </w:p>
        </w:tc>
      </w:tr>
      <w:tr>
        <w:trPr>
          <w:trHeight w:val="149"/>
        </w:trPr>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7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jc w:val="center"/>
              <w:ind w:left="115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7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80" w:type="dxa"/>
            <w:vAlign w:val="bottom"/>
          </w:tcPr>
          <w:p>
            <w:pPr>
              <w:jc w:val="center"/>
              <w:ind w:left="1152"/>
              <w:spacing w:after="0"/>
              <w:rPr>
                <w:sz w:val="20"/>
                <w:szCs w:val="20"/>
                <w:color w:val="auto"/>
              </w:rPr>
            </w:pPr>
            <w:r>
              <w:rPr>
                <w:rFonts w:ascii="Arial" w:cs="Arial" w:eastAsia="Arial" w:hAnsi="Arial"/>
                <w:sz w:val="14"/>
                <w:szCs w:val="14"/>
                <w:b w:val="1"/>
                <w:bCs w:val="1"/>
                <w:color w:val="auto"/>
                <w:w w:val="89"/>
              </w:rPr>
              <w:t>Identification No.)</w:t>
            </w:r>
          </w:p>
        </w:tc>
      </w:tr>
      <w:tr>
        <w:trPr>
          <w:trHeight w:val="364"/>
        </w:trPr>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60" w:type="dxa"/>
            <w:vAlign w:val="bottom"/>
            <w:gridSpan w:val="2"/>
          </w:tcPr>
          <w:p>
            <w:pPr>
              <w:jc w:val="center"/>
              <w:ind w:right="2212"/>
              <w:spacing w:after="0"/>
              <w:rPr>
                <w:sz w:val="20"/>
                <w:szCs w:val="20"/>
                <w:color w:val="auto"/>
              </w:rPr>
            </w:pPr>
            <w:r>
              <w:rPr>
                <w:rFonts w:ascii="Arial" w:cs="Arial" w:eastAsia="Arial" w:hAnsi="Arial"/>
                <w:sz w:val="18"/>
                <w:szCs w:val="18"/>
                <w:b w:val="1"/>
                <w:bCs w:val="1"/>
                <w:color w:val="auto"/>
                <w:w w:val="89"/>
              </w:rPr>
              <w:t>6155 El Camino Real</w:t>
            </w:r>
          </w:p>
        </w:tc>
      </w:tr>
      <w:tr>
        <w:trPr>
          <w:trHeight w:val="216"/>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60" w:type="dxa"/>
            <w:vAlign w:val="bottom"/>
            <w:gridSpan w:val="2"/>
          </w:tcPr>
          <w:p>
            <w:pPr>
              <w:jc w:val="center"/>
              <w:ind w:right="2192"/>
              <w:spacing w:after="0"/>
              <w:rPr>
                <w:sz w:val="20"/>
                <w:szCs w:val="20"/>
                <w:color w:val="auto"/>
              </w:rPr>
            </w:pPr>
            <w:r>
              <w:rPr>
                <w:rFonts w:ascii="Arial" w:cs="Arial" w:eastAsia="Arial" w:hAnsi="Arial"/>
                <w:sz w:val="18"/>
                <w:szCs w:val="18"/>
                <w:b w:val="1"/>
                <w:bCs w:val="1"/>
                <w:color w:val="auto"/>
                <w:w w:val="90"/>
              </w:rPr>
              <w:t>Carlsbad, California 92009</w:t>
            </w:r>
          </w:p>
        </w:tc>
      </w:tr>
      <w:tr>
        <w:trPr>
          <w:trHeight w:val="218"/>
        </w:trPr>
        <w:tc>
          <w:tcPr>
            <w:tcW w:w="1760" w:type="dxa"/>
            <w:vAlign w:val="bottom"/>
          </w:tcPr>
          <w:p>
            <w:pPr>
              <w:spacing w:after="0"/>
              <w:rPr>
                <w:sz w:val="18"/>
                <w:szCs w:val="18"/>
                <w:color w:val="auto"/>
              </w:rPr>
            </w:pPr>
          </w:p>
        </w:tc>
        <w:tc>
          <w:tcPr>
            <w:tcW w:w="3120" w:type="dxa"/>
            <w:vAlign w:val="bottom"/>
            <w:gridSpan w:val="2"/>
          </w:tcPr>
          <w:p>
            <w:pPr>
              <w:jc w:val="center"/>
              <w:ind w:left="657"/>
              <w:spacing w:after="0"/>
              <w:rPr>
                <w:sz w:val="20"/>
                <w:szCs w:val="20"/>
                <w:color w:val="auto"/>
              </w:rPr>
            </w:pPr>
            <w:r>
              <w:rPr>
                <w:rFonts w:ascii="Arial" w:cs="Arial" w:eastAsia="Arial" w:hAnsi="Arial"/>
                <w:sz w:val="18"/>
                <w:szCs w:val="18"/>
                <w:b w:val="1"/>
                <w:bCs w:val="1"/>
                <w:color w:val="auto"/>
                <w:w w:val="89"/>
              </w:rPr>
              <w:t>(760) 476-2200</w:t>
            </w:r>
          </w:p>
        </w:tc>
        <w:tc>
          <w:tcPr>
            <w:tcW w:w="2280" w:type="dxa"/>
            <w:vAlign w:val="bottom"/>
          </w:tcPr>
          <w:p>
            <w:pPr>
              <w:spacing w:after="0"/>
              <w:rPr>
                <w:sz w:val="18"/>
                <w:szCs w:val="18"/>
                <w:color w:val="auto"/>
              </w:rPr>
            </w:pPr>
          </w:p>
        </w:tc>
      </w:tr>
      <w:tr>
        <w:trPr>
          <w:trHeight w:val="174"/>
        </w:trPr>
        <w:tc>
          <w:tcPr>
            <w:tcW w:w="1760" w:type="dxa"/>
            <w:vAlign w:val="bottom"/>
          </w:tcPr>
          <w:p>
            <w:pPr>
              <w:spacing w:after="0"/>
              <w:rPr>
                <w:sz w:val="15"/>
                <w:szCs w:val="15"/>
                <w:color w:val="auto"/>
              </w:rPr>
            </w:pPr>
          </w:p>
        </w:tc>
        <w:tc>
          <w:tcPr>
            <w:tcW w:w="5400" w:type="dxa"/>
            <w:vAlign w:val="bottom"/>
            <w:gridSpan w:val="3"/>
          </w:tcPr>
          <w:p>
            <w:pPr>
              <w:jc w:val="center"/>
              <w:ind w:right="1452"/>
              <w:spacing w:after="0"/>
              <w:rPr>
                <w:sz w:val="20"/>
                <w:szCs w:val="20"/>
                <w:color w:val="auto"/>
              </w:rPr>
            </w:pPr>
            <w:r>
              <w:rPr>
                <w:rFonts w:ascii="Arial" w:cs="Arial" w:eastAsia="Arial" w:hAnsi="Arial"/>
                <w:sz w:val="14"/>
                <w:szCs w:val="14"/>
                <w:b w:val="1"/>
                <w:bCs w:val="1"/>
                <w:color w:val="auto"/>
                <w:w w:val="85"/>
              </w:rPr>
              <w:t>(Address of principal executive offices and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00" w:space="420"/>
            <w:col w:w="622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outstanding of the registrant’s common stock, $0.0001 par value, as of July 22, 2013 was 45,440,010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11040" w:type="dxa"/>
            <w:vAlign w:val="bottom"/>
            <w:gridSpan w:val="16"/>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040" w:type="dxa"/>
            <w:vAlign w:val="bottom"/>
            <w:gridSpan w:val="16"/>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08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and Comprehensive Income (Loss)</w:t>
              </w:r>
            </w:hyperlink>
          </w:p>
        </w:tc>
        <w:tc>
          <w:tcPr>
            <w:tcW w:w="45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Equity</w:t>
              </w:r>
            </w:hyperlink>
          </w:p>
        </w:tc>
        <w:tc>
          <w:tcPr>
            <w:tcW w:w="420" w:type="dxa"/>
            <w:vAlign w:val="bottom"/>
            <w:tcBorders>
              <w:top w:val="single" w:sz="8" w:color="0000EE"/>
            </w:tcBorders>
          </w:tcPr>
          <w:p>
            <w:pPr>
              <w:spacing w:after="0"/>
              <w:rPr>
                <w:sz w:val="17"/>
                <w:szCs w:val="17"/>
                <w:color w:val="auto"/>
              </w:rPr>
            </w:pPr>
          </w:p>
        </w:tc>
        <w:tc>
          <w:tcPr>
            <w:tcW w:w="69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the Condensed Consolidated Financial Statements</w:t>
              </w:r>
            </w:hyperlink>
          </w:p>
        </w:tc>
        <w:tc>
          <w:tcPr>
            <w:tcW w:w="64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Item 3.</w:t>
              </w:r>
            </w:hyperlink>
          </w:p>
        </w:tc>
        <w:tc>
          <w:tcPr>
            <w:tcW w:w="6320" w:type="dxa"/>
            <w:vAlign w:val="bottom"/>
            <w:tcBorders>
              <w:top w:val="single" w:sz="8" w:color="0000EE"/>
            </w:tcBorders>
            <w:gridSpan w:val="13"/>
          </w:tcPr>
          <w:p>
            <w:pPr>
              <w:ind w:left="20"/>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42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Item 4.</w:t>
              </w:r>
            </w:hyperlink>
          </w:p>
        </w:tc>
        <w:tc>
          <w:tcPr>
            <w:tcW w:w="176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6"/>
              </w:rPr>
            </w:pPr>
            <w:hyperlink w:anchor="page44">
              <w:r>
                <w:rPr>
                  <w:rFonts w:ascii="Arial" w:cs="Arial" w:eastAsia="Arial" w:hAnsi="Arial"/>
                  <w:sz w:val="18"/>
                  <w:szCs w:val="18"/>
                  <w:color w:val="0000EE"/>
                  <w:w w:val="86"/>
                </w:rPr>
                <w:t>Controls and Procedures</w:t>
              </w:r>
            </w:hyperlink>
          </w:p>
        </w:tc>
        <w:tc>
          <w:tcPr>
            <w:tcW w:w="2520" w:type="dxa"/>
            <w:vAlign w:val="bottom"/>
            <w:tcBorders>
              <w:top w:val="single" w:sz="8" w:color="0000EE"/>
            </w:tcBorders>
            <w:gridSpan w:val="6"/>
          </w:tcPr>
          <w:p>
            <w:pPr>
              <w:spacing w:after="0"/>
              <w:rPr>
                <w:sz w:val="17"/>
                <w:szCs w:val="17"/>
                <w:color w:val="auto"/>
              </w:rPr>
            </w:pPr>
          </w:p>
        </w:tc>
        <w:tc>
          <w:tcPr>
            <w:tcW w:w="62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8"/>
        </w:trPr>
        <w:tc>
          <w:tcPr>
            <w:tcW w:w="11040" w:type="dxa"/>
            <w:vAlign w:val="bottom"/>
            <w:gridSpan w:val="16"/>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20" w:type="dxa"/>
            <w:vAlign w:val="bottom"/>
            <w:tcBorders>
              <w:bottom w:val="single" w:sz="8" w:color="0000EE"/>
            </w:tcBorders>
            <w:gridSpan w:val="2"/>
          </w:tcPr>
          <w:p>
            <w:pPr>
              <w:spacing w:after="0" w:line="184"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Item 1.</w:t>
              </w:r>
            </w:hyperlink>
          </w:p>
        </w:tc>
        <w:tc>
          <w:tcPr>
            <w:tcW w:w="1340" w:type="dxa"/>
            <w:vAlign w:val="bottom"/>
            <w:tcBorders>
              <w:bottom w:val="single" w:sz="8" w:color="0000EE"/>
            </w:tcBorders>
            <w:gridSpan w:val="4"/>
          </w:tcPr>
          <w:p>
            <w:pPr>
              <w:ind w:left="20"/>
              <w:spacing w:after="0" w:line="184"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Legal Proceedings</w:t>
              </w:r>
            </w:hyperlink>
          </w:p>
        </w:tc>
        <w:tc>
          <w:tcPr>
            <w:tcW w:w="9180" w:type="dxa"/>
            <w:vAlign w:val="bottom"/>
            <w:gridSpan w:val="10"/>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Item 1A. Risk Factors</w:t>
              </w:r>
            </w:hyperlink>
          </w:p>
        </w:tc>
        <w:tc>
          <w:tcPr>
            <w:tcW w:w="948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Item 6.</w:t>
              </w:r>
            </w:hyperlink>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Exhibits</w:t>
              </w:r>
            </w:hyperlink>
          </w:p>
        </w:tc>
        <w:tc>
          <w:tcPr>
            <w:tcW w:w="990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28, 2013</w:t>
            </w:r>
          </w:p>
        </w:tc>
        <w:tc>
          <w:tcPr>
            <w:tcW w:w="1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29, 2013</w:t>
            </w:r>
          </w:p>
        </w:tc>
      </w:t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5"/>
          </w:tcPr>
          <w:p>
            <w:pPr>
              <w:jc w:val="right"/>
              <w:ind w:right="573"/>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0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79,682</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105,738</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260,701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266,970</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125,692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106,281</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25,015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25,065</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40,819</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530,319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544,873</w:t>
            </w: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535,090</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399,213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378,691</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47,170</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82,632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83,000</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205,248</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1,837,271</w:t>
            </w:r>
          </w:p>
        </w:tc>
        <w:tc>
          <w:tcPr>
            <w:tcW w:w="26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1,794,072</w:t>
            </w: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ind w:left="328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121,309</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83,009</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145,370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161,909</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other long-term debt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268,589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247,148</w:t>
            </w: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584,717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584,993</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Other long-term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1,456</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907,310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886,237</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ViaSat, Inc.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715,115</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219,212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221,046</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held in treasury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(33,770)</w:t>
            </w: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ViaSat, Inc.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903,001</w:t>
            </w: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Noncontrolling interest in subsidiary</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929,961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907,835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1,837,271</w:t>
            </w:r>
          </w:p>
        </w:tc>
        <w:tc>
          <w:tcPr>
            <w:tcW w:w="26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1,794,072</w:t>
            </w: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83"/>
              </w:rPr>
              <w:t>June 28, 2013</w:t>
            </w: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5"/>
              </w:rPr>
              <w:t>June 29,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gridSpan w:val="5"/>
          </w:tcPr>
          <w:p>
            <w:pPr>
              <w:jc w:val="right"/>
              <w:ind w:right="213"/>
              <w:spacing w:after="0" w:line="142" w:lineRule="exact"/>
              <w:rPr>
                <w:sz w:val="20"/>
                <w:szCs w:val="20"/>
                <w:color w:val="auto"/>
              </w:rPr>
            </w:pPr>
            <w:r>
              <w:rPr>
                <w:rFonts w:ascii="Arial" w:cs="Arial" w:eastAsia="Arial" w:hAnsi="Arial"/>
                <w:sz w:val="14"/>
                <w:szCs w:val="14"/>
                <w:b w:val="1"/>
                <w:bCs w:val="1"/>
                <w:color w:val="auto"/>
                <w:w w:val="93"/>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182,161</w:t>
            </w:r>
          </w:p>
        </w:tc>
        <w:tc>
          <w:tcPr>
            <w:tcW w:w="4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147,729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138,941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321,102</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241,763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129,414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109,049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105,893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64,781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(10,163)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(11,546)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(5,231)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(10,842)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Less: Net income (loss) attributable to the noncontrolling interest, net of tax</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ViaSat,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(14,420)</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Basic net loss per share attributable to ViaSat, Inc. common stockholders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(0.04)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 attributable to ViaSat, Inc.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Shares used in computing basic net loss per share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45,110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loss per share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(loss) on hedging, net of tax</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 net of tax</w:t>
            </w:r>
          </w:p>
        </w:tc>
        <w:tc>
          <w:tcPr>
            <w:tcW w:w="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Comprehensive loss</w:t>
            </w:r>
          </w:p>
        </w:tc>
        <w:tc>
          <w:tcPr>
            <w:tcW w:w="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(1,452)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(15,134)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(loss) attributable to the noncontrolling interest, net of tax</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 attributable to ViaSat, Inc.</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(1,799)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42"/>
        </w:trPr>
        <w:tc>
          <w:tcPr>
            <w:tcW w:w="9200" w:type="dxa"/>
            <w:vAlign w:val="bottom"/>
          </w:tcPr>
          <w:p>
            <w:pPr>
              <w:spacing w:after="0"/>
              <w:rPr>
                <w:sz w:val="12"/>
                <w:szCs w:val="12"/>
                <w:color w:val="auto"/>
              </w:rPr>
            </w:pPr>
          </w:p>
        </w:tc>
        <w:tc>
          <w:tcPr>
            <w:tcW w:w="132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28, 2013</w:t>
            </w:r>
          </w:p>
        </w:tc>
        <w:tc>
          <w:tcPr>
            <w:tcW w:w="8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June 29,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left="394"/>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(1,487)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(14,433)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loss to net cash provided by operating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88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36,226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31,154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5,563</w:t>
            </w:r>
          </w:p>
        </w:tc>
        <w:tc>
          <w:tcPr>
            <w:tcW w:w="0" w:type="dxa"/>
            <w:vAlign w:val="bottom"/>
          </w:tcPr>
          <w:p>
            <w:pPr>
              <w:spacing w:after="0"/>
              <w:rPr>
                <w:sz w:val="1"/>
                <w:szCs w:val="1"/>
                <w:color w:val="auto"/>
              </w:rPr>
            </w:pPr>
          </w:p>
        </w:tc>
      </w:tr>
      <w:tr>
        <w:trPr>
          <w:trHeight w:val="216"/>
        </w:trPr>
        <w:tc>
          <w:tcPr>
            <w:tcW w:w="9200" w:type="dxa"/>
            <w:vAlign w:val="bottom"/>
          </w:tcPr>
          <w:p>
            <w:pPr>
              <w:ind w:left="8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(5,888)</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(10,888)</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6,619</w:t>
            </w:r>
          </w:p>
        </w:tc>
        <w:tc>
          <w:tcPr>
            <w:tcW w:w="0" w:type="dxa"/>
            <w:vAlign w:val="bottom"/>
          </w:tcPr>
          <w:p>
            <w:pPr>
              <w:spacing w:after="0"/>
              <w:rPr>
                <w:sz w:val="1"/>
                <w:szCs w:val="1"/>
                <w:color w:val="auto"/>
              </w:rPr>
            </w:pPr>
          </w:p>
        </w:tc>
      </w:tr>
      <w:tr>
        <w:trPr>
          <w:trHeight w:val="216"/>
        </w:trPr>
        <w:tc>
          <w:tcPr>
            <w:tcW w:w="9200" w:type="dxa"/>
            <w:vAlign w:val="bottom"/>
          </w:tcPr>
          <w:p>
            <w:pPr>
              <w:ind w:left="880"/>
              <w:spacing w:after="0"/>
              <w:rPr>
                <w:sz w:val="20"/>
                <w:szCs w:val="20"/>
                <w:color w:val="auto"/>
              </w:rPr>
            </w:pPr>
            <w:r>
              <w:rPr>
                <w:rFonts w:ascii="Arial" w:cs="Arial" w:eastAsia="Arial" w:hAnsi="Arial"/>
                <w:sz w:val="18"/>
                <w:szCs w:val="18"/>
                <w:color w:val="auto"/>
              </w:rPr>
              <w:t>Loss on disposition of fixed assets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6,036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non-cash adjustments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w w:val="97"/>
              </w:rPr>
              <w:t>Increase (decrease) in cash resulting from changes in operating assets and liabilities, net of effect of acquisition: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(10,607)</w:t>
            </w:r>
          </w:p>
        </w:tc>
        <w:tc>
          <w:tcPr>
            <w:tcW w:w="0" w:type="dxa"/>
            <w:vAlign w:val="bottom"/>
          </w:tcPr>
          <w:p>
            <w:pPr>
              <w:spacing w:after="0"/>
              <w:rPr>
                <w:sz w:val="1"/>
                <w:szCs w:val="1"/>
                <w:color w:val="auto"/>
              </w:rPr>
            </w:pPr>
          </w:p>
        </w:tc>
      </w:tr>
      <w:tr>
        <w:trPr>
          <w:trHeight w:val="216"/>
        </w:trPr>
        <w:tc>
          <w:tcPr>
            <w:tcW w:w="9200" w:type="dxa"/>
            <w:vAlign w:val="bottom"/>
          </w:tcPr>
          <w:p>
            <w:pPr>
              <w:ind w:left="8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(14,245)</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(10,274)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16"/>
        </w:trPr>
        <w:tc>
          <w:tcPr>
            <w:tcW w:w="9200" w:type="dxa"/>
            <w:vAlign w:val="bottom"/>
          </w:tcPr>
          <w:p>
            <w:pPr>
              <w:ind w:left="88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18,994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(8,012)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23"/>
        </w:trPr>
        <w:tc>
          <w:tcPr>
            <w:tcW w:w="9200" w:type="dxa"/>
            <w:vAlign w:val="bottom"/>
          </w:tcPr>
          <w:p>
            <w:pPr>
              <w:ind w:left="88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property, equipment and satellites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(73,030)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(36,882)</w:t>
            </w:r>
          </w:p>
        </w:tc>
        <w:tc>
          <w:tcPr>
            <w:tcW w:w="0" w:type="dxa"/>
            <w:vAlign w:val="bottom"/>
          </w:tcPr>
          <w:p>
            <w:pPr>
              <w:spacing w:after="0"/>
              <w:rPr>
                <w:sz w:val="1"/>
                <w:szCs w:val="1"/>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Cash paid for patents, licenses and other assets</w:t>
            </w:r>
          </w:p>
        </w:tc>
        <w:tc>
          <w:tcPr>
            <w:tcW w:w="1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(11,776)</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 related to acquisition of business, net of cash acquired</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(87,206)</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(43,209)</w:t>
            </w:r>
          </w:p>
        </w:tc>
        <w:tc>
          <w:tcPr>
            <w:tcW w:w="0" w:type="dxa"/>
            <w:vAlign w:val="bottom"/>
          </w:tcPr>
          <w:p>
            <w:pPr>
              <w:spacing w:after="0"/>
              <w:rPr>
                <w:sz w:val="1"/>
                <w:szCs w:val="1"/>
                <w:color w:val="auto"/>
              </w:rPr>
            </w:pPr>
          </w:p>
        </w:tc>
      </w:tr>
      <w:tr>
        <w:trPr>
          <w:trHeight w:val="218"/>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Payment of debt issuance costs</w:t>
            </w:r>
          </w:p>
        </w:tc>
        <w:tc>
          <w:tcPr>
            <w:tcW w:w="14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issuance of common stock under equity plans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Purchase of common stock in treasury</w:t>
            </w:r>
          </w:p>
        </w:tc>
        <w:tc>
          <w:tcPr>
            <w:tcW w:w="1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130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7,432</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8"/>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(26,056)</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(42,691)</w:t>
            </w:r>
          </w:p>
        </w:tc>
        <w:tc>
          <w:tcPr>
            <w:tcW w:w="0" w:type="dxa"/>
            <w:vAlign w:val="bottom"/>
          </w:tcPr>
          <w:p>
            <w:pPr>
              <w:spacing w:after="0"/>
              <w:rPr>
                <w:sz w:val="1"/>
                <w:szCs w:val="1"/>
                <w:color w:val="auto"/>
              </w:rPr>
            </w:pPr>
          </w:p>
        </w:tc>
      </w:tr>
      <w:tr>
        <w:trPr>
          <w:trHeight w:val="218"/>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105,738</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172,583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79,682</w:t>
            </w:r>
          </w:p>
        </w:tc>
        <w:tc>
          <w:tcPr>
            <w:tcW w:w="5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129,892</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0" w:type="dxa"/>
            <w:vAlign w:val="bottom"/>
          </w:tcPr>
          <w:p>
            <w:pPr>
              <w:ind w:left="440"/>
              <w:spacing w:after="0"/>
              <w:rPr>
                <w:sz w:val="20"/>
                <w:szCs w:val="20"/>
                <w:color w:val="auto"/>
              </w:rPr>
            </w:pPr>
            <w:r>
              <w:rPr>
                <w:rFonts w:ascii="Arial" w:cs="Arial" w:eastAsia="Arial" w:hAnsi="Arial"/>
                <w:sz w:val="18"/>
                <w:szCs w:val="18"/>
                <w:color w:val="auto"/>
              </w:rPr>
              <w:t>Issuance of common stock in satisfaction of certain accrued employee compensation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8,018</w:t>
            </w:r>
          </w:p>
        </w:tc>
        <w:tc>
          <w:tcPr>
            <w:tcW w:w="5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7,060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center"/>
              <w:ind w:left="17"/>
              <w:spacing w:after="0"/>
              <w:rPr>
                <w:sz w:val="20"/>
                <w:szCs w:val="20"/>
                <w:color w:val="auto"/>
              </w:rPr>
            </w:pPr>
            <w:r>
              <w:rPr>
                <w:rFonts w:ascii="Arial" w:cs="Arial" w:eastAsia="Arial" w:hAnsi="Arial"/>
                <w:sz w:val="14"/>
                <w:szCs w:val="14"/>
                <w:b w:val="1"/>
                <w:bCs w:val="1"/>
                <w:color w:val="auto"/>
                <w:w w:val="87"/>
              </w:rPr>
              <w:t>ViaSat, Inc. Stockholders</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960" w:type="dxa"/>
            <w:vAlign w:val="bottom"/>
          </w:tcPr>
          <w:p>
            <w:pPr>
              <w:spacing w:after="0"/>
              <w:rPr>
                <w:sz w:val="12"/>
                <w:szCs w:val="12"/>
                <w:color w:val="auto"/>
              </w:rPr>
            </w:pPr>
          </w:p>
        </w:tc>
        <w:tc>
          <w:tcPr>
            <w:tcW w:w="126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5"/>
          </w:tcPr>
          <w:p>
            <w:pPr>
              <w:jc w:val="right"/>
              <w:ind w:right="440"/>
              <w:spacing w:after="0" w:line="129" w:lineRule="exact"/>
              <w:rPr>
                <w:sz w:val="20"/>
                <w:szCs w:val="20"/>
                <w:color w:val="auto"/>
              </w:rPr>
            </w:pPr>
            <w:r>
              <w:rPr>
                <w:rFonts w:ascii="Arial" w:cs="Arial" w:eastAsia="Arial" w:hAnsi="Arial"/>
                <w:sz w:val="14"/>
                <w:szCs w:val="14"/>
                <w:b w:val="1"/>
                <w:bCs w:val="1"/>
                <w:color w:val="auto"/>
                <w:w w:val="99"/>
              </w:rPr>
              <w:t>Common Stock Held</w:t>
            </w: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9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Number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5"/>
          </w:tcPr>
          <w:p>
            <w:pPr>
              <w:jc w:val="right"/>
              <w:ind w:right="700"/>
              <w:spacing w:after="0" w:line="142" w:lineRule="exact"/>
              <w:rPr>
                <w:sz w:val="20"/>
                <w:szCs w:val="20"/>
                <w:color w:val="auto"/>
              </w:rPr>
            </w:pPr>
            <w:r>
              <w:rPr>
                <w:rFonts w:ascii="Arial" w:cs="Arial" w:eastAsia="Arial" w:hAnsi="Arial"/>
                <w:sz w:val="14"/>
                <w:szCs w:val="14"/>
                <w:b w:val="1"/>
                <w:bCs w:val="1"/>
                <w:color w:val="auto"/>
              </w:rPr>
              <w:t>in Treasury</w:t>
            </w:r>
          </w:p>
        </w:tc>
        <w:tc>
          <w:tcPr>
            <w:tcW w:w="180" w:type="dxa"/>
            <w:vAlign w:val="bottom"/>
          </w:tcPr>
          <w:p>
            <w:pPr>
              <w:spacing w:after="0"/>
              <w:rPr>
                <w:sz w:val="12"/>
                <w:szCs w:val="12"/>
                <w:color w:val="auto"/>
              </w:rPr>
            </w:pPr>
          </w:p>
        </w:tc>
        <w:tc>
          <w:tcPr>
            <w:tcW w:w="720" w:type="dxa"/>
            <w:vAlign w:val="bottom"/>
          </w:tcPr>
          <w:p>
            <w:pPr>
              <w:jc w:val="center"/>
              <w:ind w:right="94"/>
              <w:spacing w:after="0" w:line="142"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Noncontrolling</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296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1"/>
                <w:szCs w:val="11"/>
                <w:color w:val="auto"/>
              </w:rPr>
            </w:pPr>
          </w:p>
        </w:tc>
        <w:tc>
          <w:tcPr>
            <w:tcW w:w="9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Retained</w:t>
            </w:r>
          </w:p>
        </w:tc>
        <w:tc>
          <w:tcPr>
            <w:tcW w:w="84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Interest in</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29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1"/>
              </w:rPr>
              <w:t>Issued</w:t>
            </w:r>
          </w:p>
        </w:tc>
        <w:tc>
          <w:tcPr>
            <w:tcW w:w="240" w:type="dxa"/>
            <w:vAlign w:val="bottom"/>
          </w:tcPr>
          <w:p>
            <w:pPr>
              <w:spacing w:after="0"/>
              <w:rPr>
                <w:sz w:val="14"/>
                <w:szCs w:val="14"/>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6"/>
              </w:rPr>
              <w:t>Amount</w:t>
            </w:r>
          </w:p>
        </w:tc>
        <w:tc>
          <w:tcPr>
            <w:tcW w:w="680" w:type="dxa"/>
            <w:vAlign w:val="bottom"/>
          </w:tcPr>
          <w:p>
            <w:pPr>
              <w:jc w:val="right"/>
              <w:ind w:right="37"/>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Earnings</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142"/>
        </w:trPr>
        <w:tc>
          <w:tcPr>
            <w:tcW w:w="29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7"/>
          </w:tcPr>
          <w:p>
            <w:pPr>
              <w:ind w:left="520"/>
              <w:spacing w:after="0" w:line="142" w:lineRule="exact"/>
              <w:rPr>
                <w:sz w:val="20"/>
                <w:szCs w:val="20"/>
                <w:color w:val="auto"/>
              </w:rPr>
            </w:pPr>
            <w:r>
              <w:rPr>
                <w:rFonts w:ascii="Arial" w:cs="Arial" w:eastAsia="Arial" w:hAnsi="Arial"/>
                <w:sz w:val="14"/>
                <w:szCs w:val="14"/>
                <w:b w:val="1"/>
                <w:bCs w:val="1"/>
                <w:color w:val="auto"/>
                <w:w w:val="98"/>
              </w:rPr>
              <w:t>(In thousands, except share data)</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29, 2013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45,921,793</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$ 715,115</w:t>
            </w:r>
          </w:p>
        </w:tc>
        <w:tc>
          <w:tcPr>
            <w:tcW w:w="9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7"/>
              </w:rPr>
              <w:t>$221,046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(947,607)</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5"/>
              </w:rPr>
              <w:t>$ (33,770)</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606</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4,834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$907,835</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8"/>
                <w:szCs w:val="18"/>
                <w:color w:val="auto"/>
              </w:rPr>
              <w:t>258,433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5,593</w:t>
            </w:r>
          </w:p>
        </w:tc>
        <w:tc>
          <w:tcPr>
            <w:tcW w:w="24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5,594</w:t>
            </w:r>
          </w:p>
        </w:tc>
      </w:tr>
      <w:tr>
        <w:trPr>
          <w:trHeight w:val="208"/>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under Employee</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Purchase Plan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2,685</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7,554</w:t>
            </w:r>
          </w:p>
        </w:tc>
        <w:tc>
          <w:tcPr>
            <w:tcW w:w="24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7,554</w:t>
            </w:r>
          </w:p>
        </w:tc>
      </w:tr>
      <w:tr>
        <w:trPr>
          <w:trHeight w:val="208"/>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issued in settlement of certain</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employee compensation</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8,018</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RSU awards vesting</w:t>
            </w:r>
          </w:p>
        </w:tc>
        <w:tc>
          <w:tcPr>
            <w:tcW w:w="840" w:type="dxa"/>
            <w:vAlign w:val="bottom"/>
          </w:tcPr>
          <w:p>
            <w:pPr>
              <w:jc w:val="right"/>
              <w:spacing w:after="0"/>
              <w:rPr>
                <w:sz w:val="20"/>
                <w:szCs w:val="20"/>
                <w:color w:val="auto"/>
              </w:rPr>
            </w:pPr>
            <w:r>
              <w:rPr>
                <w:rFonts w:ascii="Arial" w:cs="Arial" w:eastAsia="Arial" w:hAnsi="Arial"/>
                <w:sz w:val="18"/>
                <w:szCs w:val="18"/>
                <w:color w:val="auto"/>
              </w:rPr>
              <w:t>9,688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1"/>
              </w:rPr>
              <w:t>Purchase of treasury shares pursuant to</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vesting of certain RSU agreements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(3,813)</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Net (loss) income</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(1,834)</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w w:val="79"/>
              </w:rPr>
              <w:t>347</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(1,487)</w:t>
            </w:r>
          </w:p>
        </w:tc>
      </w:tr>
      <w:tr>
        <w:trPr>
          <w:trHeight w:val="208"/>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2"/>
              </w:rPr>
              <w:t>Other comprehensive income (loss), net</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tax (hedging transaction $77;</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($42))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79"/>
              </w:rPr>
              <w:t>35</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Balance at June 28, 2013</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46,384,233</w:t>
            </w: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738,965</w:t>
            </w:r>
          </w:p>
        </w:tc>
        <w:tc>
          <w:tcPr>
            <w:tcW w:w="900" w:type="dxa"/>
            <w:vAlign w:val="bottom"/>
            <w:gridSpan w:val="2"/>
          </w:tcPr>
          <w:p>
            <w:pPr>
              <w:jc w:val="center"/>
              <w:ind w:left="15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219,212</w:t>
            </w: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(951,420)</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(34,043)</w:t>
            </w: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460"/>
              <w:spacing w:after="0"/>
              <w:rPr>
                <w:sz w:val="20"/>
                <w:szCs w:val="20"/>
                <w:color w:val="auto"/>
              </w:rPr>
            </w:pPr>
            <w:r>
              <w:rPr>
                <w:rFonts w:ascii="Arial" w:cs="Arial" w:eastAsia="Arial" w:hAnsi="Arial"/>
                <w:sz w:val="18"/>
                <w:szCs w:val="18"/>
                <w:color w:val="auto"/>
                <w:w w:val="79"/>
              </w:rPr>
              <w:t>641</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380"/>
              <w:spacing w:after="0"/>
              <w:rPr>
                <w:sz w:val="20"/>
                <w:szCs w:val="20"/>
                <w:color w:val="auto"/>
              </w:rPr>
            </w:pPr>
            <w:r>
              <w:rPr>
                <w:rFonts w:ascii="Arial" w:cs="Arial" w:eastAsia="Arial" w:hAnsi="Arial"/>
                <w:sz w:val="18"/>
                <w:szCs w:val="18"/>
                <w:color w:val="auto"/>
                <w:w w:val="79"/>
              </w:rPr>
              <w:t>5,181</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929,961</w:t>
            </w:r>
          </w:p>
        </w:tc>
      </w:tr>
      <w:tr>
        <w:trPr>
          <w:trHeight w:val="20"/>
        </w:trPr>
        <w:tc>
          <w:tcPr>
            <w:tcW w:w="2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7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accompanying condensed consolidated balance sheet at June 28, 2013, the condensed consolidated statements of operations and comprehensive income (loss) for the three months ended June 28, 2013 and June 29, 2012, the condensed consolidated statements of cash flows for the three months ended June 28, 2013 and June 29, 2012 and the condensed consolidated statement of equity for the three months ended June 28, 2013 have been prepared by the management of ViaSat, Inc. (also referred to hereafter as the Company or ViaSat), and have not been audited. These financial statements have been prepared on the same basis as the audited consolidated financial statements for the fiscal year ended March 29, 2013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29, 2013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2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Company’s condensed consolidated financial statements include the assets, liabilities and results of operations of ViaSat, its wholly owned subsidiaries and TrellisWare Technologies, Inc. (TrellisWare), a majority-owned subsidiary. All significant intercompany amounts have been eliminated.</w:t>
      </w:r>
    </w:p>
    <w:p>
      <w:pPr>
        <w:spacing w:after="0" w:line="85"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The Company’s fiscal year is the 52 or 53 weeks ending on the Friday closest to March 31 of the specified year. For example, references to fiscal year 2014 refer to the fiscal year ending on April 4, 2014. The Company’s quarters for fiscal year 2014 end on June 28, 2013, October 4, 2013, January 3, 2014 and April 4, 2014. This results in a 53 week fiscal year approximately every four to five years. Fiscal year 2014 is a 53 week year, compared with a 52 week year in fiscal year</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2013. As a result of the shift in the fiscal calendar, the second quarter of fiscal year 2014 includes an additional week. The Company does not believe that the extra week results in any material impact on its financial results.</w:t>
      </w:r>
    </w:p>
    <w:p>
      <w:pPr>
        <w:spacing w:after="0" w:line="13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During the first quarter of fiscal year 2014, the Company completed the acquisition of LonoCloud, Inc. (LonoCloud), an early-stage privately held company. This acquisition was accounted for as a purchase and, accordingly, the condensed consolidated financial statements include the operating results of LonoCloud from the date of acquisition.</w:t>
      </w:r>
    </w:p>
    <w:p>
      <w:pPr>
        <w:spacing w:after="0" w:line="140"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June 28, 2013 and June 29, 2012, the Company recorded losses of approximately $0.4 million and $1.3 million, respectively, related to loss contracts.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7"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0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the Company establishes VSOE of the selling price using the price charged for a deliverable when sold separately and for software license updates, product support and hardware systems support, based on the renewal rates offered to customers.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and the stage of the product lifecycle. The determination of ESP considers the Company’s pricing model and go-to-market strategy. As the Company,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12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twelve months are recorded within other liabilities in the condensed consolidated financial statements.</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completed for fiscal year 2004 and subsequent fiscal years. Although the Company has recorded contract revenues subsequent to fiscal year 2003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June 28, 2013 and March 29, 2013, the Company had $7.2 million in contract-related reserves for its estimate of potential refunds to customers for potential cost adjustments on several multi-year U.S. government cost reimbursable contracts (see Note 8).</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accordance with the authoritative guidance for advertising costs (ASC 720-35), advertising costs are expensed as incurred. Advertising expenses for the three months ended June 28, 2013 and June 29, 2012 were $2.9 million and $5.5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compensates third parties based on specific commission programs directly related to certain product and service sales and these commissions costs are expensed as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gateway facilities,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w:t>
      </w:r>
    </w:p>
    <w:p>
      <w:pPr>
        <w:spacing w:after="0" w:line="12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During the three months ended June 28, 2013 and June 29, 2012, the Company capitalized $0.9 million and $0.8 million of interest expense, respectively, with respect to assets under construction.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owns two satellites: ViaSat-1 (its high-capacity Ka-band spot-beam satellite, which was placed into service in January 2012) and WildBlue-1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(which was placed into service in March 2007). During the first quarter of fiscal year 2014, the Company announced the entry into a satellite construction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 for ViaSat-2, a second high-capacity Ka-band satellite. In addition, the Company has an exclusive prepaid lifetime capital lease of Ka-band capacity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continental United States on Telesat Canada’s Anik F2 satellite (which was placed into service in April 2005) and owns related gateway and networking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equipment for all of its satellites. The Company periodically reviews the remaining estimated useful life of its satellites to determine if revisions to estimated lives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are necessary. The Company procured indoor and outdoor customer premise equipment (CPE) units leased to subscribers under a retail leasing program as part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Company’s satellite services segment, which are reflected in investing activities and property and equipment in the accompanying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The Company depreciates the satellites, gateway and networking equipment, CPE units and related installation costs over their estimated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useful lives. The total cost and accumulated depreciation of CPE units included in property and equipment, net, as of June 28, 2013 were $190.0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$58.4 million, respectively. The total cost and accumulated depreciation of CPE units included in property and equipment, net, as of March 29, 2013 were $170.9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and $51.5 million, respectively.</w:t>
      </w:r>
    </w:p>
    <w:p>
      <w:pPr>
        <w:spacing w:after="0" w:line="16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As of June 28, 2013 and March 29, 2013, the Company had $3.2 million of capitalized costs related to patents included in other assets. As of June 28, 2013 and March 29, 2013, the Company had $13.5 million and $8.6 million, respectively, of capitalized costs related to acquiring and obtaining orbital slots and other licenses included in other assets. Accumulated amortization related to these assets was approximately $0.7 million as of June 28, 2013 and March 29, 2013. Amortization expense related to these assets was an insignificant amount for the three months ended June 28, 2013 and June 29, 2012. If a patent, orbital slot or orbital license is rejected, abandoned or otherwise invalidated, the unamortized cost is expensed in that period. During the three months ended June 28, 2013 and June 29, 2012, the Company did not write off any significant costs due to abandonment or impairment.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Debt issuance costs are amortized and recognized as interest expense on a straight-line basis over the expected term of the related debt, the results of which are not materially different from the effective interest rate basis. During the three months ended June 28, 2013, no amounts were paid for debt issuance costs. During the three months ended June 29, 2012, the Company paid and capitalized debt issuance costs of approximately $2.2 million. Unamortized debt issuance costs related to extinguished debt are expensed at the time the debt is extinguished and recorded in loss on extinguishment of debt in the consolidated statements of operations and comprehensive income (loss). Other unamortized debt issuance costs are recorded in prepaid expenses and other current assets and in other long-term assets in the consolidated balance sheets, depending on the amounts expected to be amortized to interest expense within the next twelve months.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$64.6 million and $60.6 million related to software developed for resale were included in other assets as of June 28, 2013 and March 29, 2013, respectively. The Company capitalized $6.4 million of costs related to software developed for resale for each of the three months ended June 28, 2013 and June 29, 2012. Amortization expense for software development costs was $2.4 million and $1.5 million for the three months ended June 28, 2013 and June 29, 2012,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$2.5 million and $2.3 million as of June 28, 2013 and March 29, 2013,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June 28, 2013 and March 29, 2013, no such amounts were accrued related to the aforementioned provisions.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the first three months of fiscal years 2014 and 2013, the Company issued 9,688 and 127,604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3,813 and 47,665 shares of common stock with a total value of $0.3 million and $2.0 million during the first three months of fiscal years 2014 and 2013, respectively. Repurchased shares of common stock of 951,420 and 947,607 were held in treasury as of June 28, 2013 and March 29, 2013,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0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the three months ended June 28, 2013 and June 29, 2012, the Company settled certain foreign exchange contracts and in connection therewith recognized a loss of less than $0.1 million and $0.1 million, respectively, recorded in cost of revenues based on the nature of the underlying transactions. The fair value of the Company’s foreign currency forward contracts was an accrued liability of $0.2 million and $0.3 million at June 28, 2013 and March 29, 2013, respectively. The notional value of foreign currency forward contracts outstanding as of June 28, 2013 and March 29, 2013 was $9.6 million and $7.0 million, respectively.</w:t>
      </w:r>
    </w:p>
    <w:p>
      <w:pPr>
        <w:spacing w:after="0" w:line="143"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At June 28, 2013, the estimated net amount of unrealized gains or losses related to foreign currency forward contracts that was expected to be reclassified to earnings within the next twelve months was approximately $0.2 million. The Company’s foreign currency forward contracts outstanding as of June 28, 2013 will mature within one to twenty-three months from their inception. There were no gains or losses from ineffectiveness of these derivative instruments recorded for the three months ended June 28, 2013 and June 29,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the authoritative guidance for share-based payments (ASC 718), the Company measures stock-based compensation cost at the grant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date, based on the estimated fair value of the award, and recognizes expense on a straight-line basis over the employee’s requisite service period. Stock-based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is recognized in the condensed consolidated statements of operations and comprehensive income (loss)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28, 2013 and June 29, 2012 only for those awards ultimately expected to vest, with forfeitures estimated at the date of grant. The authoritative guidance for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share-based payments requires forfeitures to be estimated at the time of grant and revised, if necessary, in subsequent periods if actual forfeitures differ from those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estimates. The Company recognized $7.5 million and $6.6 million of stock-based compensation expense for the three months ended June 28, 2013 and June 29,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2012, respectively.</w:t>
      </w:r>
    </w:p>
    <w:p>
      <w:pPr>
        <w:spacing w:after="0" w:line="165"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For the three months ended June 28, 2013 and June 29, 2012, the Company recorded no incremental tax benefits from stock options exercised and restricted stock unit award vesting as the excess tax benefit from stock options exercised and restricted stock unit award vesting increased the Company’s net operating loss carryforward.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Current income tax expense is the amount of income taxes expected to be payable for the current fiscal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w:t>
      </w:r>
    </w:p>
    <w:p>
      <w:pPr>
        <w:spacing w:after="0" w:line="1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Company’s analysis of the need for a valuation allowance considered the losses incurred during the three months ended June 28, 2013 and the fiscal year ended March 29, 2013. The loss in fiscal year 2013 was more significant and a substantial portion of such loss resulted from an extinguishment of debt charge that was recorded upon the refinancing of the Company’s former 8.875% Senior Notes due 2016 (2016 Notes) with the proceeds from the issuance of additional 6.875% Senior Notes due 2020 (2020 Notes), which is expected to provide a benefit to net income in the future due to the lower interest rate of the 2020 Notes. The Company’s evaluation considered other factors, including the Company’s history of positive earnings, current earnings trends as the Company’s satellite subscriber base scales on its recently launched satellite, ViaSat-1, taxable income adjusted for certain items, the Company’s large contractual backlog, and forecasted income by jurisdiction. Consideration was also given to the lengthy period over which these net deferred tax assets can be realized, and the Company’s history of not having federal tax loss carryforwards expire unused.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December 2011, the FASB issued ASU 2011-11, Balance Sheet (ASC 210): Disclosures about offsetting Assets and Liabilities. The new authoritative guidance requires an entity to disclose information about offsetting and related arrangements to enable users of its financial statements to evaluate the effect or potential effect of netting arrangements on an entity’s financial position, including the effect or potential effect of rights of setoff associated with certain financial instruments and derivative instruments in the scope of this authoritative guidance. This authoritative guidance became effective for the Company beginning in the first quarter of fiscal year 2014 and has been applied retrospectively for all comparative periods presented. Adoption of this authoritative guidance did not have a material impact on the Company’s consolidated financial statements and disclosures.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July 2012, the FASB issued ASU 2012-02, Intangibles—Goodwill and Other (ASC 350): Testing Indefinite-Lived Intangible Assets for Impairment. The new authoritative guidance simplifies the requirements for testing for indefinite-lived intangible assets other than goodwill and permits an entity to first assess qualitative factors to determine whether it is necessary to perform a quantitative fair value test. The guidance is effective for the Company for annual and, if any, interim impairment tests during the current fiscal year. The adoption of this standard will not have a material impact on the Company or its consolidated financial statements and disclosures.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February 2013, the FASB issued ASU 2013-02, Comprehensive Income (ASC 220): Reporting of Amounts Reclassified Out of Accumulated Other Comprehensive Income. ASU 2013-02 requires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The guidance, which became effective for the Company beginning in the first quarter of fiscal year 2014, required changes in presentation only and the adoption of this standard did not have a significant impact on the Company’s consolidated financial statements and disclosures. The Company considers information related to rollforward amounts and amounts reclassified out of accumulated other comprehensive income to be insignificant and therefore immaterial for separate disclosures.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March 2013, the FASB issued ASU 2013-05, Foreign Currency Matters (ASC 830): Parent’s Accounting for the Cumulative Translation Adjustment upon Derecognition of Certain Subsidiaries or Groups of Assets within a Foreign Entity or of an Investment in a Foreign Entity. ASU 2013-05 clarifies that the cumulative translation adjustment should be released into net income only when a reporting entity ceases to have a controlling financial interest in a subsidiary or a business within a foreign entity. Further, for an equity method investment that is a foreign entity, a pro rata portion of the cumulative translation adjustment should be released into net income upon a partial sale of such an equity method investment. These amendments are to be applied prospectively to derecognition events occurring after the effective date. This guidance is effective for the Company beginning in the first quarter of fiscal year 2015 and the adoption of this standard is not expected to have a material impact on its consolidated financial statements and disclosures.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80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June 28, 2013</w:t>
            </w:r>
          </w:p>
        </w:tc>
        <w:tc>
          <w:tcPr>
            <w:tcW w:w="3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29, 2013</w:t>
            </w:r>
          </w:p>
        </w:tc>
        <w:tc>
          <w:tcPr>
            <w:tcW w:w="0" w:type="dxa"/>
            <w:vAlign w:val="bottom"/>
          </w:tcPr>
          <w:p>
            <w:pPr>
              <w:spacing w:after="0"/>
              <w:rPr>
                <w:sz w:val="1"/>
                <w:szCs w:val="1"/>
                <w:color w:val="auto"/>
              </w:rPr>
            </w:pPr>
          </w:p>
        </w:tc>
      </w:tr>
      <w:tr>
        <w:trPr>
          <w:trHeight w:val="142"/>
        </w:trPr>
        <w:tc>
          <w:tcPr>
            <w:tcW w:w="8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ind w:left="6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Billed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131,309</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134,206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Unbilled</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131,039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134,198</w:t>
            </w:r>
          </w:p>
        </w:tc>
        <w:tc>
          <w:tcPr>
            <w:tcW w:w="0" w:type="dxa"/>
            <w:vAlign w:val="bottom"/>
          </w:tcPr>
          <w:p>
            <w:pPr>
              <w:spacing w:after="0"/>
              <w:rPr>
                <w:sz w:val="1"/>
                <w:szCs w:val="1"/>
                <w:color w:val="auto"/>
              </w:rPr>
            </w:pPr>
          </w:p>
        </w:tc>
      </w:tr>
      <w:tr>
        <w:trPr>
          <w:trHeight w:val="223"/>
        </w:trPr>
        <w:tc>
          <w:tcPr>
            <w:tcW w:w="8000" w:type="dxa"/>
            <w:vAlign w:val="bottom"/>
          </w:tcPr>
          <w:p>
            <w:pPr>
              <w:ind w:left="44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(1,647)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260,701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46,941</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40,308</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20,836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21,298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125,692</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106,281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35,573</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34,257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39,229</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40,819</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Satellite — WildBlue-1 (estimated useful life of 10 years)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195,890</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195,890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lease of satellite capacity — Anik F2 (estimated useful life of 10 years)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99,090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99,090</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Satellite — ViaSat-1 (estimated useful life of 17 years)</w:t>
            </w: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363,204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363,204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Satellite — ViaSat-2 (under construction)</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694,816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658,184</w:t>
            </w: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(135,572)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(123,094)</w:t>
            </w:r>
          </w:p>
        </w:tc>
        <w:tc>
          <w:tcPr>
            <w:tcW w:w="0" w:type="dxa"/>
            <w:vAlign w:val="bottom"/>
          </w:tcPr>
          <w:p>
            <w:pPr>
              <w:spacing w:after="0"/>
              <w:rPr>
                <w:sz w:val="1"/>
                <w:szCs w:val="1"/>
                <w:color w:val="auto"/>
              </w:rPr>
            </w:pPr>
          </w:p>
        </w:tc>
      </w:tr>
      <w:tr>
        <w:trPr>
          <w:trHeight w:val="222"/>
        </w:trPr>
        <w:tc>
          <w:tcPr>
            <w:tcW w:w="80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559,244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Machinery and equipment (estimated useful life of 2-5 years)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237,192</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226,884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Computer equipment and software (estimated useful life of 2-7 years)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159,054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154,202</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CPE leased equipment (estimated useful life of 3-5 years)</w:t>
            </w: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190,022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170,934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Furniture and fixtures (estimated useful life of 7 years)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17,722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15,716</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Leasehold improvements (estimated useful life of 2-17 years)</w:t>
            </w: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59,325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57,691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Building (estimated useful life of 24 years)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8,923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Land held for sale</w:t>
            </w: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2,846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23"/>
        </w:trPr>
        <w:tc>
          <w:tcPr>
            <w:tcW w:w="8000" w:type="dxa"/>
            <w:vAlign w:val="bottom"/>
          </w:tcPr>
          <w:p>
            <w:pPr>
              <w:ind w:left="440"/>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703,618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661,481</w:t>
            </w:r>
          </w:p>
        </w:tc>
        <w:tc>
          <w:tcPr>
            <w:tcW w:w="0" w:type="dxa"/>
            <w:vAlign w:val="bottom"/>
          </w:tcPr>
          <w:p>
            <w:pPr>
              <w:spacing w:after="0"/>
              <w:rPr>
                <w:sz w:val="1"/>
                <w:szCs w:val="1"/>
                <w:color w:val="auto"/>
              </w:rPr>
            </w:pPr>
          </w:p>
        </w:tc>
      </w:tr>
      <w:tr>
        <w:trPr>
          <w:trHeight w:val="223"/>
        </w:trPr>
        <w:tc>
          <w:tcPr>
            <w:tcW w:w="8000" w:type="dxa"/>
            <w:vAlign w:val="bottom"/>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(304,405)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(282,790)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399,213</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Other acquired intangible assets, net:</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Technology (weighted average useful life of 6 years)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56,209</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53,714</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Contracts and customer relationships (weighted average useful life of 7 years)</w:t>
            </w: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88,670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88,651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Satellite co-location rights (weighted average useful life of 9 years)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8,600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Trade name (weighted average useful life of 3 years)</w:t>
            </w: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5,680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(weighted average useful life of 9 years)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165,451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162,932</w:t>
            </w: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accumulated amortization</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(119,328)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(115,762)</w:t>
            </w:r>
          </w:p>
        </w:tc>
        <w:tc>
          <w:tcPr>
            <w:tcW w:w="0" w:type="dxa"/>
            <w:vAlign w:val="bottom"/>
          </w:tcPr>
          <w:p>
            <w:pPr>
              <w:spacing w:after="0"/>
              <w:rPr>
                <w:sz w:val="1"/>
                <w:szCs w:val="1"/>
                <w:color w:val="auto"/>
              </w:rPr>
            </w:pPr>
          </w:p>
        </w:tc>
      </w:tr>
      <w:tr>
        <w:trPr>
          <w:trHeight w:val="221"/>
        </w:trPr>
        <w:tc>
          <w:tcPr>
            <w:tcW w:w="80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46,123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516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60"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Capitalized software costs, net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64,627</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Patents, orbital slots and other licenses, net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103,578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35,535</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219,740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205,248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Collections in excess of revenues and deferred revenues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74,917</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employee compensation</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Accrued vacation</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 reserve, current portion</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44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34,316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145,370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Other liabilities:</w:t>
            </w: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 long-term portion</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Deferred rent, long-term portion</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9,428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 reserve, long-term portion</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Deferred income taxes, long-term portion</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tax position liabilities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440"/>
              <w:spacing w:after="0"/>
              <w:rPr>
                <w:sz w:val="20"/>
                <w:szCs w:val="20"/>
                <w:color w:val="auto"/>
              </w:rPr>
            </w:pPr>
            <w:r>
              <w:rPr>
                <w:rFonts w:ascii="Arial" w:cs="Arial" w:eastAsia="Arial" w:hAnsi="Arial"/>
                <w:sz w:val="18"/>
                <w:szCs w:val="18"/>
                <w:color w:val="auto"/>
              </w:rPr>
              <w:t>Satellite performance incentives obligation, long-term portion</w:t>
            </w:r>
          </w:p>
        </w:tc>
        <w:tc>
          <w:tcPr>
            <w:tcW w:w="1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52,548</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51"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90" w:lineRule="exact"/>
        <w:rPr>
          <w:rFonts w:ascii="Arial" w:cs="Arial" w:eastAsia="Arial" w:hAnsi="Arial"/>
          <w:sz w:val="18"/>
          <w:szCs w:val="18"/>
          <w:color w:val="auto"/>
        </w:rPr>
      </w:pPr>
    </w:p>
    <w:p>
      <w:pPr>
        <w:ind w:left="440" w:right="40" w:hanging="324"/>
        <w:spacing w:after="0" w:line="259"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9"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hierarchy for its assets and liabilities measured at fair value on a recurring basis as of June 28, 2013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29, 2013:</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Fair Value as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28, 2013</w:t>
            </w:r>
          </w:p>
        </w:tc>
        <w:tc>
          <w:tcPr>
            <w:tcW w:w="280" w:type="dxa"/>
            <w:vAlign w:val="bottom"/>
          </w:tcPr>
          <w:p>
            <w:pPr>
              <w:spacing w:after="0"/>
              <w:rPr>
                <w:sz w:val="14"/>
                <w:szCs w:val="14"/>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Level 1</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18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13,162</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13,162</w:t>
            </w:r>
          </w:p>
        </w:tc>
        <w:tc>
          <w:tcPr>
            <w:tcW w:w="56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 —</w:t>
            </w:r>
          </w:p>
        </w:tc>
        <w:tc>
          <w:tcPr>
            <w:tcW w:w="740" w:type="dxa"/>
            <w:vAlign w:val="bottom"/>
            <w:gridSpan w:val="3"/>
          </w:tcPr>
          <w:p>
            <w:pPr>
              <w:ind w:left="2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13,162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13,162</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1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$ 192</w:t>
            </w:r>
          </w:p>
        </w:tc>
        <w:tc>
          <w:tcPr>
            <w:tcW w:w="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measured at fair value on a recurring basis</w:t>
            </w:r>
          </w:p>
        </w:tc>
        <w:tc>
          <w:tcPr>
            <w:tcW w:w="1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20" w:type="dxa"/>
            <w:vAlign w:val="bottom"/>
            <w:gridSpan w:val="2"/>
            <w:vMerge w:val="continue"/>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20"/>
                <w:szCs w:val="20"/>
                <w:color w:val="auto"/>
              </w:rPr>
            </w:pPr>
            <w:r>
              <w:rPr>
                <w:rFonts w:ascii="Arial" w:cs="Arial" w:eastAsia="Arial" w:hAnsi="Arial"/>
                <w:sz w:val="18"/>
                <w:szCs w:val="18"/>
                <w:color w:val="auto"/>
              </w:rPr>
              <w:t>$ 192</w:t>
            </w:r>
          </w:p>
        </w:tc>
        <w:tc>
          <w:tcPr>
            <w:tcW w:w="740" w:type="dxa"/>
            <w:vAlign w:val="bottom"/>
            <w:gridSpan w:val="3"/>
          </w:tcPr>
          <w:p>
            <w:pPr>
              <w:ind w:left="2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40" w:type="dxa"/>
            <w:vAlign w:val="bottom"/>
            <w:vMerge w:val="restart"/>
          </w:tcPr>
          <w:p>
            <w:pPr>
              <w:jc w:val="right"/>
              <w:ind w:right="1032"/>
              <w:spacing w:after="0"/>
              <w:rPr>
                <w:sz w:val="20"/>
                <w:szCs w:val="20"/>
                <w:color w:val="auto"/>
              </w:rPr>
            </w:pPr>
            <w:r>
              <w:rPr>
                <w:rFonts w:ascii="Arial" w:cs="Arial" w:eastAsia="Arial" w:hAnsi="Arial"/>
                <w:sz w:val="18"/>
                <w:szCs w:val="18"/>
                <w:color w:val="auto"/>
              </w:rPr>
              <w:t>14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4"/>
              </w:rPr>
              <w:t>Fair Value as of</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March 29, 2013</w:t>
            </w:r>
          </w:p>
        </w:tc>
        <w:tc>
          <w:tcPr>
            <w:tcW w:w="560" w:type="dxa"/>
            <w:vAlign w:val="bottom"/>
          </w:tcPr>
          <w:p>
            <w:pPr>
              <w:spacing w:after="0"/>
              <w:rPr>
                <w:sz w:val="14"/>
                <w:szCs w:val="14"/>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Level 1</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47,427</w:t>
            </w:r>
          </w:p>
        </w:tc>
        <w:tc>
          <w:tcPr>
            <w:tcW w:w="5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47,427</w:t>
            </w:r>
          </w:p>
        </w:tc>
        <w:tc>
          <w:tcPr>
            <w:tcW w:w="56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47,427</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$ 318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spacing w:after="0"/>
              <w:rPr>
                <w:sz w:val="20"/>
                <w:szCs w:val="20"/>
                <w:color w:val="auto"/>
              </w:rPr>
            </w:pPr>
            <w:r>
              <w:rPr>
                <w:rFonts w:ascii="Arial" w:cs="Arial" w:eastAsia="Arial" w:hAnsi="Arial"/>
                <w:sz w:val="18"/>
                <w:szCs w:val="18"/>
                <w:color w:val="auto"/>
              </w:rPr>
              <w:t>Total liabilities measured at fair value on a recurring basis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20"/>
                <w:szCs w:val="20"/>
                <w:color w:val="auto"/>
              </w:rPr>
            </w:pPr>
            <w:r>
              <w:rPr>
                <w:rFonts w:ascii="Arial" w:cs="Arial" w:eastAsia="Arial" w:hAnsi="Arial"/>
                <w:sz w:val="18"/>
                <w:szCs w:val="18"/>
                <w:color w:val="auto"/>
              </w:rPr>
              <w:t>$ 318</w:t>
            </w:r>
          </w:p>
        </w:tc>
        <w:tc>
          <w:tcPr>
            <w:tcW w:w="740" w:type="dxa"/>
            <w:vAlign w:val="bottom"/>
            <w:gridSpan w:val="3"/>
          </w:tcPr>
          <w:p>
            <w:pPr>
              <w:ind w:left="2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an active market with sufficient volume and frequency of transactions (Level 1).</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Foreign currency forward contracts </w:t>
      </w:r>
      <w:r>
        <w:rPr>
          <w:rFonts w:ascii="Arial" w:cs="Arial" w:eastAsia="Arial" w:hAnsi="Arial"/>
          <w:sz w:val="16"/>
          <w:szCs w:val="16"/>
          <w:color w:val="auto"/>
        </w:rPr>
        <w:t>— The Company uses derivative financial instruments to manage foreign currency risk relating to foreign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Company’s long-term debt consists of $575.0 million in aggregate principal amount of 2020 Notes reported at amortized cost.</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for disclosure purposes, the Company is required to measure the fair value of outstanding debt on a recurring basis. As of June 28, 2013 and March 29, 2013, the fair value of the Company’s 2020 Notes was determined using quoted prices in active markets for identical liabilities (Level 1) and was approximately $606.6 million and $616.7 million, respectively.</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Satellite performance incentives obligation </w:t>
      </w:r>
      <w:r>
        <w:rPr>
          <w:rFonts w:ascii="Arial" w:cs="Arial" w:eastAsia="Arial" w:hAnsi="Arial"/>
          <w:sz w:val="16"/>
          <w:szCs w:val="16"/>
          <w:color w:val="auto"/>
        </w:rPr>
        <w:t>— The Company’s contract with the manufacturer of ViaSat-1 requires the Company to make monthly in-orbit</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 performance incentive payments, including interest at 7.0%, over a fifteen-year period from December 2011 to December 2026,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satellite performance incentives on a recurring basis. The fair value of the Company’s outstanding satellite performance incentives is estimated to approximate their carrying value based on current rates (Level 2). As of June 28, 2013 and March 29, 2013, the Company’s estimated satellite performance incentives obligation and accrued interest was $22.8 million and $22.7 million, respectively.</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(Loss) Per Share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weighted average number of shares used to calculate basic and diluted net income (loss) per share attributable to ViaSat, Inc. common stockholders is the same for both the three months ended June 28, 2013 and June 29, 2012, as the Company incurred a net loss attributable to ViaSat, Inc. common stockholders in both periods and inclusion of common share equivalents would be antidilutive. Common share equivalents excluded from the calculation for the three months ended June 28, 2013 were 880,132 shares relating to stock options, 576,238 shares relating to restricted stock units and 139,793 shares relating to certain terms of the amended ViaSat 401(k) Profit Sharing Plan and Employee Stock Purchase Plan. Common share equivalents excluded from the calculation for the three months ended June 29, 2012 were 1,709,087 shares relating to stock options, 366,753 shares relating to restricted stock units and 198,809 shares relating to certain terms of the amended ViaSat 401(k) Profit Sharing Plan and Employee Stock Purchase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the first quarter of fiscal year 2014, the Company’s goodwill decreased by approximately $0.4 million related to the effects of foreign currency translation recorded within the Company’s government systems and commercial networks segments. Other acquired intangible assets are amortized using the straight-line method over their estimated useful lives of three to nine years. Amortization expense related to other acquired intangible assets was $3.5 million and $4.1 million for the three months ended June 28, 2013 and June 29, 2012, respectively.</w:t>
      </w:r>
    </w:p>
    <w:p>
      <w:pPr>
        <w:spacing w:after="0" w:line="11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June 28, 2013</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Arial" w:cs="Arial" w:eastAsia="Arial" w:hAnsi="Arial"/>
                <w:sz w:val="18"/>
                <w:szCs w:val="18"/>
                <w:color w:val="auto"/>
              </w:rPr>
              <w:t>Expected for the remainder of fiscal year 2014</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11,043</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14,490</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10,967</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3,599</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46,123</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Total long-term debt consisted of the following as of June 28, 2013 and March 29, 2013:</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As of</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40" w:type="dxa"/>
            <w:vAlign w:val="bottom"/>
            <w:gridSpan w:val="3"/>
          </w:tcPr>
          <w:p>
            <w:pPr>
              <w:ind w:left="2460"/>
              <w:spacing w:after="0"/>
              <w:rPr>
                <w:sz w:val="20"/>
                <w:szCs w:val="20"/>
                <w:color w:val="auto"/>
              </w:rPr>
            </w:pPr>
            <w:r>
              <w:rPr>
                <w:rFonts w:ascii="Arial" w:cs="Arial" w:eastAsia="Arial" w:hAnsi="Arial"/>
                <w:sz w:val="14"/>
                <w:szCs w:val="14"/>
                <w:b w:val="1"/>
                <w:bCs w:val="1"/>
                <w:color w:val="auto"/>
                <w:w w:val="83"/>
              </w:rPr>
              <w:t>June 28, 2013</w:t>
            </w:r>
          </w:p>
        </w:tc>
        <w:tc>
          <w:tcPr>
            <w:tcW w:w="1740" w:type="dxa"/>
            <w:vAlign w:val="bottom"/>
            <w:gridSpan w:val="4"/>
          </w:tcPr>
          <w:p>
            <w:pPr>
              <w:ind w:left="740"/>
              <w:spacing w:after="0"/>
              <w:rPr>
                <w:sz w:val="20"/>
                <w:szCs w:val="20"/>
                <w:color w:val="auto"/>
              </w:rPr>
            </w:pPr>
            <w:r>
              <w:rPr>
                <w:rFonts w:ascii="Arial" w:cs="Arial" w:eastAsia="Arial" w:hAnsi="Arial"/>
                <w:sz w:val="14"/>
                <w:szCs w:val="14"/>
                <w:b w:val="1"/>
                <w:bCs w:val="1"/>
                <w:color w:val="auto"/>
                <w:w w:val="98"/>
              </w:rPr>
              <w:t>March 29,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Senior Notes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2020 Notes</w:t>
            </w:r>
          </w:p>
        </w:tc>
        <w:tc>
          <w:tcPr>
            <w:tcW w:w="2600" w:type="dxa"/>
            <w:vAlign w:val="bottom"/>
            <w:gridSpan w:val="2"/>
          </w:tcPr>
          <w:p>
            <w:pPr>
              <w:ind w:left="24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575,000</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Unamortized premium on the 2020 Notes</w:t>
            </w:r>
          </w:p>
        </w:tc>
        <w:tc>
          <w:tcPr>
            <w:tcW w:w="2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9,717</w:t>
            </w:r>
          </w:p>
        </w:tc>
        <w:tc>
          <w:tcPr>
            <w:tcW w:w="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00" w:type="dxa"/>
            <w:vAlign w:val="bottom"/>
            <w:gridSpan w:val="2"/>
          </w:tcPr>
          <w:p>
            <w:pPr>
              <w:spacing w:after="0"/>
              <w:rPr>
                <w:sz w:val="20"/>
                <w:szCs w:val="20"/>
                <w:color w:val="auto"/>
              </w:rPr>
            </w:pPr>
            <w:r>
              <w:rPr>
                <w:rFonts w:ascii="Arial" w:cs="Arial" w:eastAsia="Arial" w:hAnsi="Arial"/>
                <w:sz w:val="18"/>
                <w:szCs w:val="18"/>
                <w:color w:val="auto"/>
              </w:rPr>
              <w:t>Total senior notes, net of premium</w:t>
            </w:r>
          </w:p>
        </w:tc>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584,717</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584,993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the senior notes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700" w:type="dxa"/>
            <w:vAlign w:val="bottom"/>
            <w:gridSpan w:val="2"/>
          </w:tcPr>
          <w:p>
            <w:pPr>
              <w:spacing w:after="0"/>
              <w:rPr>
                <w:sz w:val="20"/>
                <w:szCs w:val="20"/>
                <w:color w:val="auto"/>
              </w:rPr>
            </w:pPr>
            <w:r>
              <w:rPr>
                <w:rFonts w:ascii="Arial" w:cs="Arial" w:eastAsia="Arial" w:hAnsi="Arial"/>
                <w:sz w:val="18"/>
                <w:szCs w:val="18"/>
                <w:color w:val="auto"/>
              </w:rPr>
              <w:t>Total senior notes long-term, net</w:t>
            </w:r>
          </w:p>
        </w:tc>
        <w:tc>
          <w:tcPr>
            <w:tcW w:w="2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584,717</w:t>
            </w:r>
          </w:p>
        </w:tc>
        <w:tc>
          <w:tcPr>
            <w:tcW w:w="7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Long-Term Debt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00" w:type="dxa"/>
            <w:vAlign w:val="bottom"/>
            <w:gridSpan w:val="2"/>
          </w:tcPr>
          <w:p>
            <w:pPr>
              <w:spacing w:after="0"/>
              <w:rPr>
                <w:sz w:val="20"/>
                <w:szCs w:val="20"/>
                <w:color w:val="auto"/>
              </w:rPr>
            </w:pPr>
            <w:r>
              <w:rPr>
                <w:rFonts w:ascii="Arial" w:cs="Arial" w:eastAsia="Arial" w:hAnsi="Arial"/>
                <w:sz w:val="18"/>
                <w:szCs w:val="18"/>
                <w:color w:val="auto"/>
              </w:rPr>
              <w:t>Total other long-term debt</w:t>
            </w:r>
          </w:p>
        </w:tc>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3,366</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other long-term debt</w:t>
            </w:r>
          </w:p>
        </w:tc>
        <w:tc>
          <w:tcPr>
            <w:tcW w:w="2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1,456</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368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 debt</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588,083</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588,679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0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2600" w:type="dxa"/>
            <w:vAlign w:val="bottom"/>
            <w:gridSpan w:val="2"/>
          </w:tcPr>
          <w:p>
            <w:pPr>
              <w:ind w:left="24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586,173</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586,449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460" w:type="dxa"/>
            <w:vAlign w:val="bottom"/>
            <w:vMerge w:val="restart"/>
          </w:tcPr>
          <w:p>
            <w:pPr>
              <w:jc w:val="right"/>
              <w:ind w:right="1657"/>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As of June 28, 2013, the Company’s revolving credit facility (the Credit Facility), as amended, provided a revolving line of credit of $325.0 million (including up to $50.0 million of letters of credit), with a maturity date of May 9, 2017. Borrowings under the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The Company has capitalized certain amounts of interest expense on the Credit Facility in connection with the construction of various assets during the construction period. The Credit Facility is guaranteed by certain of the Company’s domestic subsidiaries and secured by substantially all of the Company’s and such subsidiaries’ assets.</w:t>
      </w:r>
    </w:p>
    <w:p>
      <w:pPr>
        <w:spacing w:after="0" w:line="14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Credit Facility contains financial covenants regarding a maximum total leverage ratio and a minimum interest coverage ratio. In addition, the Credit Facility contains covenants that restrict, among other things, the Company’s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Company was in compliance with its financial covenants under the Credit Facility as of June 28, 2013. At June 28, 2013, the Company had no outstanding borrowings under the Credit Facility and $38.5 million outstanding under standby letters of credit, leaving borrowing availability under the Credit Facility as of June 28, 2013 of $286.5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February 2012, the Company issued $275.0 million in principal amount of 2020 Notes in a private placement to institutional buyers, which were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exchanged in August 2012 for substantially identical 2020 Notes that had been registered with the SEC. These initial 2020 Notes were issued at face value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recorded as long-term debt in the Company’s condensed consolidated financial statements. On October 12, 2012, the Company issued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 million in principal amount of 2020 Notes in a private placement to institutional buyers at an issue price of 103.50% of the principal amount, which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exchanged in January 2013 for substantially identical 2020 Notes that had been registered with the SEC. The 2020 Notes are all treated as a single class.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2020 Notes bear interest at the rate of 6.875% per year, payable semi-annually in cash in arrears, which interest payments commenced in June 2012. Deferred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financing cost associated with the issuance of the 2020 Notes is amortized to interest expense on a straight-line basis over the term of the 2020 Notes, the results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which are not materially different from the effective interest rate basis. The $10.5 million premium the Company received in connection with the issuance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additional 2020 Notes is recorded as long-term debt in the Company’s condensed consolidated financial statements and is being amortized as a reduction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on an effective interest rate basis over the term of those 2020 Notes.</w:t>
      </w:r>
    </w:p>
    <w:p>
      <w:pPr>
        <w:spacing w:after="0" w:line="16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2020 Notes are guaranteed on an unsecured senior basis by each of the Company’s existing and future subsidiaries that guarantees the Credit Facility (the Guarantor Subsidiaries). The 2020 Notes and the guarantees are the Company’s and the Guarantor Subsidiaries’ general senior unsecured obligations and rank equally in right of payment with all of the Company’s existing and future unsecured unsubordinated debt. The 2020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the Company’s subsidiaries that are not guarantors of the 2020 Notes, and are senior in right of payment to all of their existing and future subordinated indebtedness.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3"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Prior to June 15, 2015, the Company may redeem up to 35% of the 2020 Notes at a redemption price of 106.875% of the principal amount thereof, plus accrued and unpaid interest, if any, thereon to the redemption date, from the net cash proceeds of specified equity offerings. The Company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 (ii) 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w:t>
      </w:r>
    </w:p>
    <w:p>
      <w:pPr>
        <w:spacing w:after="0" w:line="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the Company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 current liability. For mature products, the warranty cost estimates are based on historical experience with the particular product. For newer products that do not have a history of warranty cost, the Company bases its estimates on its experience with the technology involved and the type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three months ended June 28, 2013 and June 29, 2012:</w:t>
      </w:r>
    </w:p>
    <w:p>
      <w:pPr>
        <w:spacing w:after="0" w:line="1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left="239"/>
              <w:spacing w:after="0"/>
              <w:rPr>
                <w:sz w:val="20"/>
                <w:szCs w:val="20"/>
                <w:color w:val="auto"/>
              </w:rPr>
            </w:pPr>
            <w:r>
              <w:rPr>
                <w:rFonts w:ascii="Arial" w:cs="Arial" w:eastAsia="Arial" w:hAnsi="Arial"/>
                <w:sz w:val="14"/>
                <w:szCs w:val="14"/>
                <w:b w:val="1"/>
                <w:bCs w:val="1"/>
                <w:color w:val="auto"/>
                <w:w w:val="89"/>
              </w:rPr>
              <w:t>Three Months Ended</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28, 2013</w:t>
            </w:r>
          </w:p>
        </w:tc>
        <w:tc>
          <w:tcPr>
            <w:tcW w:w="1160" w:type="dxa"/>
            <w:vAlign w:val="bottom"/>
            <w:tcBorders>
              <w:bottom w:val="single" w:sz="8" w:color="auto"/>
            </w:tcBorders>
            <w:gridSpan w:val="3"/>
          </w:tcPr>
          <w:p>
            <w:pPr>
              <w:ind w:left="380"/>
              <w:spacing w:after="0" w:line="142" w:lineRule="exact"/>
              <w:rPr>
                <w:sz w:val="20"/>
                <w:szCs w:val="20"/>
                <w:color w:val="auto"/>
              </w:rPr>
            </w:pPr>
            <w:r>
              <w:rPr>
                <w:rFonts w:ascii="Arial" w:cs="Arial" w:eastAsia="Arial" w:hAnsi="Arial"/>
                <w:sz w:val="14"/>
                <w:szCs w:val="14"/>
                <w:b w:val="1"/>
                <w:bCs w:val="1"/>
                <w:color w:val="auto"/>
                <w:w w:val="83"/>
              </w:rPr>
              <w:t>June 29, 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4"/>
          </w:tcPr>
          <w:p>
            <w:pPr>
              <w:jc w:val="center"/>
              <w:ind w:left="239"/>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14,107</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11,651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Change in liability for warranties issued in period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2,130</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made (in cash or in kind) during the period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(1,508)</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(1,246)</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vMerge w:val="continue"/>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14,729</w:t>
            </w:r>
          </w:p>
        </w:tc>
        <w:tc>
          <w:tcPr>
            <w:tcW w:w="400" w:type="dxa"/>
            <w:vAlign w:val="bottom"/>
          </w:tcPr>
          <w:p>
            <w:pPr>
              <w:spacing w:after="0"/>
              <w:rPr>
                <w:sz w:val="19"/>
                <w:szCs w:val="19"/>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12,885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May 2013, the Company entered into an agreement with The Boeing Company (Boeing) to purchase ViaSat-2, the Company’s second high-capacity Ka-band satellite, at a price of approximately $358.0 million, plus an additional amount for launch support services to be performed by Boeing.</w:t>
      </w:r>
    </w:p>
    <w:p>
      <w:pPr>
        <w:spacing w:after="0" w:line="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February 2012, the Company filed a complaint against Space Systems/Loral, Inc. (SS/L) and its former parent company Loral Space &amp; Communications, Inc. (Loral) in the United States District Court for the Southern District of California for patent infringement and breach of contract relating to the manufacture of ViaSat-1. The Company alleges, among other things, that SS/L and Loral infringed U.S. Patent Nos. 8,107,875, 8,010,043, 8,068,827 and 7,773,942 by making, using, offering to sell and/or selling other high-capacity broadband satellites, and has requested monetary damages, injunctive relief and other remedies. In June 2012, SS/L filed counterclaims against the Company for patent infringement and declaratory relief. Specifically, SS/L seeks a judicial declaration that SS/L did not breach the parties’ contract for the manufacture of ViaSat-1, that SS/L does not infringe the Company’s patents described above, and that those patents are invalid and/or unenforceable. SS/L also alleges that the Company infringed U.S. Patent Nos. 6,879,808, 6,400,696 and 7,219,132 by providing broadband internet service by means of the Anik F2 satellite using ViaSat satellite gateways and satellite user terminals and has induced others to infringe by selling certain ground equipment and user terminals.</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13"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w:t>
      </w:r>
    </w:p>
    <w:p>
      <w:pPr>
        <w:spacing w:after="0" w:line="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completed for fiscal year 2004 and subsequent fiscal years. Although the Company has recorded contract revenues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subsequent to fiscal year 2003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June 28, 2013 and March 29, 2013, the Company had $7.2 million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status of the related contracts.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currently estimates its annual effective income tax benefit rate to be approximately 75.0% for fiscal year 2014. The estimated annual effective tax rate is different from the expected statutory rate primarily due to federal and state research and development tax credits. The American Taxpayer Relief Act of 2012 was enacted on January 2, 2013. This legislation retroactively reinstated and extended the credit through December 31, 2013. If the federal research and development tax credit is extended through the end of fiscal year 2014, the Company may have a higher annual effective tax benefit rate for fiscal year 2014, and the amount of any such tax rate reduction will depend on the effective date of any such extension, the terms of the extension, as well as the amount of eligible research and development expenses in the extended period.</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Future realization of the existing deferred tax asset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The Company’s analysis of the need for a valuation allowance considered the losses incurred during the three months ended June 28, 2013 and the fiscal year ended March 29, 2013. The loss in fiscal year 2013 was more significant and a substantial portion of such loss resulted from an extinguishment of debt charge that was recorded upon the refinancing of the Company’s former 2016 Notes with the proceeds from the issuance of additional 2020 Notes, which is expected to provide a benefit to net income in the future due to the lower interest rate of the 2020 Notes. The Company’s evaluation considered other factors, including the Company’s history of positive earnings, current earnings trends as its satellite subscriber base scales on its recently launched satellite, taxable income adjusted for certain items, the Company’s large contractual backlog, and forecasted income by jurisdiction. Consideration was also given to the lengthy period over which these net deferred tax assets can be realized, and the Company’s history of not having federal tax loss carryforwards expire unused. For the three months ended June 28, 2013, the Company’s gross unrecognized tax benefits increased by $1.0 million. In the next twelve months, it is reasonably possible that the amount of unrecognized tax benefits will decrease by up to approximately $1.0 million as a result of the expiration of the statute of limitations or settlements with tax authorities for previously filed tax returns.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Information</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retail and wholesale satellite-based broadband services for its consumer, enterprise and mobile broadband customers primarily in the United States, as well as managed network services for the satellite communication systems of the Company’s consumer, enterprise and mobile broadband customers worldwide. The Company’s commercial networks segment develops and produces a variety of advanced end-to-end satellite and other wireless communication systems and ground networking equipment and products, some of which are ultimately used by the Company’s satellite services segment. The Company’s government systems segment develops and produces network-centric, internet protocol (IP)-based secure fixed and mobile government communications systems, products, services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Segment revenues and operating profits (losses) for the three months ended June 28, 2013 and June 29, 2012 were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2"/>
        </w:trPr>
        <w:tc>
          <w:tcPr>
            <w:tcW w:w="7240" w:type="dxa"/>
            <w:vAlign w:val="bottom"/>
          </w:tcPr>
          <w:p>
            <w:pPr>
              <w:spacing w:after="0"/>
              <w:rPr>
                <w:sz w:val="12"/>
                <w:szCs w:val="12"/>
                <w:color w:val="auto"/>
              </w:rPr>
            </w:pPr>
          </w:p>
        </w:tc>
        <w:tc>
          <w:tcPr>
            <w:tcW w:w="144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June 28, 2013</w:t>
            </w:r>
          </w:p>
        </w:tc>
        <w:tc>
          <w:tcPr>
            <w:tcW w:w="8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June 29,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center"/>
              <w:ind w:left="394"/>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Satellite Services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Product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3"/>
        </w:trPr>
        <w:tc>
          <w:tcPr>
            <w:tcW w:w="7240" w:type="dxa"/>
            <w:vAlign w:val="bottom"/>
          </w:tcPr>
          <w:p>
            <w:pPr>
              <w:ind w:left="880"/>
              <w:spacing w:after="0"/>
              <w:rPr>
                <w:sz w:val="20"/>
                <w:szCs w:val="20"/>
                <w:color w:val="auto"/>
              </w:rPr>
            </w:pPr>
            <w:r>
              <w:rPr>
                <w:rFonts w:ascii="Arial" w:cs="Arial" w:eastAsia="Arial" w:hAnsi="Arial"/>
                <w:sz w:val="18"/>
                <w:szCs w:val="18"/>
                <w:color w:val="auto"/>
              </w:rPr>
              <w:t>Service</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85,831</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59,319</w:t>
            </w:r>
          </w:p>
        </w:tc>
        <w:tc>
          <w:tcPr>
            <w:tcW w:w="0" w:type="dxa"/>
            <w:vAlign w:val="bottom"/>
          </w:tcPr>
          <w:p>
            <w:pPr>
              <w:spacing w:after="0"/>
              <w:rPr>
                <w:sz w:val="1"/>
                <w:szCs w:val="1"/>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Commercial Networks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Product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70,762</w:t>
            </w:r>
          </w:p>
        </w:tc>
        <w:tc>
          <w:tcPr>
            <w:tcW w:w="0" w:type="dxa"/>
            <w:vAlign w:val="bottom"/>
          </w:tcPr>
          <w:p>
            <w:pPr>
              <w:spacing w:after="0"/>
              <w:rPr>
                <w:sz w:val="1"/>
                <w:szCs w:val="1"/>
                <w:color w:val="auto"/>
              </w:rPr>
            </w:pPr>
          </w:p>
        </w:tc>
      </w:tr>
      <w:tr>
        <w:trPr>
          <w:trHeight w:val="223"/>
        </w:trPr>
        <w:tc>
          <w:tcPr>
            <w:tcW w:w="7240" w:type="dxa"/>
            <w:vAlign w:val="bottom"/>
          </w:tcPr>
          <w:p>
            <w:pPr>
              <w:ind w:left="880"/>
              <w:spacing w:after="0"/>
              <w:rPr>
                <w:sz w:val="20"/>
                <w:szCs w:val="20"/>
                <w:color w:val="auto"/>
              </w:rPr>
            </w:pPr>
            <w:r>
              <w:rPr>
                <w:rFonts w:ascii="Arial" w:cs="Arial" w:eastAsia="Arial" w:hAnsi="Arial"/>
                <w:sz w:val="18"/>
                <w:szCs w:val="18"/>
                <w:color w:val="auto"/>
              </w:rPr>
              <w:t>Service</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97,399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76,135</w:t>
            </w:r>
          </w:p>
        </w:tc>
        <w:tc>
          <w:tcPr>
            <w:tcW w:w="0" w:type="dxa"/>
            <w:vAlign w:val="bottom"/>
          </w:tcPr>
          <w:p>
            <w:pPr>
              <w:spacing w:after="0"/>
              <w:rPr>
                <w:sz w:val="1"/>
                <w:szCs w:val="1"/>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Government Systems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Product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76,436</w:t>
            </w:r>
          </w:p>
        </w:tc>
        <w:tc>
          <w:tcPr>
            <w:tcW w:w="0" w:type="dxa"/>
            <w:vAlign w:val="bottom"/>
          </w:tcPr>
          <w:p>
            <w:pPr>
              <w:spacing w:after="0"/>
              <w:rPr>
                <w:sz w:val="1"/>
                <w:szCs w:val="1"/>
                <w:color w:val="auto"/>
              </w:rPr>
            </w:pPr>
          </w:p>
        </w:tc>
      </w:tr>
      <w:tr>
        <w:trPr>
          <w:trHeight w:val="223"/>
        </w:trPr>
        <w:tc>
          <w:tcPr>
            <w:tcW w:w="7240" w:type="dxa"/>
            <w:vAlign w:val="bottom"/>
          </w:tcPr>
          <w:p>
            <w:pPr>
              <w:ind w:left="880"/>
              <w:spacing w:after="0"/>
              <w:rPr>
                <w:sz w:val="20"/>
                <w:szCs w:val="20"/>
                <w:color w:val="auto"/>
              </w:rPr>
            </w:pPr>
            <w:r>
              <w:rPr>
                <w:rFonts w:ascii="Arial" w:cs="Arial" w:eastAsia="Arial" w:hAnsi="Arial"/>
                <w:sz w:val="18"/>
                <w:szCs w:val="18"/>
                <w:color w:val="auto"/>
              </w:rPr>
              <w:t>Service</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47,535</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137,856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106,309</w:t>
            </w:r>
          </w:p>
        </w:tc>
        <w:tc>
          <w:tcPr>
            <w:tcW w:w="0" w:type="dxa"/>
            <w:vAlign w:val="bottom"/>
          </w:tcPr>
          <w:p>
            <w:pPr>
              <w:spacing w:after="0"/>
              <w:rPr>
                <w:sz w:val="1"/>
                <w:szCs w:val="1"/>
                <w:color w:val="auto"/>
              </w:rPr>
            </w:pPr>
          </w:p>
        </w:tc>
      </w:tr>
      <w:tr>
        <w:trPr>
          <w:trHeight w:val="223"/>
        </w:trPr>
        <w:tc>
          <w:tcPr>
            <w:tcW w:w="7240" w:type="dxa"/>
            <w:vAlign w:val="bottom"/>
          </w:tcPr>
          <w:p>
            <w:pPr>
              <w:ind w:left="440"/>
              <w:spacing w:after="0"/>
              <w:rPr>
                <w:sz w:val="20"/>
                <w:szCs w:val="20"/>
                <w:color w:val="auto"/>
              </w:rPr>
            </w:pPr>
            <w:r>
              <w:rPr>
                <w:rFonts w:ascii="Arial" w:cs="Arial" w:eastAsia="Arial" w:hAnsi="Arial"/>
                <w:sz w:val="18"/>
                <w:szCs w:val="18"/>
                <w:color w:val="auto"/>
              </w:rPr>
              <w:t>Elimination of intersegment revenues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321,102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241,763</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Operating profits (losses):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Satellite Services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(12,978)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(22,516)</w:t>
            </w:r>
          </w:p>
        </w:tc>
        <w:tc>
          <w:tcPr>
            <w:tcW w:w="0" w:type="dxa"/>
            <w:vAlign w:val="bottom"/>
          </w:tcPr>
          <w:p>
            <w:pPr>
              <w:spacing w:after="0"/>
              <w:rPr>
                <w:sz w:val="1"/>
                <w:szCs w:val="1"/>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Commercial Networks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3,336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Government Systems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14,860</w:t>
            </w:r>
          </w:p>
        </w:tc>
        <w:tc>
          <w:tcPr>
            <w:tcW w:w="0" w:type="dxa"/>
            <w:vAlign w:val="bottom"/>
          </w:tcPr>
          <w:p>
            <w:pPr>
              <w:spacing w:after="0"/>
              <w:rPr>
                <w:sz w:val="1"/>
                <w:szCs w:val="1"/>
                <w:color w:val="auto"/>
              </w:rPr>
            </w:pPr>
          </w:p>
        </w:tc>
      </w:tr>
      <w:tr>
        <w:trPr>
          <w:trHeight w:val="223"/>
        </w:trPr>
        <w:tc>
          <w:tcPr>
            <w:tcW w:w="7240" w:type="dxa"/>
            <w:vAlign w:val="bottom"/>
          </w:tcPr>
          <w:p>
            <w:pPr>
              <w:ind w:left="440"/>
              <w:spacing w:after="0"/>
              <w:rPr>
                <w:sz w:val="20"/>
                <w:szCs w:val="20"/>
                <w:color w:val="auto"/>
              </w:rPr>
            </w:pPr>
            <w:r>
              <w:rPr>
                <w:rFonts w:ascii="Arial" w:cs="Arial" w:eastAsia="Arial" w:hAnsi="Arial"/>
                <w:sz w:val="18"/>
                <w:szCs w:val="18"/>
                <w:color w:val="auto"/>
              </w:rPr>
              <w:t>Elimination of intersegment operating profits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95"/>
              </w:rPr>
              <w:t>Segment operating profit (loss) before corporate and amortization of acquired intangible 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(9,725)</w:t>
            </w:r>
          </w:p>
        </w:tc>
        <w:tc>
          <w:tcPr>
            <w:tcW w:w="0" w:type="dxa"/>
            <w:vAlign w:val="bottom"/>
          </w:tcPr>
          <w:p>
            <w:pPr>
              <w:spacing w:after="0"/>
              <w:rPr>
                <w:sz w:val="1"/>
                <w:szCs w:val="1"/>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(3,501)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4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3,424</w:t>
            </w:r>
          </w:p>
        </w:tc>
        <w:tc>
          <w:tcPr>
            <w:tcW w:w="6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(13,789)</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4700"/>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Assets identifiable to segments include: accounts receivable, unbilled accounts receivable, inventory, acquired intangible assets and goodwill. The Company’s property and equipment, including its satellites, gateways and other networking equipment, are assigned to corporate assets as they are available for use by the various segments throughout their estimated useful lives. Segment assets as of June 28, 2013 and March 29, 2013 were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As of</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June 28,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March 29,</w:t>
            </w: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2013</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4"/>
          </w:tcPr>
          <w:p>
            <w:pPr>
              <w:jc w:val="right"/>
              <w:ind w:right="519"/>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86,859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89,945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Networks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211,986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175,230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2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215,323</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segment assets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514,168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503,232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Corporate assets</w:t>
            </w:r>
          </w:p>
        </w:tc>
        <w:tc>
          <w:tcPr>
            <w:tcW w:w="2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1,323,103</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1,290,840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1,837,271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1,794,072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acquired intangible assets, net and goodwill included in segment assets as of June 28, 2013 and March 29, 2013 were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jc w:val="center"/>
              <w:ind w:right="79"/>
              <w:spacing w:after="0"/>
              <w:rPr>
                <w:sz w:val="20"/>
                <w:szCs w:val="20"/>
                <w:color w:val="auto"/>
              </w:rPr>
            </w:pPr>
            <w:r>
              <w:rPr>
                <w:rFonts w:ascii="Arial" w:cs="Arial" w:eastAsia="Arial" w:hAnsi="Arial"/>
                <w:sz w:val="14"/>
                <w:szCs w:val="14"/>
                <w:b w:val="1"/>
                <w:bCs w:val="1"/>
                <w:color w:val="auto"/>
                <w:w w:val="89"/>
              </w:rPr>
              <w:t>Other Acquired Intangible</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
              <w:spacing w:after="0"/>
              <w:rPr>
                <w:sz w:val="20"/>
                <w:szCs w:val="20"/>
                <w:color w:val="auto"/>
              </w:rPr>
            </w:pPr>
            <w:r>
              <w:rPr>
                <w:rFonts w:ascii="Arial" w:cs="Arial" w:eastAsia="Arial" w:hAnsi="Arial"/>
                <w:sz w:val="14"/>
                <w:szCs w:val="14"/>
                <w:b w:val="1"/>
                <w:bCs w:val="1"/>
                <w:color w:val="auto"/>
                <w:w w:val="81"/>
              </w:rPr>
              <w:t>Assets, Net</w:t>
            </w:r>
          </w:p>
        </w:tc>
        <w:tc>
          <w:tcPr>
            <w:tcW w:w="7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Goodwill</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179"/>
              <w:spacing w:after="0" w:line="129" w:lineRule="exact"/>
              <w:rPr>
                <w:sz w:val="20"/>
                <w:szCs w:val="20"/>
                <w:color w:val="auto"/>
              </w:rPr>
            </w:pPr>
            <w:r>
              <w:rPr>
                <w:rFonts w:ascii="Arial" w:cs="Arial" w:eastAsia="Arial" w:hAnsi="Arial"/>
                <w:sz w:val="14"/>
                <w:szCs w:val="14"/>
                <w:b w:val="1"/>
                <w:bCs w:val="1"/>
                <w:color w:val="auto"/>
              </w:rPr>
              <w:t>As of</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39"/>
              <w:spacing w:after="0" w:line="129" w:lineRule="exact"/>
              <w:rPr>
                <w:sz w:val="20"/>
                <w:szCs w:val="20"/>
                <w:color w:val="auto"/>
              </w:rPr>
            </w:pPr>
            <w:r>
              <w:rPr>
                <w:rFonts w:ascii="Arial" w:cs="Arial" w:eastAsia="Arial" w:hAnsi="Arial"/>
                <w:sz w:val="14"/>
                <w:szCs w:val="14"/>
                <w:b w:val="1"/>
                <w:bCs w:val="1"/>
                <w:color w:val="auto"/>
              </w:rPr>
              <w:t>As of</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As of</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June 28, 2013</w:t>
            </w:r>
          </w:p>
        </w:tc>
        <w:tc>
          <w:tcPr>
            <w:tcW w:w="66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March 29, 2013</w:t>
            </w:r>
          </w:p>
        </w:tc>
        <w:tc>
          <w:tcPr>
            <w:tcW w:w="6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June 28, 2013</w:t>
            </w:r>
          </w:p>
        </w:tc>
        <w:tc>
          <w:tcPr>
            <w:tcW w:w="6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March 29, 2013</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ind w:left="6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37,224</w:t>
            </w:r>
          </w:p>
        </w:tc>
        <w:tc>
          <w:tcPr>
            <w:tcW w:w="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39,989</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9,809</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Commercial Networks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3,777</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43,664</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29,159</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46,123</w:t>
            </w:r>
          </w:p>
        </w:tc>
        <w:tc>
          <w:tcPr>
            <w:tcW w:w="6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47,170</w:t>
            </w:r>
          </w:p>
        </w:tc>
        <w:tc>
          <w:tcPr>
            <w:tcW w:w="6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82,632</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acquired intangible assets by segment for the three months ended June 28, 2013 and June 29, 2012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139"/>
              <w:spacing w:after="0"/>
              <w:rPr>
                <w:sz w:val="20"/>
                <w:szCs w:val="20"/>
                <w:color w:val="auto"/>
              </w:rPr>
            </w:pPr>
            <w:r>
              <w:rPr>
                <w:rFonts w:ascii="Arial" w:cs="Arial" w:eastAsia="Arial" w:hAnsi="Arial"/>
                <w:sz w:val="14"/>
                <w:szCs w:val="14"/>
                <w:b w:val="1"/>
                <w:bCs w:val="1"/>
                <w:color w:val="auto"/>
                <w:w w:val="88"/>
              </w:rPr>
              <w:t>Three Months Ended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June 28, 2013</w:t>
            </w:r>
          </w:p>
        </w:tc>
        <w:tc>
          <w:tcPr>
            <w:tcW w:w="1560" w:type="dxa"/>
            <w:vAlign w:val="bottom"/>
            <w:tcBorders>
              <w:bottom w:val="single" w:sz="8" w:color="auto"/>
            </w:tcBorders>
            <w:gridSpan w:val="3"/>
          </w:tcPr>
          <w:p>
            <w:pPr>
              <w:ind w:left="760"/>
              <w:spacing w:after="0" w:line="142" w:lineRule="exact"/>
              <w:rPr>
                <w:sz w:val="20"/>
                <w:szCs w:val="20"/>
                <w:color w:val="auto"/>
              </w:rPr>
            </w:pPr>
            <w:r>
              <w:rPr>
                <w:rFonts w:ascii="Arial" w:cs="Arial" w:eastAsia="Arial" w:hAnsi="Arial"/>
                <w:sz w:val="14"/>
                <w:szCs w:val="14"/>
                <w:b w:val="1"/>
                <w:bCs w:val="1"/>
                <w:color w:val="auto"/>
                <w:w w:val="85"/>
              </w:rPr>
              <w:t>June 29, 2012</w:t>
            </w:r>
          </w:p>
        </w:tc>
        <w:tc>
          <w:tcPr>
            <w:tcW w:w="100" w:type="dxa"/>
            <w:vAlign w:val="bottom"/>
          </w:tcPr>
          <w:p>
            <w:pPr>
              <w:spacing w:after="0"/>
              <w:rPr>
                <w:sz w:val="12"/>
                <w:szCs w:val="12"/>
                <w:color w:val="auto"/>
              </w:rPr>
            </w:pPr>
          </w:p>
        </w:tc>
      </w:tr>
      <w:tr>
        <w:trPr>
          <w:trHeight w:val="142"/>
        </w:trPr>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3"/>
          </w:tcPr>
          <w:p>
            <w:pPr>
              <w:jc w:val="center"/>
              <w:ind w:left="159"/>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7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8"/>
                <w:szCs w:val="18"/>
                <w:color w:val="auto"/>
              </w:rPr>
            </w:pPr>
          </w:p>
        </w:tc>
      </w:tr>
      <w:tr>
        <w:trPr>
          <w:trHeight w:val="222"/>
        </w:trPr>
        <w:tc>
          <w:tcPr>
            <w:tcW w:w="6220" w:type="dxa"/>
            <w:vAlign w:val="bottom"/>
          </w:tcPr>
          <w:p>
            <w:pPr>
              <w:spacing w:after="0"/>
              <w:rPr>
                <w:sz w:val="20"/>
                <w:szCs w:val="20"/>
                <w:color w:val="auto"/>
              </w:rPr>
            </w:pPr>
            <w:r>
              <w:rPr>
                <w:rFonts w:ascii="Arial" w:cs="Arial" w:eastAsia="Arial" w:hAnsi="Arial"/>
                <w:sz w:val="18"/>
                <w:szCs w:val="18"/>
                <w:color w:val="auto"/>
              </w:rPr>
              <w:t>Total amortization of acquired intangible assets</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3,501</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Revenue information by geographic area for the three months ended June 28, 2013 and June 29, 2012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June 28, 2013</w:t>
            </w:r>
          </w:p>
        </w:tc>
        <w:tc>
          <w:tcPr>
            <w:tcW w:w="14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June 29,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96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238,799</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40,827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7,778</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Central and Latin America</w:t>
            </w:r>
          </w:p>
        </w:tc>
        <w:tc>
          <w:tcPr>
            <w:tcW w:w="2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20" w:type="dxa"/>
            <w:vAlign w:val="bottom"/>
          </w:tcPr>
          <w:p>
            <w:pPr>
              <w:spacing w:after="0"/>
              <w:rPr>
                <w:sz w:val="20"/>
                <w:szCs w:val="20"/>
                <w:color w:val="auto"/>
              </w:rPr>
            </w:pPr>
            <w:r>
              <w:rPr>
                <w:rFonts w:ascii="Arial" w:cs="Arial" w:eastAsia="Arial" w:hAnsi="Arial"/>
                <w:sz w:val="18"/>
                <w:szCs w:val="18"/>
                <w:color w:val="auto"/>
              </w:rPr>
              <w:t>Total revenues</w:t>
            </w:r>
          </w:p>
        </w:tc>
        <w:tc>
          <w:tcPr>
            <w:tcW w:w="2960" w:type="dxa"/>
            <w:vAlign w:val="bottom"/>
            <w:gridSpan w:val="2"/>
          </w:tcPr>
          <w:p>
            <w:pPr>
              <w:ind w:left="28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321,102</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241,763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820" w:type="dxa"/>
            <w:vAlign w:val="bottom"/>
            <w:vMerge w:val="restart"/>
          </w:tcPr>
          <w:p>
            <w:pPr>
              <w:jc w:val="right"/>
              <w:ind w:right="1832"/>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net book value of long-lived assets located outside the United States was $18.9 million and $18.5 million at June 28, 2013 and March 29, 2013,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Certain Relationships and Related-Party Transactions</w:t>
      </w:r>
    </w:p>
    <w:p>
      <w:pPr>
        <w:spacing w:after="0" w:line="96" w:lineRule="exact"/>
        <w:rPr>
          <w:sz w:val="20"/>
          <w:szCs w:val="20"/>
          <w:color w:val="auto"/>
        </w:rPr>
      </w:pPr>
    </w:p>
    <w:p>
      <w:pPr>
        <w:ind w:right="80" w:firstLine="456"/>
        <w:spacing w:after="0" w:line="308" w:lineRule="auto"/>
        <w:rPr>
          <w:sz w:val="20"/>
          <w:szCs w:val="20"/>
          <w:color w:val="auto"/>
        </w:rPr>
      </w:pPr>
      <w:r>
        <w:rPr>
          <w:rFonts w:ascii="Arial" w:cs="Arial" w:eastAsia="Arial" w:hAnsi="Arial"/>
          <w:sz w:val="15"/>
          <w:szCs w:val="15"/>
          <w:color w:val="auto"/>
        </w:rPr>
        <w:t>John Stenbit, a director of the Company since August 2004, also serves on the board of directors of Loral. The Company’s satellite construction contract with SS/L (a subsidiary of Loral prior to November 2012), under which the Company purchased ViaSat-1, requires the Company to make monthly satellite performance incentive payments, including interest, over a fifteen-year period from December 2011 to December 2026, subject to the continued satisfactory performance of the satellite (see Note 3). In addition, the Company entered into a beam sharing agreement with Loral, whereby Loral is responsible for contributing 15% of the total costs associated with the ViaSat-1 satellite project. The Company’s purchase of the ViaSat-1 satellite from SS/L was approved by the disinterested members of the Company’s Board of Directors, after a determination by the disinterested members of the Company’s Board that the terms and conditions of the purchase were fair to and in the best interests of the Company and its stockholders. In March 2011, Loral entered into agreements with Telesat Canada (an entity owned by TeleSat Holdings, Inc., a joint venture between Loral and the Public Sector Pension Investment Board) pursuant to which Loral assigned to Telesat Canada, and Telesat Canada assumed from Loral, all of Loral’s rights and obligations with respect to the Canadian beams on ViaSat-1. Material amounts related to the satellite construction contract with SS/L and beam sharing agreement with Telesat Canada are disclosed in the tables below.</w:t>
      </w:r>
    </w:p>
    <w:p>
      <w:pPr>
        <w:spacing w:after="0" w:line="10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from time to time, the Company enters into various contracts in the ordinary course of business with Loral, SS/L and Telesat Canada. Material amounts related to these contracts are disclosed in the tables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Current payables included in accrued liabilities and long-term payables included in other liabilities as of June 28, 2013 and March 29, 2013 that relate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SS/L as a related party were as follows:</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59"/>
              <w:spacing w:after="0"/>
              <w:rPr>
                <w:sz w:val="20"/>
                <w:szCs w:val="20"/>
                <w:color w:val="auto"/>
              </w:rPr>
            </w:pPr>
            <w:r>
              <w:rPr>
                <w:rFonts w:ascii="Arial" w:cs="Arial" w:eastAsia="Arial" w:hAnsi="Arial"/>
                <w:sz w:val="14"/>
                <w:szCs w:val="14"/>
                <w:b w:val="1"/>
                <w:bCs w:val="1"/>
                <w:color w:val="auto"/>
              </w:rPr>
              <w:t>As of</w:t>
            </w:r>
          </w:p>
        </w:tc>
        <w:tc>
          <w:tcPr>
            <w:tcW w:w="10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r>
      <w:tr>
        <w:trPr>
          <w:trHeight w:val="161"/>
        </w:trPr>
        <w:tc>
          <w:tcPr>
            <w:tcW w:w="5400" w:type="dxa"/>
            <w:vAlign w:val="bottom"/>
          </w:tcPr>
          <w:p>
            <w:pPr>
              <w:spacing w:after="0"/>
              <w:rPr>
                <w:sz w:val="14"/>
                <w:szCs w:val="14"/>
                <w:color w:val="auto"/>
              </w:rPr>
            </w:pPr>
          </w:p>
        </w:tc>
        <w:tc>
          <w:tcPr>
            <w:tcW w:w="1460" w:type="dxa"/>
            <w:vAlign w:val="bottom"/>
            <w:gridSpan w:val="3"/>
          </w:tcPr>
          <w:p>
            <w:pPr>
              <w:ind w:left="580"/>
              <w:spacing w:after="0"/>
              <w:rPr>
                <w:sz w:val="20"/>
                <w:szCs w:val="20"/>
                <w:color w:val="auto"/>
              </w:rPr>
            </w:pPr>
            <w:r>
              <w:rPr>
                <w:rFonts w:ascii="Arial" w:cs="Arial" w:eastAsia="Arial" w:hAnsi="Arial"/>
                <w:sz w:val="14"/>
                <w:szCs w:val="14"/>
                <w:b w:val="1"/>
                <w:bCs w:val="1"/>
                <w:color w:val="auto"/>
                <w:w w:val="94"/>
              </w:rPr>
              <w:t>June 28, 2013</w:t>
            </w:r>
          </w:p>
        </w:tc>
        <w:tc>
          <w:tcPr>
            <w:tcW w:w="1820" w:type="dxa"/>
            <w:vAlign w:val="bottom"/>
            <w:gridSpan w:val="3"/>
          </w:tcPr>
          <w:p>
            <w:pPr>
              <w:ind w:left="820"/>
              <w:spacing w:after="0"/>
              <w:rPr>
                <w:sz w:val="20"/>
                <w:szCs w:val="20"/>
                <w:color w:val="auto"/>
              </w:rPr>
            </w:pPr>
            <w:r>
              <w:rPr>
                <w:rFonts w:ascii="Arial" w:cs="Arial" w:eastAsia="Arial" w:hAnsi="Arial"/>
                <w:sz w:val="14"/>
                <w:szCs w:val="14"/>
                <w:b w:val="1"/>
                <w:bCs w:val="1"/>
                <w:color w:val="auto"/>
                <w:w w:val="98"/>
              </w:rPr>
              <w:t>March 29, 2013</w:t>
            </w:r>
          </w:p>
        </w:tc>
      </w:tr>
      <w:tr>
        <w:trPr>
          <w:trHeight w:val="142"/>
        </w:trPr>
        <w:tc>
          <w:tcPr>
            <w:tcW w:w="5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Payables, current: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400" w:type="dxa"/>
            <w:vAlign w:val="bottom"/>
          </w:tcPr>
          <w:p>
            <w:pPr>
              <w:ind w:left="440"/>
              <w:spacing w:after="0"/>
              <w:rPr>
                <w:sz w:val="20"/>
                <w:szCs w:val="20"/>
                <w:color w:val="auto"/>
              </w:rPr>
            </w:pPr>
            <w:r>
              <w:rPr>
                <w:rFonts w:ascii="Arial" w:cs="Arial" w:eastAsia="Arial" w:hAnsi="Arial"/>
                <w:sz w:val="18"/>
                <w:szCs w:val="18"/>
                <w:color w:val="auto"/>
                <w:w w:val="99"/>
              </w:rPr>
              <w:t>Satellite construction contract (estimated satellite performance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400" w:type="dxa"/>
            <w:vAlign w:val="bottom"/>
          </w:tcPr>
          <w:p>
            <w:pPr>
              <w:ind w:left="640"/>
              <w:spacing w:after="0"/>
              <w:rPr>
                <w:sz w:val="20"/>
                <w:szCs w:val="20"/>
                <w:color w:val="auto"/>
              </w:rPr>
            </w:pPr>
            <w:r>
              <w:rPr>
                <w:rFonts w:ascii="Arial" w:cs="Arial" w:eastAsia="Arial" w:hAnsi="Arial"/>
                <w:sz w:val="18"/>
                <w:szCs w:val="18"/>
                <w:color w:val="auto"/>
              </w:rPr>
              <w:t>incentives)</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8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19"/>
                <w:szCs w:val="19"/>
                <w:color w:val="auto"/>
              </w:rPr>
            </w:pPr>
          </w:p>
        </w:tc>
      </w:tr>
      <w:tr>
        <w:trPr>
          <w:trHeight w:val="218"/>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Payables, long-term:</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400" w:type="dxa"/>
            <w:vAlign w:val="bottom"/>
          </w:tcPr>
          <w:p>
            <w:pPr>
              <w:ind w:left="440"/>
              <w:spacing w:after="0"/>
              <w:rPr>
                <w:sz w:val="20"/>
                <w:szCs w:val="20"/>
                <w:color w:val="auto"/>
              </w:rPr>
            </w:pPr>
            <w:r>
              <w:rPr>
                <w:rFonts w:ascii="Arial" w:cs="Arial" w:eastAsia="Arial" w:hAnsi="Arial"/>
                <w:sz w:val="18"/>
                <w:szCs w:val="18"/>
                <w:color w:val="auto"/>
                <w:w w:val="99"/>
              </w:rPr>
              <w:t>Satellite construction contract (estimated satellite performance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400" w:type="dxa"/>
            <w:vAlign w:val="bottom"/>
          </w:tcPr>
          <w:p>
            <w:pPr>
              <w:ind w:left="640"/>
              <w:spacing w:after="0"/>
              <w:rPr>
                <w:sz w:val="20"/>
                <w:szCs w:val="20"/>
                <w:color w:val="auto"/>
              </w:rPr>
            </w:pPr>
            <w:r>
              <w:rPr>
                <w:rFonts w:ascii="Arial" w:cs="Arial" w:eastAsia="Arial" w:hAnsi="Arial"/>
                <w:sz w:val="18"/>
                <w:szCs w:val="18"/>
                <w:color w:val="auto"/>
              </w:rPr>
              <w:t>incentives)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21,009</w:t>
            </w:r>
          </w:p>
        </w:tc>
        <w:tc>
          <w:tcPr>
            <w:tcW w:w="100" w:type="dxa"/>
            <w:vAlign w:val="bottom"/>
          </w:tcPr>
          <w:p>
            <w:pPr>
              <w:spacing w:after="0"/>
              <w:rPr>
                <w:sz w:val="19"/>
                <w:szCs w:val="19"/>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w:t>
      </w:r>
      <w:r>
        <w:rPr>
          <w:rFonts w:ascii="Arial" w:cs="Arial" w:eastAsia="Arial" w:hAnsi="Arial"/>
          <w:sz w:val="18"/>
          <w:szCs w:val="18"/>
          <w:color w:val="auto"/>
        </w:rPr>
        <w:t xml:space="preserve">  Effective as of November 2012, SS/L is no longer a related party.</w:t>
      </w: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Expense for the three months ended June 28, 2013 and June 29, 2012 were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center"/>
              <w:ind w:right="162"/>
              <w:spacing w:after="0"/>
              <w:rPr>
                <w:sz w:val="20"/>
                <w:szCs w:val="20"/>
                <w:color w:val="auto"/>
              </w:rPr>
            </w:pPr>
            <w:r>
              <w:rPr>
                <w:rFonts w:ascii="Arial" w:cs="Arial" w:eastAsia="Arial" w:hAnsi="Arial"/>
                <w:sz w:val="14"/>
                <w:szCs w:val="14"/>
                <w:b w:val="1"/>
                <w:bCs w:val="1"/>
                <w:color w:val="auto"/>
                <w:w w:val="88"/>
              </w:rPr>
              <w:t>Three Months Ended</w:t>
            </w:r>
          </w:p>
        </w:tc>
        <w:tc>
          <w:tcPr>
            <w:tcW w:w="140" w:type="dxa"/>
            <w:vAlign w:val="bottom"/>
          </w:tcPr>
          <w:p>
            <w:pPr>
              <w:spacing w:after="0"/>
              <w:rPr>
                <w:sz w:val="14"/>
                <w:szCs w:val="14"/>
                <w:color w:val="auto"/>
              </w:rPr>
            </w:pPr>
          </w:p>
        </w:tc>
      </w:tr>
      <w:tr>
        <w:trPr>
          <w:trHeight w:val="142"/>
        </w:trPr>
        <w:tc>
          <w:tcPr>
            <w:tcW w:w="4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June 28, 2013</w:t>
            </w:r>
          </w:p>
        </w:tc>
        <w:tc>
          <w:tcPr>
            <w:tcW w:w="116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w w:val="85"/>
              </w:rPr>
              <w:t>June 29, 2012</w:t>
            </w:r>
          </w:p>
        </w:tc>
        <w:tc>
          <w:tcPr>
            <w:tcW w:w="140" w:type="dxa"/>
            <w:vAlign w:val="bottom"/>
          </w:tcPr>
          <w:p>
            <w:pPr>
              <w:spacing w:after="0"/>
              <w:rPr>
                <w:sz w:val="12"/>
                <w:szCs w:val="12"/>
                <w:color w:val="auto"/>
              </w:rPr>
            </w:pPr>
          </w:p>
        </w:tc>
      </w:tr>
      <w:tr>
        <w:trPr>
          <w:trHeight w:val="142"/>
        </w:trPr>
        <w:tc>
          <w:tcPr>
            <w:tcW w:w="4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2"/>
          </w:tcPr>
          <w:p>
            <w:pPr>
              <w:jc w:val="center"/>
              <w:ind w:right="182"/>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40" w:type="dxa"/>
            <w:vAlign w:val="bottom"/>
          </w:tcPr>
          <w:p>
            <w:pPr>
              <w:spacing w:after="0"/>
              <w:rPr>
                <w:sz w:val="12"/>
                <w:szCs w:val="12"/>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2"/>
        </w:trPr>
        <w:tc>
          <w:tcPr>
            <w:tcW w:w="4920" w:type="dxa"/>
            <w:vAlign w:val="bottom"/>
          </w:tcPr>
          <w:p>
            <w:pPr>
              <w:ind w:left="440"/>
              <w:spacing w:after="0"/>
              <w:rPr>
                <w:sz w:val="20"/>
                <w:szCs w:val="20"/>
                <w:color w:val="auto"/>
              </w:rPr>
            </w:pPr>
            <w:r>
              <w:rPr>
                <w:rFonts w:ascii="Arial" w:cs="Arial" w:eastAsia="Arial" w:hAnsi="Arial"/>
                <w:sz w:val="18"/>
                <w:szCs w:val="18"/>
                <w:color w:val="auto"/>
              </w:rPr>
              <w:t>Telesat Canada – ordinary course of business</w:t>
            </w:r>
          </w:p>
        </w:tc>
        <w:tc>
          <w:tcPr>
            <w:tcW w:w="15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66"/>
              <w:spacing w:after="0"/>
              <w:rPr>
                <w:sz w:val="20"/>
                <w:szCs w:val="20"/>
                <w:color w:val="auto"/>
              </w:rPr>
            </w:pPr>
            <w:r>
              <w:rPr>
                <w:rFonts w:ascii="Arial" w:cs="Arial" w:eastAsia="Arial" w:hAnsi="Arial"/>
                <w:sz w:val="18"/>
                <w:szCs w:val="18"/>
                <w:color w:val="auto"/>
              </w:rPr>
              <w:t>2,533</w:t>
            </w:r>
          </w:p>
        </w:tc>
        <w:tc>
          <w:tcPr>
            <w:tcW w:w="1160" w:type="dxa"/>
            <w:vAlign w:val="bottom"/>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84"/>
              </w:rPr>
              <w:t>*</w:t>
            </w:r>
          </w:p>
        </w:tc>
      </w:tr>
    </w:tbl>
    <w:p>
      <w:pPr>
        <w:spacing w:after="0" w:line="15" w:lineRule="exact"/>
        <w:rPr>
          <w:sz w:val="20"/>
          <w:szCs w:val="20"/>
          <w:color w:val="auto"/>
        </w:rPr>
      </w:pPr>
    </w:p>
    <w:p>
      <w:pPr>
        <w:spacing w:after="0"/>
        <w:tabs>
          <w:tab w:leader="none" w:pos="200" w:val="left"/>
        </w:tabs>
        <w:rPr>
          <w:sz w:val="20"/>
          <w:szCs w:val="20"/>
          <w:color w:val="auto"/>
        </w:rPr>
      </w:pPr>
      <w:r>
        <w:rPr>
          <w:rFonts w:ascii="Arial" w:cs="Arial" w:eastAsia="Arial" w:hAnsi="Arial"/>
          <w:sz w:val="22"/>
          <w:szCs w:val="22"/>
          <w:color w:val="auto"/>
          <w:vertAlign w:val="superscript"/>
        </w:rPr>
        <w:t>*</w:t>
      </w:r>
      <w:r>
        <w:rPr>
          <w:sz w:val="20"/>
          <w:szCs w:val="20"/>
          <w:color w:val="auto"/>
        </w:rPr>
        <w:tab/>
      </w:r>
      <w:r>
        <w:rPr>
          <w:rFonts w:ascii="Arial" w:cs="Arial" w:eastAsia="Arial" w:hAnsi="Arial"/>
          <w:sz w:val="18"/>
          <w:szCs w:val="18"/>
          <w:color w:val="auto"/>
        </w:rPr>
        <w:t>Amount was not meaningful.</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paid during the three months ended June 28, 2013 and June 29, 2012 were as follows:</w:t>
      </w:r>
    </w:p>
    <w:p>
      <w:pPr>
        <w:spacing w:after="0" w:line="207"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0</wp:posOffset>
            </wp:positionV>
            <wp:extent cx="15005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ind w:left="7600"/>
        <w:spacing w:after="0"/>
        <w:tabs>
          <w:tab w:leader="none" w:pos="9140" w:val="left"/>
        </w:tabs>
        <w:rPr>
          <w:sz w:val="20"/>
          <w:szCs w:val="20"/>
          <w:color w:val="auto"/>
        </w:rPr>
      </w:pPr>
      <w:r>
        <w:rPr>
          <w:rFonts w:ascii="Arial" w:cs="Arial" w:eastAsia="Arial" w:hAnsi="Arial"/>
          <w:sz w:val="14"/>
          <w:szCs w:val="14"/>
          <w:b w:val="1"/>
          <w:bCs w:val="1"/>
          <w:color w:val="auto"/>
        </w:rPr>
        <w:t>June 28, 2013</w:t>
      </w:r>
      <w:r>
        <w:rPr>
          <w:sz w:val="20"/>
          <w:szCs w:val="20"/>
          <w:color w:val="auto"/>
        </w:rPr>
        <w:tab/>
      </w:r>
      <w:r>
        <w:rPr>
          <w:rFonts w:ascii="Arial" w:cs="Arial" w:eastAsia="Arial" w:hAnsi="Arial"/>
          <w:sz w:val="11"/>
          <w:szCs w:val="11"/>
          <w:b w:val="1"/>
          <w:bCs w:val="1"/>
          <w:color w:val="auto"/>
        </w:rPr>
        <w:t>June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-6985</wp:posOffset>
            </wp:positionV>
            <wp:extent cx="15005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ind w:left="8360"/>
        <w:spacing w:after="0" w:line="232"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-2540</wp:posOffset>
            </wp:positionV>
            <wp:extent cx="550545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tbl>
      <w:tblPr>
        <w:tblLayout w:type="fixed"/>
        <w:tblInd w:w="1380" w:type="dxa"/>
        <w:tblCellMar>
          <w:top w:w="0" w:type="dxa"/>
          <w:left w:w="0" w:type="dxa"/>
          <w:bottom w:w="0" w:type="dxa"/>
          <w:right w:w="0" w:type="dxa"/>
        </w:tblCellMar>
      </w:tblPr>
      <w:tr>
        <w:trPr>
          <w:trHeight w:val="202"/>
        </w:trPr>
        <w:tc>
          <w:tcPr>
            <w:tcW w:w="4900" w:type="dxa"/>
            <w:vAlign w:val="bottom"/>
          </w:tcPr>
          <w:p>
            <w:pPr>
              <w:spacing w:after="0" w:line="202" w:lineRule="exact"/>
              <w:rPr>
                <w:sz w:val="20"/>
                <w:szCs w:val="20"/>
                <w:color w:val="auto"/>
              </w:rPr>
            </w:pPr>
            <w:r>
              <w:rPr>
                <w:rFonts w:ascii="Arial" w:cs="Arial" w:eastAsia="Arial" w:hAnsi="Arial"/>
                <w:sz w:val="18"/>
                <w:szCs w:val="18"/>
                <w:color w:val="auto"/>
              </w:rPr>
              <w:t>Cash paid:</w:t>
            </w:r>
          </w:p>
        </w:tc>
        <w:tc>
          <w:tcPr>
            <w:tcW w:w="1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2"/>
        </w:trPr>
        <w:tc>
          <w:tcPr>
            <w:tcW w:w="4900" w:type="dxa"/>
            <w:vAlign w:val="bottom"/>
          </w:tcPr>
          <w:p>
            <w:pPr>
              <w:ind w:left="440"/>
              <w:spacing w:after="0"/>
              <w:rPr>
                <w:sz w:val="20"/>
                <w:szCs w:val="20"/>
                <w:color w:val="auto"/>
              </w:rPr>
            </w:pPr>
            <w:r>
              <w:rPr>
                <w:rFonts w:ascii="Arial" w:cs="Arial" w:eastAsia="Arial" w:hAnsi="Arial"/>
                <w:sz w:val="18"/>
                <w:szCs w:val="18"/>
                <w:color w:val="auto"/>
              </w:rPr>
              <w:t>Telesat Canada – ordinary course of business</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2"/>
              <w:spacing w:after="0"/>
              <w:rPr>
                <w:sz w:val="20"/>
                <w:szCs w:val="20"/>
                <w:color w:val="auto"/>
              </w:rPr>
            </w:pPr>
            <w:r>
              <w:rPr>
                <w:rFonts w:ascii="Arial" w:cs="Arial" w:eastAsia="Arial" w:hAnsi="Arial"/>
                <w:sz w:val="18"/>
                <w:szCs w:val="18"/>
                <w:color w:val="auto"/>
              </w:rPr>
              <w:t>1,830</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2,146</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Financial Statements of Parent and Subsidiary Guarantors</w:t>
      </w:r>
    </w:p>
    <w:p>
      <w:pPr>
        <w:spacing w:after="0" w:line="96"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As of June 28, 2013, $575.0 million in aggregate principal amount of 2020 Notes issued by the Company was outstanding. The 2020 Notes are jointly and severally guaranteed on a full and unconditional basis by each of the Guarantor Subsidiaries, subject to certain customary release provisions, including the sale, transfer or other disposition of the capital stock or all or substantially all of the assets of a Guarantor Subsidiary, the designation of a Guarantor Subsidiary as an unrestricted subsidiary, the release or discharge of the Guarantor Subsidiary’s guarantee of the Credit Facility or the exercise of the legal defeasance option or covenant defeasance option. All of the Guarantor Subsidiaries are direct or indirect 100% owned subsidiaries of the Company. The indenture 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0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supplemental financial information sets forth, on a condensed consolidating basis, the balance sheets, statements of operations and comprehensive income (loss), and statements of cash flows for the Company (as “Issuing Parent Company”), the Guarantor Subsidiaries, the non-guarantor subsidiaries and total consolidated Company and subsidiaries as of June 28, 2013 and March 29, 2013 and for the three months ended June 28, 2013 and June 29, 2012.</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 as of June 28,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2"/>
              </w:rPr>
              <w:t>Issuing Parent</w:t>
            </w:r>
          </w:p>
        </w:tc>
        <w:tc>
          <w:tcPr>
            <w:tcW w:w="38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300" w:type="dxa"/>
            <w:vAlign w:val="bottom"/>
          </w:tcPr>
          <w:p>
            <w:pPr>
              <w:spacing w:after="0"/>
              <w:rPr>
                <w:sz w:val="12"/>
                <w:szCs w:val="12"/>
                <w:color w:val="auto"/>
              </w:rPr>
            </w:pPr>
          </w:p>
        </w:tc>
        <w:tc>
          <w:tcPr>
            <w:tcW w:w="11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Elimination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Company</w:t>
            </w:r>
          </w:p>
        </w:tc>
        <w:tc>
          <w:tcPr>
            <w:tcW w:w="3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3"/>
              </w:rPr>
              <w:t>Subsidiaries</w:t>
            </w:r>
          </w:p>
        </w:tc>
        <w:tc>
          <w:tcPr>
            <w:tcW w:w="3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4"/>
              </w:rPr>
              <w:t>Adjustments</w:t>
            </w:r>
          </w:p>
        </w:tc>
        <w:tc>
          <w:tcPr>
            <w:tcW w:w="1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5"/>
          </w:tcPr>
          <w:p>
            <w:pPr>
              <w:ind w:left="80"/>
              <w:spacing w:after="0" w:line="142" w:lineRule="exact"/>
              <w:rPr>
                <w:sz w:val="20"/>
                <w:szCs w:val="20"/>
                <w:color w:val="auto"/>
              </w:rPr>
            </w:pPr>
            <w:r>
              <w:rPr>
                <w:rFonts w:ascii="Arial" w:cs="Arial" w:eastAsia="Arial" w:hAnsi="Arial"/>
                <w:sz w:val="14"/>
                <w:szCs w:val="14"/>
                <w:b w:val="1"/>
                <w:bCs w:val="1"/>
                <w:color w:val="auto"/>
                <w:w w:val="85"/>
              </w:rPr>
              <w:t>(Unaudited, in thousands)</w:t>
            </w: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3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63,810</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11,236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237,119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7,329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Current portion of intercompany receivables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134,023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(137,151)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590,475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26,608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(137,151)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Satellites,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368,827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190,417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203,463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189,828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acquired intangible assets,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37,225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7,520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Investments in subsidiaries and intercompany receivables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378,024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(379,766)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163,308</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1,769,415</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534,647</w:t>
            </w:r>
          </w:p>
        </w:tc>
        <w:tc>
          <w:tcPr>
            <w:tcW w:w="80" w:type="dxa"/>
            <w:vAlign w:val="bottom"/>
          </w:tcPr>
          <w:p>
            <w:pPr>
              <w:spacing w:after="0"/>
              <w:rPr>
                <w:sz w:val="19"/>
                <w:szCs w:val="19"/>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50,126</w:t>
            </w:r>
          </w:p>
        </w:tc>
        <w:tc>
          <w:tcPr>
            <w:tcW w:w="4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(516,917)</w:t>
            </w:r>
          </w:p>
        </w:tc>
        <w:tc>
          <w:tcPr>
            <w:tcW w:w="26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1,837,271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shd w:val="clear" w:color="auto" w:fill="CCEEFF"/>
          </w:tcPr>
          <w:p>
            <w:pPr>
              <w:ind w:left="152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107,174</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13,111</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113,583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5,870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other long-term debt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Current portion of intercompany payables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133,347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2,257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(137,151)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222,724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173,865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(137,151)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Senior notes,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584,717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584,717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Intercompany payables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6,681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(6,984)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36,511</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844,635</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189,620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17,190</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(144,135)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907,310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ViaSat, Inc. 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924,780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345,027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32,936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(377,963)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Noncontrolling interest in subsidiary</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924,780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345,027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32,936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(372,782)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1,769,415</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534,647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50,126</w:t>
            </w:r>
          </w:p>
        </w:tc>
        <w:tc>
          <w:tcPr>
            <w:tcW w:w="4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(516,917)</w:t>
            </w:r>
          </w:p>
        </w:tc>
        <w:tc>
          <w:tcPr>
            <w:tcW w:w="26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1,837,271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 as of March 29,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54"/>
              <w:spacing w:after="0"/>
              <w:rPr>
                <w:sz w:val="20"/>
                <w:szCs w:val="20"/>
                <w:color w:val="auto"/>
              </w:rPr>
            </w:pPr>
            <w:r>
              <w:rPr>
                <w:rFonts w:ascii="Arial" w:cs="Arial" w:eastAsia="Arial" w:hAnsi="Arial"/>
                <w:sz w:val="14"/>
                <w:szCs w:val="14"/>
                <w:b w:val="1"/>
                <w:bCs w:val="1"/>
                <w:color w:val="auto"/>
                <w:w w:val="85"/>
              </w:rPr>
              <w:t>Issuing</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3"/>
              <w:spacing w:after="0"/>
              <w:rPr>
                <w:sz w:val="20"/>
                <w:szCs w:val="20"/>
                <w:color w:val="auto"/>
              </w:rPr>
            </w:pPr>
            <w:r>
              <w:rPr>
                <w:rFonts w:ascii="Arial" w:cs="Arial" w:eastAsia="Arial" w:hAnsi="Arial"/>
                <w:sz w:val="14"/>
                <w:szCs w:val="14"/>
                <w:b w:val="1"/>
                <w:bCs w:val="1"/>
                <w:color w:val="auto"/>
              </w:rPr>
              <w:t>Non-</w:t>
            </w:r>
          </w:p>
        </w:tc>
        <w:tc>
          <w:tcPr>
            <w:tcW w:w="4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7"/>
              </w:rPr>
              <w:t>Parent</w:t>
            </w:r>
          </w:p>
        </w:tc>
        <w:tc>
          <w:tcPr>
            <w:tcW w:w="3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Guarantor</w:t>
            </w:r>
          </w:p>
        </w:tc>
        <w:tc>
          <w:tcPr>
            <w:tcW w:w="3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Guarantor</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3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3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Subsidiaries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Adjustments</w:t>
            </w:r>
          </w:p>
        </w:tc>
        <w:tc>
          <w:tcPr>
            <w:tcW w:w="1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7"/>
          </w:tcPr>
          <w:p>
            <w:pPr>
              <w:jc w:val="right"/>
              <w:ind w:right="1120"/>
              <w:spacing w:after="0" w:line="142" w:lineRule="exact"/>
              <w:rPr>
                <w:sz w:val="20"/>
                <w:szCs w:val="20"/>
                <w:color w:val="auto"/>
              </w:rPr>
            </w:pPr>
            <w:r>
              <w:rPr>
                <w:rFonts w:ascii="Arial" w:cs="Arial" w:eastAsia="Arial" w:hAnsi="Arial"/>
                <w:sz w:val="14"/>
                <w:szCs w:val="14"/>
                <w:b w:val="1"/>
                <w:bCs w:val="1"/>
                <w:color w:val="auto"/>
                <w:w w:val="96"/>
              </w:rPr>
              <w:t>(Unaudited, 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340"/>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900" w:type="dxa"/>
            <w:vAlign w:val="bottom"/>
            <w:tcBorders>
              <w:right w:val="single" w:sz="8" w:color="CCEEFF"/>
            </w:tcBorders>
            <w:gridSpan w:val="2"/>
            <w:shd w:val="clear" w:color="auto" w:fill="CCEEFF"/>
          </w:tcPr>
          <w:p>
            <w:pPr>
              <w:jc w:val="center"/>
              <w:ind w:left="7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93,780</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240,457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15,537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10,976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22,350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Current portion of intercompany receivables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128,383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1,631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(131,595)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598,537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27,472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(131,595)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Satellites, net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337,437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197,653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535,090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183,227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acquired intangible assets, net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39,989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5,584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Investments in subsidiaries and intercompany receivables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381,338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(383,080)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154,854</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49,645</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900" w:type="dxa"/>
            <w:vAlign w:val="bottom"/>
            <w:gridSpan w:val="2"/>
          </w:tcPr>
          <w:p>
            <w:pPr>
              <w:jc w:val="center"/>
              <w:ind w:left="732"/>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1,727,202</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532,098</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49,447</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(514,675)</w:t>
            </w:r>
          </w:p>
        </w:tc>
        <w:tc>
          <w:tcPr>
            <w:tcW w:w="26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1,794,072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20" w:type="dxa"/>
            <w:vAlign w:val="bottom"/>
            <w:shd w:val="clear" w:color="auto" w:fill="CCEEFF"/>
          </w:tcPr>
          <w:p>
            <w:pPr>
              <w:ind w:left="1540"/>
              <w:spacing w:after="0"/>
              <w:rPr>
                <w:sz w:val="20"/>
                <w:szCs w:val="20"/>
                <w:color w:val="auto"/>
              </w:rPr>
            </w:pPr>
            <w:r>
              <w:rPr>
                <w:rFonts w:ascii="Arial" w:cs="Arial" w:eastAsia="Arial" w:hAnsi="Arial"/>
                <w:sz w:val="18"/>
                <w:szCs w:val="18"/>
                <w:b w:val="1"/>
                <w:bCs w:val="1"/>
                <w:color w:val="auto"/>
              </w:rPr>
              <w:t>LIABILITIES AND EQUITY</w:t>
            </w:r>
          </w:p>
        </w:tc>
        <w:tc>
          <w:tcPr>
            <w:tcW w:w="8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900" w:type="dxa"/>
            <w:vAlign w:val="bottom"/>
            <w:tcBorders>
              <w:right w:val="single" w:sz="8" w:color="CCEEFF"/>
            </w:tcBorders>
            <w:gridSpan w:val="2"/>
            <w:shd w:val="clear" w:color="auto" w:fill="CCEEFF"/>
          </w:tcPr>
          <w:p>
            <w:pPr>
              <w:jc w:val="center"/>
              <w:ind w:left="7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71,931</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128,374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26,916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6,619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other long-term debt</w:t>
            </w:r>
          </w:p>
        </w:tc>
        <w:tc>
          <w:tcPr>
            <w:tcW w:w="8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Current portion of intercompany payables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127,215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(131,596)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8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202,390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165,906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10,448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(131,596)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Senior notes, net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584,993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584,993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8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Intercompany payables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6,319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(6,621)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36,136</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15,137</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824,201</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182,119</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18,134</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(138,217)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886,237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8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ViaSat, Inc. stockholders’ equity</w:t>
            </w:r>
          </w:p>
        </w:tc>
        <w:tc>
          <w:tcPr>
            <w:tcW w:w="8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349,979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31,313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(381,292)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Noncontrolling interest in subsidiary</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8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349,979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31,313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(376,458)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tcPr>
          <w:p>
            <w:pPr>
              <w:ind w:left="420"/>
              <w:spacing w:after="0"/>
              <w:rPr>
                <w:sz w:val="20"/>
                <w:szCs w:val="20"/>
                <w:color w:val="auto"/>
              </w:rPr>
            </w:pPr>
            <w:r>
              <w:rPr>
                <w:rFonts w:ascii="Arial" w:cs="Arial" w:eastAsia="Arial" w:hAnsi="Arial"/>
                <w:sz w:val="18"/>
                <w:szCs w:val="18"/>
                <w:color w:val="auto"/>
              </w:rPr>
              <w:t>Total liabilities and equity</w:t>
            </w:r>
          </w:p>
        </w:tc>
        <w:tc>
          <w:tcPr>
            <w:tcW w:w="8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vMerge w:val="continue"/>
          </w:tcPr>
          <w:p>
            <w:pPr>
              <w:spacing w:after="0"/>
              <w:rPr>
                <w:sz w:val="19"/>
                <w:szCs w:val="19"/>
                <w:color w:val="auto"/>
              </w:rPr>
            </w:pPr>
          </w:p>
        </w:tc>
        <w:tc>
          <w:tcPr>
            <w:tcW w:w="900" w:type="dxa"/>
            <w:vAlign w:val="bottom"/>
            <w:gridSpan w:val="2"/>
          </w:tcPr>
          <w:p>
            <w:pPr>
              <w:jc w:val="center"/>
              <w:ind w:left="732"/>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1,727,202</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532,098</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49,447</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(514,675)</w:t>
            </w:r>
          </w:p>
        </w:tc>
        <w:tc>
          <w:tcPr>
            <w:tcW w:w="26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1,794,072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20" w:type="dxa"/>
            <w:vAlign w:val="bottom"/>
            <w:gridSpan w:val="3"/>
          </w:tcPr>
          <w:p>
            <w:pPr>
              <w:jc w:val="center"/>
              <w:ind w:left="32"/>
              <w:spacing w:after="0"/>
              <w:rPr>
                <w:sz w:val="20"/>
                <w:szCs w:val="20"/>
                <w:color w:val="auto"/>
              </w:rPr>
            </w:pPr>
            <w:r>
              <w:rPr>
                <w:rFonts w:ascii="Arial" w:cs="Arial" w:eastAsia="Arial" w:hAnsi="Arial"/>
                <w:sz w:val="18"/>
                <w:szCs w:val="18"/>
                <w:color w:val="auto"/>
                <w:w w:val="89"/>
              </w:rPr>
              <w:t>25</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 and Comprehensive Income (Loss) for the Three Months Ended June 28,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Non-</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Issuing Parent</w:t>
            </w:r>
          </w:p>
        </w:tc>
        <w:tc>
          <w:tcPr>
            <w:tcW w:w="24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360" w:type="dxa"/>
            <w:vAlign w:val="bottom"/>
          </w:tcPr>
          <w:p>
            <w:pPr>
              <w:spacing w:after="0"/>
              <w:rPr>
                <w:sz w:val="12"/>
                <w:szCs w:val="12"/>
                <w:color w:val="auto"/>
              </w:rPr>
            </w:pPr>
          </w:p>
        </w:tc>
        <w:tc>
          <w:tcPr>
            <w:tcW w:w="126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0" w:type="dxa"/>
            <w:vAlign w:val="bottom"/>
          </w:tcPr>
          <w:p>
            <w:pPr>
              <w:spacing w:after="0"/>
              <w:rPr>
                <w:sz w:val="12"/>
                <w:szCs w:val="12"/>
                <w:color w:val="auto"/>
              </w:rPr>
            </w:pPr>
          </w:p>
        </w:tc>
        <w:tc>
          <w:tcPr>
            <w:tcW w:w="14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Company</w:t>
            </w:r>
          </w:p>
        </w:tc>
        <w:tc>
          <w:tcPr>
            <w:tcW w:w="2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9"/>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w w:val="85"/>
              </w:rPr>
              <w:t>(Unaudited, in thousands)</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172,676</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9,752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138,941</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230,159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80,960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10,627</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(644)</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321,102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123,802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5,755</w:t>
            </w:r>
          </w:p>
        </w:tc>
        <w:tc>
          <w:tcPr>
            <w:tcW w:w="12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129,414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42,094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105,893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36,737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25,537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2,526</w:t>
            </w:r>
          </w:p>
        </w:tc>
        <w:tc>
          <w:tcPr>
            <w:tcW w:w="12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13,376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13,931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(11,004)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(10,138)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(11,029)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(6,076)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18"/>
                <w:szCs w:val="18"/>
                <w:color w:val="auto"/>
              </w:rPr>
            </w:pPr>
          </w:p>
        </w:tc>
        <w:tc>
          <w:tcPr>
            <w:tcW w:w="14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5,911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(1,834)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(4,953)</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19"/>
                <w:szCs w:val="19"/>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5,911</w:t>
            </w: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ViaSat, Inc.</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6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(1,834)</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(4,953)</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5,564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(1,799)</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(4,953)</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6,086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 attributable to ViaSat, Inc.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6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(1,799)</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(4,953)</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5,739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 and Comprehensive Income (Loss) for the Three Months Ended June 29,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Issuing Parent</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Guarantor</w:t>
            </w:r>
          </w:p>
        </w:tc>
        <w:tc>
          <w:tcPr>
            <w:tcW w:w="320" w:type="dxa"/>
            <w:vAlign w:val="bottom"/>
          </w:tcPr>
          <w:p>
            <w:pPr>
              <w:spacing w:after="0"/>
              <w:rPr>
                <w:sz w:val="12"/>
                <w:szCs w:val="12"/>
                <w:color w:val="auto"/>
              </w:rPr>
            </w:pPr>
          </w:p>
        </w:tc>
        <w:tc>
          <w:tcPr>
            <w:tcW w:w="9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7"/>
              </w:rPr>
              <w:t>Company</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Subsidiaries</w:t>
            </w:r>
          </w:p>
        </w:tc>
        <w:tc>
          <w:tcPr>
            <w:tcW w:w="3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9"/>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6"/>
          </w:tcPr>
          <w:p>
            <w:pPr>
              <w:ind w:left="80"/>
              <w:spacing w:after="0" w:line="142" w:lineRule="exact"/>
              <w:rPr>
                <w:sz w:val="20"/>
                <w:szCs w:val="20"/>
                <w:color w:val="auto"/>
              </w:rPr>
            </w:pPr>
            <w:r>
              <w:rPr>
                <w:rFonts w:ascii="Arial" w:cs="Arial" w:eastAsia="Arial" w:hAnsi="Arial"/>
                <w:sz w:val="14"/>
                <w:szCs w:val="14"/>
                <w:b w:val="1"/>
                <w:bCs w:val="1"/>
                <w:color w:val="auto"/>
                <w:w w:val="88"/>
              </w:rPr>
              <w:t>(Unaudited, in thousands)</w:t>
            </w:r>
          </w:p>
        </w:tc>
        <w:tc>
          <w:tcPr>
            <w:tcW w:w="9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143,174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4,128</w:t>
            </w:r>
          </w:p>
        </w:tc>
        <w:tc>
          <w:tcPr>
            <w:tcW w:w="2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147,729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37,360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94,034</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180,534</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55,115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6,606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241,763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106,325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109,049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24,354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31,143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22,975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2,383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7,091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11,346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(24,255)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(11,521)</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(11,546)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(24,275)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(1,320)</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(9,389)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(15,623)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15,623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(14,420)</w:t>
            </w:r>
          </w:p>
        </w:tc>
        <w:tc>
          <w:tcPr>
            <w:tcW w:w="1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(14,886)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15,623</w:t>
            </w: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94"/>
              </w:rPr>
              <w:t>Less: Net income (loss) attributable to noncontrolling interest, net of</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ViaSat, Inc.</w:t>
            </w: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(14,420)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(14,886)</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(750)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15,636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(15,121)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(14,886)</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16,348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(15,134)</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 attributable to ViaSat, Inc.</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gridSpan w:val="2"/>
            <w:vMerge w:val="continue"/>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(15,121)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(14,886)</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(1,475)</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16,361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313"/>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Cash Flows for the Three Months Ended June 28,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Non-</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Consolidation and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Issuing Parent</w:t>
            </w:r>
          </w:p>
        </w:tc>
        <w:tc>
          <w:tcPr>
            <w:tcW w:w="8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Guarantor</w:t>
            </w:r>
          </w:p>
        </w:tc>
        <w:tc>
          <w:tcPr>
            <w:tcW w:w="340" w:type="dxa"/>
            <w:vAlign w:val="bottom"/>
          </w:tcPr>
          <w:p>
            <w:pPr>
              <w:spacing w:after="0"/>
              <w:rPr>
                <w:sz w:val="12"/>
                <w:szCs w:val="12"/>
                <w:color w:val="auto"/>
              </w:rPr>
            </w:pPr>
          </w:p>
        </w:tc>
        <w:tc>
          <w:tcPr>
            <w:tcW w:w="122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40" w:type="dxa"/>
            <w:vAlign w:val="bottom"/>
          </w:tcPr>
          <w:p>
            <w:pPr>
              <w:spacing w:after="0"/>
              <w:rPr>
                <w:sz w:val="12"/>
                <w:szCs w:val="12"/>
                <w:color w:val="auto"/>
              </w:rPr>
            </w:pPr>
          </w:p>
        </w:tc>
        <w:tc>
          <w:tcPr>
            <w:tcW w:w="14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Elimination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7"/>
              </w:rPr>
              <w:t>Company</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5"/>
          </w:tcPr>
          <w:p>
            <w:pPr>
              <w:ind w:left="100"/>
              <w:spacing w:after="0" w:line="142" w:lineRule="exact"/>
              <w:rPr>
                <w:sz w:val="20"/>
                <w:szCs w:val="20"/>
                <w:color w:val="auto"/>
              </w:rPr>
            </w:pPr>
            <w:r>
              <w:rPr>
                <w:rFonts w:ascii="Arial" w:cs="Arial" w:eastAsia="Arial" w:hAnsi="Arial"/>
                <w:sz w:val="14"/>
                <w:szCs w:val="14"/>
                <w:b w:val="1"/>
                <w:bCs w:val="1"/>
                <w:color w:val="auto"/>
                <w:w w:val="91"/>
              </w:rPr>
              <w:t>(Unaudited, in thousands)</w:t>
            </w:r>
          </w:p>
        </w:tc>
        <w:tc>
          <w:tcPr>
            <w:tcW w:w="9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15,905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35,503</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2,414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Purchase of property, equipment and satellites,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(39,062)</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(33,693)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14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(73,030)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patents, licenses and other assets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(11,769)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Payment related to acquisition of business, net of cash</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640"/>
              <w:spacing w:after="0"/>
              <w:rPr>
                <w:sz w:val="20"/>
                <w:szCs w:val="20"/>
                <w:color w:val="auto"/>
              </w:rPr>
            </w:pPr>
            <w:r>
              <w:rPr>
                <w:rFonts w:ascii="Arial" w:cs="Arial" w:eastAsia="Arial" w:hAnsi="Arial"/>
                <w:sz w:val="18"/>
                <w:szCs w:val="18"/>
                <w:color w:val="auto"/>
              </w:rPr>
              <w:t>acquired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intercompany notes and investments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79"/>
              </w:rPr>
              <w:t>362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(53,593)</w:t>
            </w: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(33,693)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w w:val="79"/>
              </w:rPr>
              <w:t>362</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(87,206)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w w:val="91"/>
              </w:rPr>
              <w:t>Proceeds from issuance of common stock under equity plans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8,279</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common stock in treasury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intercompany financing</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(362)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7,718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9"/>
                <w:szCs w:val="19"/>
                <w:color w:val="auto"/>
              </w:rPr>
            </w:pPr>
          </w:p>
        </w:tc>
        <w:tc>
          <w:tcPr>
            <w:tcW w:w="1460" w:type="dxa"/>
            <w:vAlign w:val="bottom"/>
            <w:gridSpan w:val="2"/>
          </w:tcPr>
          <w:p>
            <w:pPr>
              <w:ind w:left="620"/>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(29,970)</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1,524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2,390</w:t>
            </w:r>
          </w:p>
        </w:tc>
        <w:tc>
          <w:tcPr>
            <w:tcW w:w="140" w:type="dxa"/>
            <w:vAlign w:val="bottom"/>
          </w:tcPr>
          <w:p>
            <w:pPr>
              <w:spacing w:after="0"/>
              <w:rPr>
                <w:sz w:val="19"/>
                <w:szCs w:val="19"/>
                <w:color w:val="auto"/>
              </w:rPr>
            </w:pPr>
          </w:p>
        </w:tc>
        <w:tc>
          <w:tcPr>
            <w:tcW w:w="14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(26,056)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8,846</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105,738</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63,810</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4,636</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11,236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Cash Flows for the Three Months Ended June 29,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Non-</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Consolidation and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Issuing Parent</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Guarantor</w:t>
            </w:r>
          </w:p>
        </w:tc>
        <w:tc>
          <w:tcPr>
            <w:tcW w:w="360" w:type="dxa"/>
            <w:vAlign w:val="bottom"/>
          </w:tcPr>
          <w:p>
            <w:pPr>
              <w:spacing w:after="0"/>
              <w:rPr>
                <w:sz w:val="12"/>
                <w:szCs w:val="12"/>
                <w:color w:val="auto"/>
              </w:rPr>
            </w:pPr>
          </w:p>
        </w:tc>
        <w:tc>
          <w:tcPr>
            <w:tcW w:w="124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4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Elimination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7"/>
              </w:rPr>
              <w:t>Company</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6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5"/>
          </w:tcPr>
          <w:p>
            <w:pPr>
              <w:ind w:left="120"/>
              <w:spacing w:after="0" w:line="142" w:lineRule="exact"/>
              <w:rPr>
                <w:sz w:val="20"/>
                <w:szCs w:val="20"/>
                <w:color w:val="auto"/>
              </w:rPr>
            </w:pPr>
            <w:r>
              <w:rPr>
                <w:rFonts w:ascii="Arial" w:cs="Arial" w:eastAsia="Arial" w:hAnsi="Arial"/>
                <w:sz w:val="14"/>
                <w:szCs w:val="14"/>
                <w:b w:val="1"/>
                <w:bCs w:val="1"/>
                <w:color w:val="auto"/>
                <w:w w:val="92"/>
              </w:rPr>
              <w:t>(Unaudited, in thousands)</w:t>
            </w:r>
          </w:p>
        </w:tc>
        <w:tc>
          <w:tcPr>
            <w:tcW w:w="9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(24,999)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25,674</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Purchase of property, equipment and satellites, net</w:t>
            </w: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(12,721)</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(23,944)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14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patents, licenses and other assets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(6,293)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Long-term intercompany notes and investments</w:t>
            </w: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(633)</w:t>
            </w: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w w:val="79"/>
              </w:rPr>
              <w:t>633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(19,647)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(23,944)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79"/>
              </w:rPr>
              <w:t>633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under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plans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Payment of debt issuance costs</w:t>
            </w: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(2,215)</w:t>
            </w: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common stock in treasury</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intercompany financing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633</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(633)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633</w:t>
            </w:r>
          </w:p>
        </w:tc>
        <w:tc>
          <w:tcPr>
            <w:tcW w:w="140" w:type="dxa"/>
            <w:vAlign w:val="bottom"/>
          </w:tcPr>
          <w:p>
            <w:pPr>
              <w:spacing w:after="0"/>
              <w:rPr>
                <w:sz w:val="19"/>
                <w:szCs w:val="19"/>
                <w:color w:val="auto"/>
              </w:rPr>
            </w:pPr>
          </w:p>
        </w:tc>
        <w:tc>
          <w:tcPr>
            <w:tcW w:w="1460" w:type="dxa"/>
            <w:vAlign w:val="bottom"/>
            <w:gridSpan w:val="2"/>
          </w:tcPr>
          <w:p>
            <w:pPr>
              <w:ind w:left="620"/>
              <w:spacing w:after="0"/>
              <w:rPr>
                <w:sz w:val="20"/>
                <w:szCs w:val="20"/>
                <w:color w:val="auto"/>
              </w:rPr>
            </w:pPr>
            <w:r>
              <w:rPr>
                <w:rFonts w:ascii="Arial" w:cs="Arial" w:eastAsia="Arial" w:hAnsi="Arial"/>
                <w:sz w:val="18"/>
                <w:szCs w:val="18"/>
                <w:color w:val="auto"/>
              </w:rPr>
              <w:t>(633)</w:t>
            </w: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(44,533)</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1,457</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19"/>
                <w:szCs w:val="19"/>
                <w:color w:val="auto"/>
              </w:rPr>
            </w:pPr>
          </w:p>
        </w:tc>
        <w:tc>
          <w:tcPr>
            <w:tcW w:w="14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(42,691)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162,426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9,718</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172,583</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117,893</w:t>
            </w:r>
          </w:p>
        </w:tc>
        <w:tc>
          <w:tcPr>
            <w:tcW w:w="5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1,896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10,103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129,892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18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anticipated performance of products or services; satellite construction activities; the performance and anticipated benefits of the ViaSat-2 satellite; the expected capacity, service, coverage, service speeds and other features of ViaSat-2, and the timing, cost, economics and other benefits associated therewith;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include: our ability to realize the anticipated benefits of the ViaSat-2 satellite; unexpected expenses related to the satellite project; our ability to successfully implement our business plan for our broadband satellite services on our anticipated timeline or at all, including with respect to the ViaSat-2 satellite system; risks associated with the construction, launch and operation of ViaSat-2 and our other satellites, including the effect of any anomaly, operational failure or degradation in satellite performance; negative audits by the U.S. government; continued turmoil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our ability to successfully develop, introduce and sell new technologies, products and services;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and other factors affecting the communications and defense industries generally; the effect of adverse regulatory changes on our ability to sell products and services;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w:t>
      </w:r>
    </w:p>
    <w:p>
      <w:pPr>
        <w:spacing w:after="0" w:line="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Item 1A of our Annual Report on Form 10-K for the fiscal year ended March 29, 2013, under the heading “Risk Factors” in Part II, Item 1A of this report, elsewhere in this report and our other filings with the Securities and Exchange Commission (SEC). Therefore, actual results may differ materially and adversely from those expressed in any forward-looking statements. We undertake no obligation to revise or update any forward-looking statements for any reason.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are a leading provider of high-speed fixed and mobile broadband services, advanced satellite and other wireless networks and secure networking systems, products and services. We have leveraged our success developing complex satellite communication systems and equipment for the U.S. government and select commercial customers to develop next-generation satellite broadband technologies and services for both fixed and mobile users. Our product, systems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satellite services segment provides retail and wholesale satellite-based broadband services for our consumer, enterprise and mobile broadband customers primarily in the United States. Our satellite services business also provides a platform for the provision of network management services to domestic and international satellite service providers. During the first quarter of fiscal year 2014, we announced our entry into a satellite construction contract for ViaSat-2, our second high-capacity Ka-band satellite.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90" w:lineRule="exact"/>
        <w:rPr>
          <w:sz w:val="20"/>
          <w:szCs w:val="20"/>
          <w:color w:val="auto"/>
        </w:rPr>
      </w:pPr>
    </w:p>
    <w:p>
      <w:pPr>
        <w:ind w:left="900" w:right="2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Retail and Wholesale Broadband Satellite Services. </w:t>
      </w:r>
      <w:r>
        <w:rPr>
          <w:rFonts w:ascii="Arial" w:cs="Arial" w:eastAsia="Arial" w:hAnsi="Arial"/>
          <w:sz w:val="18"/>
          <w:szCs w:val="18"/>
          <w:color w:val="auto"/>
        </w:rPr>
        <w:t>Our retail and wholesale broadband satellite services offered under the Exede</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WildBlue</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brands provide two-way satellite-based broadband internet access to consumers and small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298" w:lineRule="auto"/>
        <w:rPr>
          <w:sz w:val="20"/>
          <w:szCs w:val="20"/>
          <w:color w:val="auto"/>
        </w:rPr>
      </w:pPr>
      <w:r>
        <w:rPr>
          <w:rFonts w:ascii="Arial" w:cs="Arial" w:eastAsia="Arial" w:hAnsi="Arial"/>
          <w:sz w:val="16"/>
          <w:szCs w:val="16"/>
          <w:color w:val="auto"/>
        </w:rPr>
        <w:t>businesses in the United States and recently, voice over internet protocol (VOIP). We offer a range of service plans to both retail and wholesale customers, with pricing based on a number of different factors, including bandwidth limits, service quality levels and terms of distribution. We offer wholesale broadband services to our national and regional distribution partners, including direct-to-home satellite video providers, retail service providers and communications companies. As of June 28, 2013, we provided broadband satellite services to approximately 550,000 subscribers.</w:t>
      </w:r>
    </w:p>
    <w:p>
      <w:pPr>
        <w:spacing w:after="0" w:line="32" w:lineRule="exact"/>
        <w:rPr>
          <w:sz w:val="20"/>
          <w:szCs w:val="20"/>
          <w:color w:val="auto"/>
        </w:rPr>
      </w:pPr>
    </w:p>
    <w:p>
      <w:pPr>
        <w:ind w:left="900" w:right="4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Mobile Broadband Services. </w:t>
      </w:r>
      <w:r>
        <w:rPr>
          <w:rFonts w:ascii="Arial" w:cs="Arial" w:eastAsia="Arial" w:hAnsi="Arial"/>
          <w:sz w:val="18"/>
          <w:szCs w:val="18"/>
          <w:color w:val="auto"/>
        </w:rPr>
        <w:t>Our Yonder</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mobile broadband services provide global network management and high-speed internet connectivity</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for customers using airborne, maritime and ground-mobile satellite systems.</w:t>
      </w:r>
    </w:p>
    <w:p>
      <w:pPr>
        <w:spacing w:after="0" w:line="50" w:lineRule="exact"/>
        <w:rPr>
          <w:rFonts w:ascii="Arial" w:cs="Arial" w:eastAsia="Arial" w:hAnsi="Arial"/>
          <w:sz w:val="18"/>
          <w:szCs w:val="18"/>
          <w:color w:val="auto"/>
        </w:rPr>
      </w:pPr>
    </w:p>
    <w:p>
      <w:pPr>
        <w:jc w:val="both"/>
        <w:ind w:left="900" w:right="48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Enterprise Broadband Services. </w:t>
      </w:r>
      <w:r>
        <w:rPr>
          <w:rFonts w:ascii="Arial" w:cs="Arial" w:eastAsia="Arial" w:hAnsi="Arial"/>
          <w:sz w:val="18"/>
          <w:szCs w:val="18"/>
          <w:color w:val="auto"/>
        </w:rPr>
        <w:t>We also offer high-speed broadband services to enterprises, who are increasingly requiring higher-speed, more</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economical communications in hard-to-reach locations, as well as mobile broadband solutions. Our enterprise broadband services include high definition satellite news gathering, in-flight WiFi and live on-line event streaming.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commercial networks segment develops and produces a variety of advanced end-to-end satellite and other wireless communication systems and ground networking equipment and products that address five key market segments: consumer, enterprise, in-flight, maritime and ground mobile applications. These communication systems, networking equipment and products are generally developed through a combination of customer and discretionary internal research and development funding, and are either sold to our commercial networks customers or utilized to provide services through our satellite services segment.</w:t>
      </w:r>
    </w:p>
    <w:p>
      <w:pPr>
        <w:spacing w:after="0" w:line="9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Our satellite communication systems, ground networking equipment and products cater to a wide range of domestic and international commercial customers and include:</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Fixed satellite networks, including next-generation satellite network infrastructure and ground terminals to access high-capacity satellites.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high-speed trains and seagoing vessels.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Antenna systems for terrestrial and satellite applications, specializing in geospatial imagery, mobile satellite communication, Ka-band gateways and other multi-band antennas.</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Satellite networking development programs, including specialized design and technology services covering all aspects of satellite communication system architecture and technology.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government systems segment develops and produces network-centric internet protocol (IP)-based fixed and mobile secure government communications systems, products, services and solutions, which are designed to enable the collection and dissemination of secure real-time digital information between command centers, communications nodes and air defense systems. Customers of our government systems segment include the U.S. Department of Defense (DoD), armed forces, public safety first-responders and remote government employees.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90" w:lineRule="exact"/>
        <w:rPr>
          <w:sz w:val="20"/>
          <w:szCs w:val="20"/>
          <w:color w:val="auto"/>
        </w:rPr>
      </w:pPr>
    </w:p>
    <w:p>
      <w:pPr>
        <w:ind w:left="900" w:right="100" w:hanging="325"/>
        <w:spacing w:after="0" w:line="29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Government satellite communication systems, which comprise an array of portable, mobile and fixed broadband modems, terminals, network access control systems and antenna systems using a range of satellite frequency bands for line-of-sight and beyond-line-of-sight Intelligence, Surveillance and Reconnaissance (ISR) and Command and Control (C2) missions and satellite networking services, as well as products designed for manpacks, aircraft, unmanned aerial vehicles (UAVs), seagoing vessels, ground mobile vehicles and fixed applications.</w:t>
      </w:r>
    </w:p>
    <w:p>
      <w:pPr>
        <w:spacing w:after="0" w:line="31" w:lineRule="exact"/>
        <w:rPr>
          <w:rFonts w:ascii="Arial" w:cs="Arial" w:eastAsia="Arial" w:hAnsi="Arial"/>
          <w:sz w:val="16"/>
          <w:szCs w:val="16"/>
          <w:color w:val="auto"/>
        </w:rPr>
      </w:pPr>
    </w:p>
    <w:p>
      <w:pPr>
        <w:jc w:val="both"/>
        <w:ind w:left="900" w:right="48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assurance products and secure networking solutions, which provide advanced, high-speed IP-based “Type 1” and High Assurance Internet Protocol Encryption (HAIPE</w:t>
      </w:r>
      <w:r>
        <w:rPr>
          <w:rFonts w:ascii="Arial" w:cs="Arial" w:eastAsia="Arial" w:hAnsi="Arial"/>
          <w:sz w:val="11"/>
          <w:szCs w:val="11"/>
          <w:color w:val="auto"/>
        </w:rPr>
        <w:t>®</w:t>
      </w:r>
      <w:r>
        <w:rPr>
          <w:rFonts w:ascii="Arial" w:cs="Arial" w:eastAsia="Arial" w:hAnsi="Arial"/>
          <w:sz w:val="18"/>
          <w:szCs w:val="18"/>
          <w:color w:val="auto"/>
        </w:rPr>
        <w:t>)-compliant encryption solutions that enable military and government users to communicate information securely over networks, and that secure data stored on computers and storage devices.</w:t>
      </w:r>
    </w:p>
    <w:p>
      <w:pPr>
        <w:spacing w:after="0" w:line="59"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Tactical data links, including Multifunctional Information Distribution System (MIDS) terminals for military fighter jets and their successor, MIDS Joint Tactical Radio System (MIDS-JTRS) terminals, “disposable” weapon data links and portable small tactical terminals.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Our satellite services segment revenues are primarily derived from our domestic satellite broadband services business and from our worldwide managed network services. Our domestic satellite broadband services business comprised approximately 22% and 21% of total revenues during the three months ended June 28, 2013 and June 29, 2012, respectively.</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With respect to our commercial networks and government systems segments, to date, our ability to grow and maintain our revenues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Our products in these segments are provided primarily through three types of contracts: fixed-price, time-and-materials and cost-reimbursement contracts. Fixed-price contracts (which require us to provide products and services under a contract at a specified price) comprised approximately 93% of our total revenues for these segments for each of the three months ended June 28, 2013 and June 29, 2012. The remainder of our revenue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0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Historically, a significant portion of our revenues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$87.9 million or 27% and $68.7 million or 28% of our total revenues in the three months ended June 28, 2013 and June 29, 2012, respectively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4% and 3% of total revenues during the three months ended June 28, 2013 and June 29, 2012, respectively. As a government contractor, we are able to recover a portion of our IR&amp;D expenses pursuant to our government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June 28, 2013 and June 29, 2012, we recorded losses of approximately $0.4 million and $1.3 million, respectively, related to loss contracts.</w:t>
      </w:r>
    </w:p>
    <w:p>
      <w:pPr>
        <w:spacing w:after="0" w:line="12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June 28, 2013 would change our loss before income taxes by approximately $0.5 million.</w:t>
      </w:r>
    </w:p>
    <w:p>
      <w:pPr>
        <w:spacing w:after="0" w:line="14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107" w:lineRule="exact"/>
        <w:rPr>
          <w:sz w:val="20"/>
          <w:szCs w:val="20"/>
          <w:color w:val="auto"/>
        </w:rPr>
      </w:pPr>
    </w:p>
    <w:p>
      <w:pPr>
        <w:ind w:right="160" w:firstLine="456"/>
        <w:spacing w:after="0" w:line="303" w:lineRule="auto"/>
        <w:rPr>
          <w:sz w:val="20"/>
          <w:szCs w:val="20"/>
          <w:color w:val="auto"/>
        </w:rPr>
      </w:pPr>
      <w:r>
        <w:rPr>
          <w:rFonts w:ascii="Arial" w:cs="Arial" w:eastAsia="Arial" w:hAnsi="Arial"/>
          <w:sz w:val="15"/>
          <w:szCs w:val="15"/>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w:t>
      </w:r>
    </w:p>
    <w:p>
      <w:pPr>
        <w:spacing w:after="0" w:line="1" w:lineRule="exact"/>
        <w:rPr>
          <w:sz w:val="20"/>
          <w:szCs w:val="20"/>
          <w:color w:val="auto"/>
        </w:rPr>
      </w:pPr>
    </w:p>
    <w:p>
      <w:pPr>
        <w:ind w:right="60" w:firstLine="8"/>
        <w:spacing w:after="0" w:line="288" w:lineRule="auto"/>
        <w:tabs>
          <w:tab w:leader="none" w:pos="249"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23"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To determine the selling price in multiple-element arrangements, we establish VSOE of the selling price using the price charged for a deliverable when sold separately and for software license updates, product support and hardware systems support, based on the renewal rates offered to customers.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0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 current liability. For mature products, we estimate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gateway facilities,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own two satellites: ViaSat-1 (our high-capacity Ka-band spot-beam satellite, which was placed into service in January 2012) and WildBlue-1 (which was placed into service in March 2007). During the first quarter of fiscal year 2014, we announced the entry into a satellite construction contract for ViaSat-2, a second high-capacity Ka-band satellite. In addition, we have an exclusive prepaid lifetime capital lease of Ka-band capacity over the continental United States on Telesat Canada’s Anik F2 satellite (which was placed into service in April 2005) and own related gateway and networking equipment on all of our satellites. Property and equipment also includes the indoor and outdoor customer premise equipment (CPE) units leased to subscribers under a retail leasing program as part of our satellite services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months ended June 28, 2013 and June 29, 2012.</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account for our goodwill under the authoritative guidance for goodwill and other intangible assets (ASC 350) and the provisions of ASU 2011-08, Testing Goodwill for Impairment, which permits us to make a qualitative assessment of whether it is more likely than not that a reporting unit’s fair value is less than its carrying amount before applying the two step goodwill impairment test. If, after completing our qualitative assessment we determine that it is more likely than not that the carrying value exceeds estimated fair value, we compare the fair value to our carrying value (including goodwill). If the estimated fair value is greater than the carrying value, we conclude that no impairment exists.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qualitative analysis we conducted in the fourth quarter of fiscal year 2013 included assessing the impact of changes in certain factors including:</w:t>
      </w:r>
    </w:p>
    <w:p>
      <w:pPr>
        <w:spacing w:after="0" w:line="38" w:lineRule="exact"/>
        <w:rPr>
          <w:sz w:val="20"/>
          <w:szCs w:val="20"/>
          <w:color w:val="auto"/>
        </w:rPr>
      </w:pPr>
    </w:p>
    <w:p>
      <w:pPr>
        <w:ind w:right="60" w:firstLine="8"/>
        <w:spacing w:after="0" w:line="254"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4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Based on our qualitative assessment performed during the fourth quarter of fiscal year 2013, we concluded that it was more likely than not that the estimated fair value of our reporting units exceeded its carrying value as of March 29, 2013 and, therefore, determined it was not necessary to perform the two step goodwill impairment test.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Management evaluates the realizability of our deferred tax assets and assesses the need for a valuation allowance on a quarterly basis. In accordance with the authoritative guidance for income taxes (ASC 740), net deferred tax assets are reduced by a valuation allowance if, based on all the available evidence, it is more likely than not that some or all of the deferred tax assets will not be realized. Our valuation allowance against deferred tax assets increased from $16.0 million at March 29, 2013 to $16.5 million at June 28, 2013. The valuation allowance primarily relates to state net operating loss carryforwards and research credit carryforwards available to reduce state income taxes.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analysis of the need for a valuation allowance considered the losses incurred during the three months ended June 28, 2013 and the fiscal year ended March 29, 2013. The loss in fiscal year 2013 was more significant and a substantial portion of such loss resulted from an extinguishment of debt charge that was recorded upon the refinancing of our former 8.875% Senior Notes due 2016 (2016 Notes) with the proceeds from the issuance of additional 6.875% Senior Notes due 2020 (2020 Notes), which is expected to provide a benefit to net income in the future due to the lower interest rate of the 2020 Notes. Our evaluation considered other factors, including our history of positive earnings, current earnings trends as our satellite subscriber base scales on our recently launched satellite, ViaSat-1, taxable income adjusted for certain items, our large contractual backlog, and forecasted income by jurisdiction. Consideration was also given to the lengthy period over which these net deferred tax assets can be realized, and our history of not having federal tax loss carryforwards expire unused.</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current and deferred income tax assets and liabilities, accounting for interest and penalties associated with tax positions, and income tax disclosures.</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160" w:type="dxa"/>
            <w:vAlign w:val="bottom"/>
            <w:tcBorders>
              <w:top w:val="single" w:sz="8" w:color="auto"/>
            </w:tcBorders>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w w:val="82"/>
              </w:rPr>
              <w:t>June 28,</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June 29,</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20" w:type="dxa"/>
            <w:vAlign w:val="bottom"/>
            <w:tcBorders>
              <w:bottom w:val="single" w:sz="8" w:color="CCEEFF"/>
            </w:tcBorders>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30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Product revenues</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revenues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Operating expenses:</w:t>
            </w:r>
          </w:p>
        </w:tc>
        <w:tc>
          <w:tcPr>
            <w:tcW w:w="3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product revenues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Cost of service revenues</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Independent research and development</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30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net</w:t>
            </w:r>
          </w:p>
        </w:tc>
        <w:tc>
          <w:tcPr>
            <w:tcW w:w="30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3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20" w:type="dxa"/>
            <w:vAlign w:val="bottom"/>
            <w:vMerge w:val="continue"/>
          </w:tcPr>
          <w:p>
            <w:pPr>
              <w:spacing w:after="0"/>
              <w:rPr>
                <w:sz w:val="19"/>
                <w:szCs w:val="19"/>
                <w:color w:val="auto"/>
              </w:rPr>
            </w:pPr>
          </w:p>
        </w:tc>
        <w:tc>
          <w:tcPr>
            <w:tcW w:w="300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(2.1)</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30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3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20" w:type="dxa"/>
            <w:vAlign w:val="bottom"/>
            <w:vMerge w:val="continue"/>
          </w:tcPr>
          <w:p>
            <w:pPr>
              <w:spacing w:after="0"/>
              <w:rPr>
                <w:sz w:val="19"/>
                <w:szCs w:val="19"/>
                <w:color w:val="auto"/>
              </w:rPr>
            </w:pPr>
          </w:p>
        </w:tc>
        <w:tc>
          <w:tcPr>
            <w:tcW w:w="300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(0.5)</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ViaSat, Inc.</w:t>
            </w:r>
          </w:p>
        </w:tc>
        <w:tc>
          <w:tcPr>
            <w:tcW w:w="4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(0.6)</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511"/>
        </w:trPr>
        <w:tc>
          <w:tcPr>
            <w:tcW w:w="3820" w:type="dxa"/>
            <w:vAlign w:val="bottom"/>
          </w:tcPr>
          <w:p>
            <w:pPr>
              <w:spacing w:after="0"/>
              <w:rPr>
                <w:sz w:val="24"/>
                <w:szCs w:val="24"/>
                <w:color w:val="auto"/>
              </w:rPr>
            </w:pPr>
          </w:p>
        </w:tc>
        <w:tc>
          <w:tcPr>
            <w:tcW w:w="3000" w:type="dxa"/>
            <w:vAlign w:val="bottom"/>
          </w:tcPr>
          <w:p>
            <w:pPr>
              <w:jc w:val="right"/>
              <w:ind w:right="2312"/>
              <w:spacing w:after="0"/>
              <w:rPr>
                <w:sz w:val="20"/>
                <w:szCs w:val="20"/>
                <w:color w:val="auto"/>
              </w:rPr>
            </w:pPr>
            <w:r>
              <w:rPr>
                <w:rFonts w:ascii="Arial" w:cs="Arial" w:eastAsia="Arial" w:hAnsi="Arial"/>
                <w:sz w:val="18"/>
                <w:szCs w:val="18"/>
                <w:color w:val="auto"/>
              </w:rPr>
              <w:t>35</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28, 2013 vs. Three Months Ended June 29, 2012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102"/>
              <w:spacing w:after="0"/>
              <w:rPr>
                <w:sz w:val="20"/>
                <w:szCs w:val="20"/>
                <w:color w:val="auto"/>
              </w:rPr>
            </w:pPr>
            <w:r>
              <w:rPr>
                <w:rFonts w:ascii="Arial" w:cs="Arial" w:eastAsia="Arial" w:hAnsi="Arial"/>
                <w:sz w:val="14"/>
                <w:szCs w:val="14"/>
                <w:b w:val="1"/>
                <w:bCs w:val="1"/>
                <w:color w:val="auto"/>
                <w:w w:val="99"/>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5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400" w:type="dxa"/>
            <w:vAlign w:val="bottom"/>
          </w:tcPr>
          <w:p>
            <w:pPr>
              <w:spacing w:after="0"/>
              <w:rPr>
                <w:sz w:val="11"/>
                <w:szCs w:val="11"/>
                <w:color w:val="auto"/>
              </w:rPr>
            </w:pPr>
          </w:p>
        </w:tc>
        <w:tc>
          <w:tcPr>
            <w:tcW w:w="78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5"/>
              </w:rPr>
              <w:t>June 28,</w:t>
            </w:r>
          </w:p>
        </w:tc>
        <w:tc>
          <w:tcPr>
            <w:tcW w:w="26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June 29,</w:t>
            </w:r>
          </w:p>
        </w:tc>
        <w:tc>
          <w:tcPr>
            <w:tcW w:w="54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Increase</w:t>
            </w:r>
          </w:p>
        </w:tc>
        <w:tc>
          <w:tcPr>
            <w:tcW w:w="52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900" w:type="dxa"/>
            <w:vAlign w:val="bottom"/>
            <w:gridSpan w:val="2"/>
          </w:tcPr>
          <w:p>
            <w:pPr>
              <w:jc w:val="center"/>
              <w:ind w:left="4322"/>
              <w:spacing w:after="0" w:line="148" w:lineRule="exact"/>
              <w:rPr>
                <w:sz w:val="20"/>
                <w:szCs w:val="20"/>
                <w:color w:val="auto"/>
              </w:rPr>
            </w:pPr>
            <w:r>
              <w:rPr>
                <w:rFonts w:ascii="Arial" w:cs="Arial" w:eastAsia="Arial" w:hAnsi="Arial"/>
                <w:sz w:val="14"/>
                <w:szCs w:val="14"/>
                <w:b w:val="1"/>
                <w:bCs w:val="1"/>
                <w:color w:val="auto"/>
                <w:w w:val="83"/>
              </w:rPr>
              <w:t>2013</w:t>
            </w:r>
          </w:p>
        </w:tc>
        <w:tc>
          <w:tcPr>
            <w:tcW w:w="280" w:type="dxa"/>
            <w:vAlign w:val="bottom"/>
          </w:tcPr>
          <w:p>
            <w:pPr>
              <w:spacing w:after="0"/>
              <w:rPr>
                <w:sz w:val="12"/>
                <w:szCs w:val="12"/>
                <w:color w:val="auto"/>
              </w:rPr>
            </w:pPr>
          </w:p>
        </w:tc>
        <w:tc>
          <w:tcPr>
            <w:tcW w:w="800" w:type="dxa"/>
            <w:vAlign w:val="bottom"/>
            <w:gridSpan w:val="2"/>
          </w:tcPr>
          <w:p>
            <w:pPr>
              <w:jc w:val="right"/>
              <w:ind w:right="62"/>
              <w:spacing w:after="0" w:line="148" w:lineRule="exact"/>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0"/>
              </w:rPr>
              <w:t>(Decrease)</w:t>
            </w:r>
          </w:p>
        </w:tc>
        <w:tc>
          <w:tcPr>
            <w:tcW w:w="52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44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4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3"/>
              </w:rPr>
              <w:t>$ 182.2</w:t>
            </w:r>
          </w:p>
        </w:tc>
        <w:tc>
          <w:tcPr>
            <w:tcW w:w="28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$ 147.7</w:t>
            </w: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34.4</w:t>
            </w:r>
          </w:p>
        </w:tc>
        <w:tc>
          <w:tcPr>
            <w:tcW w:w="5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44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138.9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94.0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44.9</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180" w:type="dxa"/>
            <w:vAlign w:val="bottom"/>
            <w:gridSpan w:val="3"/>
            <w:shd w:val="clear" w:color="auto" w:fill="CCEEFF"/>
          </w:tcPr>
          <w:p>
            <w:pPr>
              <w:jc w:val="center"/>
              <w:ind w:left="4042"/>
              <w:spacing w:after="0"/>
              <w:rPr>
                <w:sz w:val="20"/>
                <w:szCs w:val="20"/>
                <w:color w:val="auto"/>
              </w:rPr>
            </w:pPr>
            <w:r>
              <w:rPr>
                <w:rFonts w:ascii="Arial" w:cs="Arial" w:eastAsia="Arial" w:hAnsi="Arial"/>
                <w:sz w:val="18"/>
                <w:szCs w:val="18"/>
                <w:color w:val="auto"/>
                <w:w w:val="83"/>
              </w:rPr>
              <w:t>$ 321.1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$ 241.8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total revenues grew by $79.3 million as a result of the $44.9 million increase in service revenues and the $34.4 million increase in product revenues. Service revenue increases occurred in both our satellite services segment, which grew by $27.0 million, and our government systems segment, which grew by $17.7 million. The product revenue increase was comprised of $21.1 million in our commercial networks segment and $13.9 million in our government systems segment.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102"/>
              <w:spacing w:after="0"/>
              <w:rPr>
                <w:sz w:val="20"/>
                <w:szCs w:val="20"/>
                <w:color w:val="auto"/>
              </w:rPr>
            </w:pPr>
            <w:r>
              <w:rPr>
                <w:rFonts w:ascii="Arial" w:cs="Arial" w:eastAsia="Arial" w:hAnsi="Arial"/>
                <w:sz w:val="14"/>
                <w:szCs w:val="14"/>
                <w:b w:val="1"/>
                <w:bCs w:val="1"/>
                <w:color w:val="auto"/>
                <w:w w:val="99"/>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5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400" w:type="dxa"/>
            <w:vAlign w:val="bottom"/>
          </w:tcPr>
          <w:p>
            <w:pPr>
              <w:spacing w:after="0"/>
              <w:rPr>
                <w:sz w:val="11"/>
                <w:szCs w:val="11"/>
                <w:color w:val="auto"/>
              </w:rPr>
            </w:pPr>
          </w:p>
        </w:tc>
        <w:tc>
          <w:tcPr>
            <w:tcW w:w="78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5"/>
              </w:rPr>
              <w:t>June 28,</w:t>
            </w:r>
          </w:p>
        </w:tc>
        <w:tc>
          <w:tcPr>
            <w:tcW w:w="26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June 29,</w:t>
            </w:r>
          </w:p>
        </w:tc>
        <w:tc>
          <w:tcPr>
            <w:tcW w:w="54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Increase</w:t>
            </w:r>
          </w:p>
        </w:tc>
        <w:tc>
          <w:tcPr>
            <w:tcW w:w="52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900" w:type="dxa"/>
            <w:vAlign w:val="bottom"/>
            <w:gridSpan w:val="2"/>
          </w:tcPr>
          <w:p>
            <w:pPr>
              <w:jc w:val="center"/>
              <w:ind w:left="4322"/>
              <w:spacing w:after="0" w:line="148" w:lineRule="exact"/>
              <w:rPr>
                <w:sz w:val="20"/>
                <w:szCs w:val="20"/>
                <w:color w:val="auto"/>
              </w:rPr>
            </w:pPr>
            <w:r>
              <w:rPr>
                <w:rFonts w:ascii="Arial" w:cs="Arial" w:eastAsia="Arial" w:hAnsi="Arial"/>
                <w:sz w:val="14"/>
                <w:szCs w:val="14"/>
                <w:b w:val="1"/>
                <w:bCs w:val="1"/>
                <w:color w:val="auto"/>
                <w:w w:val="83"/>
              </w:rPr>
              <w:t>2013</w:t>
            </w:r>
          </w:p>
        </w:tc>
        <w:tc>
          <w:tcPr>
            <w:tcW w:w="280" w:type="dxa"/>
            <w:vAlign w:val="bottom"/>
          </w:tcPr>
          <w:p>
            <w:pPr>
              <w:spacing w:after="0"/>
              <w:rPr>
                <w:sz w:val="12"/>
                <w:szCs w:val="12"/>
                <w:color w:val="auto"/>
              </w:rPr>
            </w:pPr>
          </w:p>
        </w:tc>
        <w:tc>
          <w:tcPr>
            <w:tcW w:w="800" w:type="dxa"/>
            <w:vAlign w:val="bottom"/>
            <w:gridSpan w:val="2"/>
          </w:tcPr>
          <w:p>
            <w:pPr>
              <w:jc w:val="right"/>
              <w:ind w:right="62"/>
              <w:spacing w:after="0" w:line="148" w:lineRule="exact"/>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0"/>
              </w:rPr>
              <w:t>(Decrease)</w:t>
            </w:r>
          </w:p>
        </w:tc>
        <w:tc>
          <w:tcPr>
            <w:tcW w:w="52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44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4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3"/>
              </w:rPr>
              <w:t>$ 129.4</w:t>
            </w:r>
          </w:p>
        </w:tc>
        <w:tc>
          <w:tcPr>
            <w:tcW w:w="28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$ 109.0</w:t>
            </w: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20.4</w:t>
            </w:r>
          </w:p>
        </w:tc>
        <w:tc>
          <w:tcPr>
            <w:tcW w:w="5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44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105.9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27.3</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5180" w:type="dxa"/>
            <w:vAlign w:val="bottom"/>
            <w:gridSpan w:val="3"/>
            <w:shd w:val="clear" w:color="auto" w:fill="CCEEFF"/>
          </w:tcPr>
          <w:p>
            <w:pPr>
              <w:jc w:val="center"/>
              <w:ind w:left="4042"/>
              <w:spacing w:after="0"/>
              <w:rPr>
                <w:sz w:val="20"/>
                <w:szCs w:val="20"/>
                <w:color w:val="auto"/>
              </w:rPr>
            </w:pPr>
            <w:r>
              <w:rPr>
                <w:rFonts w:ascii="Arial" w:cs="Arial" w:eastAsia="Arial" w:hAnsi="Arial"/>
                <w:sz w:val="18"/>
                <w:szCs w:val="18"/>
                <w:color w:val="auto"/>
                <w:w w:val="83"/>
              </w:rPr>
              <w:t>$ 235.3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$ 187.6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Cost of revenues grew by $47.7 million due to a $27.3 million cost of service revenues increase and a $20.4 million cost of product revenues increase. The cost of service revenues increase was primarily due to increased service revenues, which caused a $37.5 million increase in cost of service revenues on a constant margin basis. This increase mainly related to our Exede broadband services in our satellite services segment and government satellite communication systems services in our government systems segment. Additionally, as our Exede subscribers have continued to grow and related revenues scale, we have also experienced improved margins from our broadband services in our satellite services segment. The cost of product revenues increase was primarily due to increased revenues, causing a $25.4 million increase in cost of product revenues on a constant margin basis. This increase mainly related to growth in fixed satellite networks (driven by consumer broadband products) and mobile broadband satellite communication systems in our commercial networks segment, but product sales also grew in our government systems segment, both from our majority-owned subsidiary TrellisWare Technologies, Inc. (TrellisWare) and tactical data link products. The cost of product revenues increase was partially offset by improved margins in our consumer broadband products and mobile broadband satellite communication systems in our commercial networks segment and to TrellisWare and tactical data link products in our government systems segment.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320" w:type="dxa"/>
            <w:vAlign w:val="bottom"/>
            <w:vMerge w:val="restart"/>
          </w:tcPr>
          <w:p>
            <w:pPr>
              <w:spacing w:after="0"/>
              <w:rPr>
                <w:sz w:val="11"/>
                <w:szCs w:val="11"/>
                <w:color w:val="auto"/>
              </w:rPr>
            </w:pPr>
          </w:p>
        </w:tc>
        <w:tc>
          <w:tcPr>
            <w:tcW w:w="1880" w:type="dxa"/>
            <w:vAlign w:val="bottom"/>
          </w:tcPr>
          <w:p>
            <w:pPr>
              <w:spacing w:after="0"/>
              <w:rPr>
                <w:sz w:val="11"/>
                <w:szCs w:val="11"/>
                <w:color w:val="auto"/>
              </w:rPr>
            </w:pPr>
          </w:p>
        </w:tc>
        <w:tc>
          <w:tcPr>
            <w:tcW w:w="5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5"/>
              </w:rPr>
              <w:t>June 28,</w:t>
            </w:r>
          </w:p>
        </w:tc>
        <w:tc>
          <w:tcPr>
            <w:tcW w:w="6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w w:val="89"/>
              </w:rPr>
              <w:t>June 29,</w:t>
            </w:r>
          </w:p>
        </w:tc>
        <w:tc>
          <w:tcPr>
            <w:tcW w:w="580" w:type="dxa"/>
            <w:vAlign w:val="bottom"/>
          </w:tcPr>
          <w:p>
            <w:pPr>
              <w:spacing w:after="0"/>
              <w:rPr>
                <w:sz w:val="11"/>
                <w:szCs w:val="11"/>
                <w:color w:val="auto"/>
              </w:rPr>
            </w:pPr>
          </w:p>
        </w:tc>
        <w:tc>
          <w:tcPr>
            <w:tcW w:w="120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2380" w:type="dxa"/>
            <w:vAlign w:val="bottom"/>
            <w:gridSpan w:val="2"/>
          </w:tcPr>
          <w:p>
            <w:pPr>
              <w:jc w:val="right"/>
              <w:ind w:right="46"/>
              <w:spacing w:after="0" w:line="148" w:lineRule="exact"/>
              <w:rPr>
                <w:sz w:val="20"/>
                <w:szCs w:val="20"/>
                <w:color w:val="auto"/>
              </w:rPr>
            </w:pPr>
            <w:r>
              <w:rPr>
                <w:rFonts w:ascii="Arial" w:cs="Arial" w:eastAsia="Arial" w:hAnsi="Arial"/>
                <w:sz w:val="14"/>
                <w:szCs w:val="14"/>
                <w:b w:val="1"/>
                <w:bCs w:val="1"/>
                <w:color w:val="auto"/>
              </w:rPr>
              <w:t>2013</w:t>
            </w:r>
          </w:p>
        </w:tc>
        <w:tc>
          <w:tcPr>
            <w:tcW w:w="1160" w:type="dxa"/>
            <w:vAlign w:val="bottom"/>
            <w:gridSpan w:val="2"/>
          </w:tcPr>
          <w:p>
            <w:pPr>
              <w:jc w:val="right"/>
              <w:ind w:right="62"/>
              <w:spacing w:after="0" w:line="148" w:lineRule="exact"/>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2"/>
                <w:szCs w:val="12"/>
                <w:color w:val="auto"/>
              </w:rPr>
            </w:pPr>
          </w:p>
        </w:tc>
        <w:tc>
          <w:tcPr>
            <w:tcW w:w="1200" w:type="dxa"/>
            <w:vAlign w:val="bottom"/>
            <w:gridSpan w:val="3"/>
          </w:tcPr>
          <w:p>
            <w:pPr>
              <w:jc w:val="center"/>
              <w:ind w:right="58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gridSpan w:val="2"/>
            <w:vMerge w:val="continue"/>
            <w:shd w:val="clear" w:color="auto" w:fill="CCEEFF"/>
          </w:tcPr>
          <w:p>
            <w:pPr>
              <w:spacing w:after="0"/>
              <w:rPr>
                <w:sz w:val="17"/>
                <w:szCs w:val="17"/>
                <w:color w:val="auto"/>
              </w:rPr>
            </w:pPr>
          </w:p>
        </w:tc>
        <w:tc>
          <w:tcPr>
            <w:tcW w:w="188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64.8</w:t>
            </w:r>
          </w:p>
        </w:tc>
        <w:tc>
          <w:tcPr>
            <w:tcW w:w="60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  56.5</w:t>
            </w: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8.3</w:t>
            </w:r>
          </w:p>
        </w:tc>
        <w:tc>
          <w:tcPr>
            <w:tcW w:w="5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$8.3 million increase in selling, general and administrative (SG&amp;A) expenses was primarily attributable to higher support costs of $7.0 million and higher selling costs of $2.7 million, offset by decreases in new business proposal costs of $1.5 million. Of the higher support costs, $4.0 million related to our satellite services segment (primarily due to our increased subscriber gross additions year over year), $1.7 million to our government systems segment, and $1.4 million to our commercial networks segment. SG&amp;A expenses consisted primarily of personnel costs and expenses for business development, marketing and sales, bid and proposal, facilities, finance, contract administration and general management.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9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240" w:type="dxa"/>
            <w:vAlign w:val="bottom"/>
            <w:vMerge w:val="restart"/>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June 28,</w:t>
            </w:r>
          </w:p>
        </w:tc>
        <w:tc>
          <w:tcPr>
            <w:tcW w:w="2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w w:val="89"/>
              </w:rPr>
              <w:t>June 29,</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4240" w:type="dxa"/>
            <w:vAlign w:val="bottom"/>
            <w:vMerge w:val="continue"/>
          </w:tcPr>
          <w:p>
            <w:pPr>
              <w:spacing w:after="0"/>
              <w:rPr>
                <w:sz w:val="12"/>
                <w:szCs w:val="12"/>
                <w:color w:val="auto"/>
              </w:rPr>
            </w:pPr>
          </w:p>
        </w:tc>
        <w:tc>
          <w:tcPr>
            <w:tcW w:w="500" w:type="dxa"/>
            <w:vAlign w:val="bottom"/>
          </w:tcPr>
          <w:p>
            <w:pPr>
              <w:jc w:val="right"/>
              <w:ind w:right="47"/>
              <w:spacing w:after="0" w:line="148"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840" w:type="dxa"/>
            <w:vAlign w:val="bottom"/>
            <w:gridSpan w:val="2"/>
          </w:tcPr>
          <w:p>
            <w:pPr>
              <w:jc w:val="right"/>
              <w:ind w:right="62"/>
              <w:spacing w:after="0" w:line="148"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center"/>
              <w:ind w:right="58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6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14.1</w:t>
            </w:r>
          </w:p>
        </w:tc>
        <w:tc>
          <w:tcPr>
            <w:tcW w:w="3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7.4</w:t>
            </w:r>
          </w:p>
        </w:tc>
        <w:tc>
          <w:tcPr>
            <w:tcW w:w="3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w:t>
            </w:r>
          </w:p>
        </w:tc>
        <w:tc>
          <w:tcPr>
            <w:tcW w:w="5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$6.7 million increase in IR&amp;D expenses reflected increased IR&amp;D efforts in our commercial networks segment of $3.9 million (primarily due to next-generation consumer broadband) and in our government systems segment of $3.3 million (primarily due to advancement of integrated government satellite communications platforms), partially offset by a reduction in IR&amp;D effort in our satellite services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three to nine years. The $0.6 million decrease in amortization of acquired intangible assets in the first quarter of fiscal year 2014 compared to the prior year period was the result of certain acquired technology intangibles in our satellite services segment becoming fully amortized over the preceding twelve months. Current and expected amortization expense for acquired intangible assets for each of the following periods is as follows:</w:t>
      </w:r>
    </w:p>
    <w:p>
      <w:pPr>
        <w:spacing w:after="0" w:line="1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June 28, 2013</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Arial" w:cs="Arial" w:eastAsia="Arial" w:hAnsi="Arial"/>
                <w:sz w:val="18"/>
                <w:szCs w:val="18"/>
                <w:color w:val="auto"/>
              </w:rPr>
              <w:t>Expected for the remainder of fiscal year 2014</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11,043</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14,490</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10,967</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3,599</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46,123</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slight decrease in interest income in the three months ended June 28, 2013 compared to the prior year period was primarily due to lower average invested cash balances during the current year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$1.4 million decrease in interest expense in the three months ended June 28, 2013 compared to the prior year period was due primarily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refinancing, in October 2012, of our former $275.0 million in aggregate principal amount of 2016 Notes with the proceeds from the issuance of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$300.0 million in aggregate principal amount of 2020 Notes, which bear interest at a lower rate. Additionally, interest expense in the three months ended June 28,</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3013 reflects increased interest capitalization of approximately $0.9 million related to the commencement of construction of ViaSat-2 and related assets.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currently estimate our annual effective income tax benefit rate to be 75.0% for fiscal year 2014. The estimated annual effective tax rate is different from the expected statutory rate primarily due to federal and state research and development tax credits. The American Taxpayer Relief Act of 2012 was enacted on January 2, 2013. This legislation retroactively reinstated and extended the credit through December 31, 2013. If the federal research and development tax credit is extended through the end of fiscal year 2014, we may have a higher annual effective tax benefit rate for fiscal year 2014, and the amount of any such tax rate reduction will depend on the effective date of any such extension, the terms of the extension, as well as the amount of eligible research and development expenses in the extended period.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June 28, 2013 vs. Three Months Ended June 29, 2012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40" w:type="dxa"/>
            <w:vAlign w:val="bottom"/>
          </w:tcPr>
          <w:p>
            <w:pPr>
              <w:spacing w:after="0"/>
              <w:rPr>
                <w:sz w:val="11"/>
                <w:szCs w:val="11"/>
                <w:color w:val="auto"/>
              </w:rPr>
            </w:pPr>
          </w:p>
        </w:tc>
        <w:tc>
          <w:tcPr>
            <w:tcW w:w="8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June 28,</w:t>
            </w:r>
          </w:p>
        </w:tc>
        <w:tc>
          <w:tcPr>
            <w:tcW w:w="3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29,</w:t>
            </w:r>
          </w:p>
        </w:tc>
        <w:tc>
          <w:tcPr>
            <w:tcW w:w="600" w:type="dxa"/>
            <w:vAlign w:val="bottom"/>
          </w:tcPr>
          <w:p>
            <w:pPr>
              <w:spacing w:after="0"/>
              <w:rPr>
                <w:sz w:val="11"/>
                <w:szCs w:val="11"/>
                <w:color w:val="auto"/>
              </w:rPr>
            </w:pPr>
          </w:p>
        </w:tc>
        <w:tc>
          <w:tcPr>
            <w:tcW w:w="120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7"/>
              <w:spacing w:after="0" w:line="148" w:lineRule="exact"/>
              <w:rPr>
                <w:sz w:val="20"/>
                <w:szCs w:val="20"/>
                <w:color w:val="auto"/>
              </w:rPr>
            </w:pPr>
            <w:r>
              <w:rPr>
                <w:rFonts w:ascii="Arial" w:cs="Arial" w:eastAsia="Arial" w:hAnsi="Arial"/>
                <w:sz w:val="14"/>
                <w:szCs w:val="14"/>
                <w:b w:val="1"/>
                <w:bCs w:val="1"/>
                <w:color w:val="auto"/>
                <w:w w:val="89"/>
              </w:rPr>
              <w:t>2012</w:t>
            </w:r>
          </w:p>
        </w:tc>
        <w:tc>
          <w:tcPr>
            <w:tcW w:w="600" w:type="dxa"/>
            <w:vAlign w:val="bottom"/>
          </w:tcPr>
          <w:p>
            <w:pPr>
              <w:spacing w:after="0"/>
              <w:rPr>
                <w:sz w:val="12"/>
                <w:szCs w:val="12"/>
                <w:color w:val="auto"/>
              </w:rPr>
            </w:pPr>
          </w:p>
        </w:tc>
        <w:tc>
          <w:tcPr>
            <w:tcW w:w="12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28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0.5</w:t>
            </w: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(0.5)</w:t>
            </w:r>
          </w:p>
        </w:tc>
        <w:tc>
          <w:tcPr>
            <w:tcW w:w="60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5"/>
              </w:rPr>
              <w:t>85.8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6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24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85.8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satellite services segment revenues grew by $26.5 million, primarily from the $27.0 million increase in service revenues. $26.4 million of the increase in segment service revenues related to retail and wholesale broadband services and $0.7 million to our emerging mobile broadband services. The revenue increase relating to our Exede and WildBlue broadband services was driven by a 36% increase in the number of subscribers, which grew from approximately 405,000 at June 29, 2012 to approximately 550,000 at June 28, 2013, as well as a change in the mix of retail and wholesale subscribers and related higher average revenue per subscriber.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1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180" w:type="dxa"/>
            <w:vAlign w:val="bottom"/>
            <w:vMerge w:val="restart"/>
          </w:tcPr>
          <w:p>
            <w:pPr>
              <w:spacing w:after="0"/>
              <w:rPr>
                <w:sz w:val="11"/>
                <w:szCs w:val="11"/>
                <w:color w:val="auto"/>
              </w:rPr>
            </w:pPr>
          </w:p>
        </w:tc>
        <w:tc>
          <w:tcPr>
            <w:tcW w:w="1920" w:type="dxa"/>
            <w:vAlign w:val="bottom"/>
          </w:tcPr>
          <w:p>
            <w:pPr>
              <w:spacing w:after="0"/>
              <w:rPr>
                <w:sz w:val="11"/>
                <w:szCs w:val="11"/>
                <w:color w:val="auto"/>
              </w:rPr>
            </w:pPr>
          </w:p>
        </w:tc>
        <w:tc>
          <w:tcPr>
            <w:tcW w:w="94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82"/>
              </w:rPr>
              <w:t>June 28,</w:t>
            </w: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June 29,</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180" w:type="dxa"/>
            <w:vAlign w:val="bottom"/>
            <w:vMerge w:val="continue"/>
          </w:tcPr>
          <w:p>
            <w:pPr>
              <w:spacing w:after="0"/>
              <w:rPr>
                <w:sz w:val="12"/>
                <w:szCs w:val="12"/>
                <w:color w:val="auto"/>
              </w:rPr>
            </w:pPr>
          </w:p>
        </w:tc>
        <w:tc>
          <w:tcPr>
            <w:tcW w:w="2400" w:type="dxa"/>
            <w:vAlign w:val="bottom"/>
            <w:gridSpan w:val="2"/>
          </w:tcPr>
          <w:p>
            <w:pPr>
              <w:jc w:val="right"/>
              <w:ind w:right="26"/>
              <w:spacing w:after="0" w:line="148"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2"/>
                <w:szCs w:val="12"/>
                <w:color w:val="auto"/>
              </w:rPr>
            </w:pPr>
          </w:p>
        </w:tc>
        <w:tc>
          <w:tcPr>
            <w:tcW w:w="740" w:type="dxa"/>
            <w:vAlign w:val="bottom"/>
            <w:gridSpan w:val="2"/>
          </w:tcPr>
          <w:p>
            <w:pPr>
              <w:jc w:val="right"/>
              <w:ind w:right="22"/>
              <w:spacing w:after="0" w:line="148"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3"/>
          </w:tcPr>
          <w:p>
            <w:pPr>
              <w:jc w:val="center"/>
              <w:ind w:right="560"/>
              <w:spacing w:after="0" w:line="148" w:lineRule="exact"/>
              <w:rPr>
                <w:sz w:val="20"/>
                <w:szCs w:val="20"/>
                <w:color w:val="auto"/>
              </w:rPr>
            </w:pPr>
            <w:r>
              <w:rPr>
                <w:rFonts w:ascii="Arial" w:cs="Arial" w:eastAsia="Arial" w:hAnsi="Arial"/>
                <w:sz w:val="14"/>
                <w:szCs w:val="14"/>
                <w:b w:val="1"/>
                <w:bCs w:val="1"/>
                <w:color w:val="auto"/>
                <w:w w:val="80"/>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1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9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gridSpan w:val="2"/>
            <w:vMerge w:val="continue"/>
            <w:shd w:val="clear" w:color="auto" w:fill="CCEEFF"/>
          </w:tcPr>
          <w:p>
            <w:pPr>
              <w:spacing w:after="0"/>
              <w:rPr>
                <w:sz w:val="17"/>
                <w:szCs w:val="17"/>
                <w:color w:val="auto"/>
              </w:rPr>
            </w:pPr>
          </w:p>
        </w:tc>
        <w:tc>
          <w:tcPr>
            <w:tcW w:w="192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 (13.0)</w:t>
            </w:r>
          </w:p>
        </w:tc>
        <w:tc>
          <w:tcPr>
            <w:tcW w:w="46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 (22.5)</w:t>
            </w:r>
          </w:p>
        </w:tc>
        <w:tc>
          <w:tcPr>
            <w:tcW w:w="46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9.5</w:t>
            </w:r>
          </w:p>
        </w:tc>
        <w:tc>
          <w:tcPr>
            <w:tcW w:w="5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2"/>
        </w:trPr>
        <w:tc>
          <w:tcPr>
            <w:tcW w:w="41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860" w:type="dxa"/>
            <w:vAlign w:val="bottom"/>
            <w:gridSpan w:val="3"/>
          </w:tcPr>
          <w:p>
            <w:pPr>
              <w:jc w:val="right"/>
              <w:ind w:right="260"/>
              <w:spacing w:after="0"/>
              <w:rPr>
                <w:sz w:val="20"/>
                <w:szCs w:val="20"/>
                <w:color w:val="auto"/>
              </w:rPr>
            </w:pPr>
            <w:r>
              <w:rPr>
                <w:rFonts w:ascii="Arial" w:cs="Arial" w:eastAsia="Arial" w:hAnsi="Arial"/>
                <w:sz w:val="18"/>
                <w:szCs w:val="18"/>
                <w:color w:val="auto"/>
              </w:rPr>
              <w:t>(15.1)%</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(38.0)%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$9.5 million reduction in operating loss for our satellite services segment was primarily due to $15.4 million in higher earnings contributions as our Exede broadband services subscriber base continued to grow, which resulted in increased revenues and improved margins, partially offset by $6.3 million in higher selling and support costs. The higher selling and support costs mainly related to increased sales and marketing support costs as we continued to expand our consumer broadband subscriber base.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200" w:type="dxa"/>
            <w:vAlign w:val="bottom"/>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June 28,</w:t>
            </w:r>
          </w:p>
        </w:tc>
        <w:tc>
          <w:tcPr>
            <w:tcW w:w="6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29,</w:t>
            </w:r>
          </w:p>
        </w:tc>
        <w:tc>
          <w:tcPr>
            <w:tcW w:w="580" w:type="dxa"/>
            <w:vAlign w:val="bottom"/>
          </w:tcPr>
          <w:p>
            <w:pPr>
              <w:spacing w:after="0"/>
              <w:rPr>
                <w:sz w:val="11"/>
                <w:szCs w:val="11"/>
                <w:color w:val="auto"/>
              </w:rPr>
            </w:pPr>
          </w:p>
        </w:tc>
        <w:tc>
          <w:tcPr>
            <w:tcW w:w="120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40"/>
              <w:spacing w:after="0" w:line="148" w:lineRule="exact"/>
              <w:rPr>
                <w:sz w:val="20"/>
                <w:szCs w:val="20"/>
                <w:color w:val="auto"/>
              </w:rPr>
            </w:pPr>
            <w:r>
              <w:rPr>
                <w:rFonts w:ascii="Arial" w:cs="Arial" w:eastAsia="Arial" w:hAnsi="Arial"/>
                <w:sz w:val="14"/>
                <w:szCs w:val="14"/>
                <w:b w:val="1"/>
                <w:bCs w:val="1"/>
                <w:color w:val="auto"/>
                <w:w w:val="83"/>
              </w:rPr>
              <w:t>2013</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7"/>
              <w:spacing w:after="0" w:line="148" w:lineRule="exact"/>
              <w:rPr>
                <w:sz w:val="20"/>
                <w:szCs w:val="20"/>
                <w:color w:val="auto"/>
              </w:rPr>
            </w:pPr>
            <w:r>
              <w:rPr>
                <w:rFonts w:ascii="Arial" w:cs="Arial" w:eastAsia="Arial" w:hAnsi="Arial"/>
                <w:sz w:val="14"/>
                <w:szCs w:val="14"/>
                <w:b w:val="1"/>
                <w:bCs w:val="1"/>
                <w:color w:val="auto"/>
                <w:w w:val="89"/>
              </w:rPr>
              <w:t>2012</w:t>
            </w:r>
          </w:p>
        </w:tc>
        <w:tc>
          <w:tcPr>
            <w:tcW w:w="580" w:type="dxa"/>
            <w:vAlign w:val="bottom"/>
          </w:tcPr>
          <w:p>
            <w:pPr>
              <w:spacing w:after="0"/>
              <w:rPr>
                <w:sz w:val="12"/>
                <w:szCs w:val="12"/>
                <w:color w:val="auto"/>
              </w:rPr>
            </w:pPr>
          </w:p>
        </w:tc>
        <w:tc>
          <w:tcPr>
            <w:tcW w:w="12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91.8</w:t>
            </w: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70.8</w:t>
            </w: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21.1</w:t>
            </w:r>
          </w:p>
        </w:tc>
        <w:tc>
          <w:tcPr>
            <w:tcW w:w="5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commercial networks segment revenues increased $21.3 million, primarily from the $21.1 million increase in product revenues. Of this revenue increase, $15.1 million related to fixed satellite networks (driven primarily by consumer broadband products), $4.6 million to mobile broadband satellite communication systems, and $3.2 million to satellite payload technology development programs. These increases were partially offset by a $3.4 million decrease in product revenues for our antenna systems products.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4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080" w:type="dxa"/>
            <w:vAlign w:val="bottom"/>
            <w:vMerge w:val="restart"/>
          </w:tcPr>
          <w:p>
            <w:pPr>
              <w:spacing w:after="0"/>
              <w:rPr>
                <w:sz w:val="11"/>
                <w:szCs w:val="11"/>
                <w:color w:val="auto"/>
              </w:rPr>
            </w:pPr>
          </w:p>
        </w:tc>
        <w:tc>
          <w:tcPr>
            <w:tcW w:w="90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2"/>
              </w:rPr>
              <w:t>June 28,</w:t>
            </w: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June 29,</w:t>
            </w:r>
          </w:p>
        </w:tc>
        <w:tc>
          <w:tcPr>
            <w:tcW w:w="740" w:type="dxa"/>
            <w:vAlign w:val="bottom"/>
          </w:tcPr>
          <w:p>
            <w:pPr>
              <w:spacing w:after="0"/>
              <w:rPr>
                <w:sz w:val="11"/>
                <w:szCs w:val="11"/>
                <w:color w:val="auto"/>
              </w:rPr>
            </w:pPr>
          </w:p>
        </w:tc>
        <w:tc>
          <w:tcPr>
            <w:tcW w:w="1160" w:type="dxa"/>
            <w:vAlign w:val="bottom"/>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4080" w:type="dxa"/>
            <w:vAlign w:val="bottom"/>
            <w:vMerge w:val="continue"/>
          </w:tcPr>
          <w:p>
            <w:pPr>
              <w:spacing w:after="0"/>
              <w:rPr>
                <w:sz w:val="12"/>
                <w:szCs w:val="12"/>
                <w:color w:val="auto"/>
              </w:rPr>
            </w:pPr>
          </w:p>
        </w:tc>
        <w:tc>
          <w:tcPr>
            <w:tcW w:w="500" w:type="dxa"/>
            <w:vAlign w:val="bottom"/>
          </w:tcPr>
          <w:p>
            <w:pPr>
              <w:jc w:val="right"/>
              <w:ind w:right="44"/>
              <w:spacing w:after="0" w:line="148"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760" w:type="dxa"/>
            <w:vAlign w:val="bottom"/>
            <w:gridSpan w:val="2"/>
          </w:tcPr>
          <w:p>
            <w:pPr>
              <w:jc w:val="right"/>
              <w:ind w:right="22"/>
              <w:spacing w:after="0" w:line="148" w:lineRule="exact"/>
              <w:rPr>
                <w:sz w:val="20"/>
                <w:szCs w:val="20"/>
                <w:color w:val="auto"/>
              </w:rPr>
            </w:pPr>
            <w:r>
              <w:rPr>
                <w:rFonts w:ascii="Arial" w:cs="Arial" w:eastAsia="Arial" w:hAnsi="Arial"/>
                <w:sz w:val="14"/>
                <w:szCs w:val="14"/>
                <w:b w:val="1"/>
                <w:bCs w:val="1"/>
                <w:color w:val="auto"/>
              </w:rPr>
              <w:t>2012</w:t>
            </w:r>
          </w:p>
        </w:tc>
        <w:tc>
          <w:tcPr>
            <w:tcW w:w="740" w:type="dxa"/>
            <w:vAlign w:val="bottom"/>
          </w:tcPr>
          <w:p>
            <w:pPr>
              <w:spacing w:after="0"/>
              <w:rPr>
                <w:sz w:val="12"/>
                <w:szCs w:val="12"/>
                <w:color w:val="auto"/>
              </w:rPr>
            </w:pPr>
          </w:p>
        </w:tc>
        <w:tc>
          <w:tcPr>
            <w:tcW w:w="1160" w:type="dxa"/>
            <w:vAlign w:val="bottom"/>
            <w:gridSpan w:val="3"/>
          </w:tcPr>
          <w:p>
            <w:pPr>
              <w:jc w:val="center"/>
              <w:ind w:right="56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6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 (loss)</w:t>
            </w: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3.3</w:t>
            </w:r>
          </w:p>
        </w:tc>
        <w:tc>
          <w:tcPr>
            <w:tcW w:w="40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(2.1)</w:t>
            </w: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w:t>
            </w:r>
          </w:p>
        </w:tc>
        <w:tc>
          <w:tcPr>
            <w:tcW w:w="5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22"/>
        </w:trPr>
        <w:tc>
          <w:tcPr>
            <w:tcW w:w="60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Our commercial networks segment generated an operating profit in the first quarter of fiscal year 2014 compared to an operating loss in the prior year period. This change was primarily due to $9.1 million of higher earnings contributions from increased revenues and improved margins in our consumer broadband products and in our mobile broadband satellite communication systems, partially offset by higher IR&amp;D costs of $3.9 million.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97"/>
              <w:spacing w:after="0"/>
              <w:rPr>
                <w:sz w:val="20"/>
                <w:szCs w:val="20"/>
                <w:color w:val="auto"/>
              </w:rPr>
            </w:pPr>
            <w:r>
              <w:rPr>
                <w:rFonts w:ascii="Arial" w:cs="Arial" w:eastAsia="Arial" w:hAnsi="Arial"/>
                <w:sz w:val="14"/>
                <w:szCs w:val="14"/>
                <w:b w:val="1"/>
                <w:bCs w:val="1"/>
                <w:color w:val="auto"/>
                <w:w w:val="92"/>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5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400" w:type="dxa"/>
            <w:vAlign w:val="bottom"/>
          </w:tcPr>
          <w:p>
            <w:pPr>
              <w:spacing w:after="0"/>
              <w:rPr>
                <w:sz w:val="11"/>
                <w:szCs w:val="11"/>
                <w:color w:val="auto"/>
              </w:rPr>
            </w:pPr>
          </w:p>
        </w:tc>
        <w:tc>
          <w:tcPr>
            <w:tcW w:w="7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June 28,</w:t>
            </w:r>
          </w:p>
        </w:tc>
        <w:tc>
          <w:tcPr>
            <w:tcW w:w="260" w:type="dxa"/>
            <w:vAlign w:val="bottom"/>
          </w:tcPr>
          <w:p>
            <w:pPr>
              <w:spacing w:after="0"/>
              <w:rPr>
                <w:sz w:val="11"/>
                <w:szCs w:val="11"/>
                <w:color w:val="auto"/>
              </w:rPr>
            </w:pPr>
          </w:p>
        </w:tc>
        <w:tc>
          <w:tcPr>
            <w:tcW w:w="5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29,</w:t>
            </w:r>
          </w:p>
        </w:tc>
        <w:tc>
          <w:tcPr>
            <w:tcW w:w="54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Increase</w:t>
            </w:r>
          </w:p>
        </w:tc>
        <w:tc>
          <w:tcPr>
            <w:tcW w:w="52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7"/>
              <w:spacing w:after="0" w:line="148" w:lineRule="exact"/>
              <w:rPr>
                <w:sz w:val="20"/>
                <w:szCs w:val="20"/>
                <w:color w:val="auto"/>
              </w:rPr>
            </w:pPr>
            <w:r>
              <w:rPr>
                <w:rFonts w:ascii="Arial" w:cs="Arial" w:eastAsia="Arial" w:hAnsi="Arial"/>
                <w:sz w:val="14"/>
                <w:szCs w:val="14"/>
                <w:b w:val="1"/>
                <w:bCs w:val="1"/>
                <w:color w:val="auto"/>
                <w:w w:val="89"/>
              </w:rPr>
              <w:t>2012</w:t>
            </w:r>
          </w:p>
        </w:tc>
        <w:tc>
          <w:tcPr>
            <w:tcW w:w="54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0"/>
              </w:rPr>
              <w:t>(Decrease)</w:t>
            </w:r>
          </w:p>
        </w:tc>
        <w:tc>
          <w:tcPr>
            <w:tcW w:w="52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4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w w:val="79"/>
              </w:rPr>
              <w:t>90.3</w:t>
            </w:r>
          </w:p>
        </w:tc>
        <w:tc>
          <w:tcPr>
            <w:tcW w:w="28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76.4</w:t>
            </w: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13.9</w:t>
            </w:r>
          </w:p>
        </w:tc>
        <w:tc>
          <w:tcPr>
            <w:tcW w:w="5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17.7</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500" w:type="dxa"/>
            <w:vAlign w:val="bottom"/>
            <w:gridSpan w:val="2"/>
            <w:shd w:val="clear" w:color="auto" w:fill="CCEEFF"/>
          </w:tcPr>
          <w:p>
            <w:pPr>
              <w:ind w:left="44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137.9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government systems segment revenues grew 29.7% to $137.9 million. The increase in segment service revenues was primarily due to a $18.7 million revenue increase in government satellite communication systems services (mainly attributable to command and control situational awareness and broadband networking services revenues for military customers), offset by a $1.6 million revenue decrease in TrellisWare. The increase in product revenues was primarily due to revenue increases of $6.2 million in TrellisWare, $3.0 million in tactical data link products, $2.1 million in information assurance products and $2.5 million in government satellite communication systems.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3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220" w:type="dxa"/>
            <w:vAlign w:val="bottom"/>
            <w:vMerge w:val="restart"/>
          </w:tcPr>
          <w:p>
            <w:pPr>
              <w:spacing w:after="0"/>
              <w:rPr>
                <w:sz w:val="11"/>
                <w:szCs w:val="11"/>
                <w:color w:val="auto"/>
              </w:rPr>
            </w:pPr>
          </w:p>
        </w:tc>
        <w:tc>
          <w:tcPr>
            <w:tcW w:w="1940" w:type="dxa"/>
            <w:vAlign w:val="bottom"/>
          </w:tcPr>
          <w:p>
            <w:pPr>
              <w:spacing w:after="0"/>
              <w:rPr>
                <w:sz w:val="11"/>
                <w:szCs w:val="11"/>
                <w:color w:val="auto"/>
              </w:rPr>
            </w:pPr>
          </w:p>
        </w:tc>
        <w:tc>
          <w:tcPr>
            <w:tcW w:w="1160" w:type="dxa"/>
            <w:vAlign w:val="bottom"/>
            <w:tcBorders>
              <w:top w:val="single" w:sz="8" w:color="auto"/>
            </w:tcBorders>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w w:val="82"/>
              </w:rPr>
              <w:t>June 28,</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June 29,</w:t>
            </w:r>
          </w:p>
        </w:tc>
        <w:tc>
          <w:tcPr>
            <w:tcW w:w="660" w:type="dxa"/>
            <w:vAlign w:val="bottom"/>
          </w:tcPr>
          <w:p>
            <w:pPr>
              <w:spacing w:after="0"/>
              <w:rPr>
                <w:sz w:val="11"/>
                <w:szCs w:val="11"/>
                <w:color w:val="auto"/>
              </w:rPr>
            </w:pPr>
          </w:p>
        </w:tc>
        <w:tc>
          <w:tcPr>
            <w:tcW w:w="1160" w:type="dxa"/>
            <w:vAlign w:val="bottom"/>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220" w:type="dxa"/>
            <w:vAlign w:val="bottom"/>
            <w:vMerge w:val="continue"/>
          </w:tcPr>
          <w:p>
            <w:pPr>
              <w:spacing w:after="0"/>
              <w:rPr>
                <w:sz w:val="12"/>
                <w:szCs w:val="12"/>
                <w:color w:val="auto"/>
              </w:rPr>
            </w:pPr>
          </w:p>
        </w:tc>
        <w:tc>
          <w:tcPr>
            <w:tcW w:w="2440" w:type="dxa"/>
            <w:vAlign w:val="bottom"/>
            <w:gridSpan w:val="2"/>
          </w:tcPr>
          <w:p>
            <w:pPr>
              <w:jc w:val="right"/>
              <w:ind w:right="46"/>
              <w:spacing w:after="0" w:line="148" w:lineRule="exact"/>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2"/>
                <w:szCs w:val="12"/>
                <w:color w:val="auto"/>
              </w:rPr>
            </w:pPr>
          </w:p>
        </w:tc>
        <w:tc>
          <w:tcPr>
            <w:tcW w:w="500" w:type="dxa"/>
            <w:vAlign w:val="bottom"/>
          </w:tcPr>
          <w:p>
            <w:pPr>
              <w:jc w:val="right"/>
              <w:ind w:right="42"/>
              <w:spacing w:after="0" w:line="148" w:lineRule="exact"/>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2"/>
                <w:szCs w:val="12"/>
                <w:color w:val="auto"/>
              </w:rPr>
            </w:pPr>
          </w:p>
        </w:tc>
        <w:tc>
          <w:tcPr>
            <w:tcW w:w="1160" w:type="dxa"/>
            <w:vAlign w:val="bottom"/>
            <w:gridSpan w:val="3"/>
          </w:tcPr>
          <w:p>
            <w:pPr>
              <w:jc w:val="center"/>
              <w:ind w:right="56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2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9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gridSpan w:val="2"/>
            <w:vMerge w:val="continue"/>
            <w:shd w:val="clear" w:color="auto" w:fill="CCEEFF"/>
          </w:tcPr>
          <w:p>
            <w:pPr>
              <w:spacing w:after="0"/>
              <w:rPr>
                <w:sz w:val="17"/>
                <w:szCs w:val="17"/>
                <w:color w:val="auto"/>
              </w:rPr>
            </w:pPr>
          </w:p>
        </w:tc>
        <w:tc>
          <w:tcPr>
            <w:tcW w:w="19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$ 16.6</w:t>
            </w:r>
          </w:p>
        </w:tc>
        <w:tc>
          <w:tcPr>
            <w:tcW w:w="6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$ 14.9</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w:t>
            </w:r>
          </w:p>
        </w:tc>
        <w:tc>
          <w:tcPr>
            <w:tcW w:w="5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3100" w:type="dxa"/>
            <w:vAlign w:val="bottom"/>
            <w:gridSpan w:val="3"/>
          </w:tcPr>
          <w:p>
            <w:pPr>
              <w:jc w:val="right"/>
              <w:ind w:right="520"/>
              <w:spacing w:after="0"/>
              <w:rPr>
                <w:sz w:val="20"/>
                <w:szCs w:val="20"/>
                <w:color w:val="auto"/>
              </w:rPr>
            </w:pPr>
            <w:r>
              <w:rPr>
                <w:rFonts w:ascii="Arial" w:cs="Arial" w:eastAsia="Arial" w:hAnsi="Arial"/>
                <w:sz w:val="18"/>
                <w:szCs w:val="18"/>
                <w:color w:val="auto"/>
              </w:rPr>
              <w:t>12.0%</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$1.7 million increase in our government systems segment operating profit reflected $7.1 million of higher earnings contributions (mainly from revenue growth in tactical data link products and TrellisWare), offset by higher IR&amp;D costs of $3.3 million and higher selling, support and new business proposal costs of $2.1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 reflected in the table below, both firm and funded backlog decreased overall during the first three months of fiscal year 2014. The decrease in our government systems segment was primarily due to the customary timing shifts in program funding that often occur around the U.S. government’s fiscal year end and related trends we have experienced in prior fiscal years. The decrease in firm and funded backlog in our commercial networks segment reflects higher new contract awards in fiscal year 2013 and the attainment of contractual milestones in existing awards. Backlog in our commercial networks segment can vary significantly from quarter to quarter based on the timing and achievement of milestones in large, multi-year infrastructure projects and changes in award composition between contracts with shorter fulfillment periods and large-scale development projects. The increase in firm and funded backlog in our satellite services segment was primarily due to new contract awards.</w:t>
      </w:r>
    </w:p>
    <w:p>
      <w:pPr>
        <w:spacing w:after="0" w:line="14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As of</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June 28, 2013</w:t>
            </w:r>
          </w:p>
        </w:tc>
        <w:tc>
          <w:tcPr>
            <w:tcW w:w="1840" w:type="dxa"/>
            <w:vAlign w:val="bottom"/>
            <w:gridSpan w:val="4"/>
          </w:tcPr>
          <w:p>
            <w:pPr>
              <w:ind w:left="840"/>
              <w:spacing w:after="0"/>
              <w:rPr>
                <w:sz w:val="20"/>
                <w:szCs w:val="20"/>
                <w:color w:val="auto"/>
              </w:rPr>
            </w:pPr>
            <w:r>
              <w:rPr>
                <w:rFonts w:ascii="Arial" w:cs="Arial" w:eastAsia="Arial" w:hAnsi="Arial"/>
                <w:sz w:val="14"/>
                <w:szCs w:val="14"/>
                <w:b w:val="1"/>
                <w:bCs w:val="1"/>
                <w:color w:val="auto"/>
                <w:w w:val="98"/>
              </w:rPr>
              <w:t>March 29,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(In millions)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35.3</w:t>
            </w:r>
          </w:p>
        </w:tc>
        <w:tc>
          <w:tcPr>
            <w:tcW w:w="10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w:t>
            </w:r>
          </w:p>
        </w:tc>
        <w:tc>
          <w:tcPr>
            <w:tcW w:w="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r>
              <w:rPr>
                <w:rFonts w:ascii="Arial" w:cs="Arial" w:eastAsia="Arial" w:hAnsi="Arial"/>
                <w:sz w:val="18"/>
                <w:szCs w:val="18"/>
                <w:u w:val="single" w:color="auto"/>
                <w:color w:val="auto"/>
              </w:rPr>
              <w:t>7</w:t>
            </w:r>
          </w:p>
        </w:tc>
        <w:tc>
          <w:tcPr>
            <w:tcW w:w="10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437.0</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8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755.</w:t>
            </w:r>
            <w:r>
              <w:rPr>
                <w:rFonts w:ascii="Arial" w:cs="Arial" w:eastAsia="Arial" w:hAnsi="Arial"/>
                <w:sz w:val="18"/>
                <w:szCs w:val="18"/>
                <w:u w:val="single" w:color="auto"/>
                <w:color w:val="auto"/>
              </w:rPr>
              <w:t>1</w:t>
            </w:r>
          </w:p>
        </w:tc>
        <w:tc>
          <w:tcPr>
            <w:tcW w:w="10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firm backlog does not include contract options. Of the $778.7 million in firm backlog, $447.0 million is expected to be delivered during the remaining nine months of fiscal year 2014, and the balance is expected to be delivered in fiscal year 2015 and thereafter. We include in our backlog only those orders for which we have accepted purchase orders.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total new awards were $254.0 million and $332.6 million in the three months ended June 28, 2013 and June 29, 2012, respectively.</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have financed our operations to date primarily with cash flows from operations, bank line of credit financing, debt financing and equity financing. At June 28, 2013, we had $79.7 million in cash and cash equivalents, $261.7 million in working capital and no outstanding borrowings under our Credit Facility. At March 29, 2013, we had $105.7 million in cash and cash equivalents, $297.7 million in working capital and no outstanding borrowings under our Credit Facility. We invest our cash in excess of current operating requirements in short-term, interest-bearing, investment-grade securities.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ViaSat-2 satellite project and any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general cash needs of our satellite services, commercial networks and government systems segments can vary significantly. The cash needs of our satellite services segment tend to be driven by the timing of capital expenditure payments (e.g., payments under satellite construction and launch contracts) and of network expansion activities, as well as the quality of customer, type of contract and payment terms. In our commercial networks segment, cash needs tend to be driven primarily by the type and mix of contracts in backlog, the nature and quality of customers, the level of investments in IR&amp;D activities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further enhance our liquidity position, we may obtain additional financing, which could consist of debt, convertible debt or equity financing from public and/or private capital markets. In March 2013,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Credit Facility will be sufficient to meet our anticipated operating requirements for at least the next twelve months.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provided by operating activities for the first quarter of fiscal year 2014 was $53.8 million compared to $0.8 million in the prior year period. This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$53.0 million increase was primarily driven by our operating results (net loss adjusted for depreciation, amortization and other non-cash charges) which generated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$28.5 million of higher cash inflows, coupled with a $24.6 million year-over-year decrease in cash used to fund net operating assets needs. The decrease in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assets from March 29, 2013 was mainly due to a $6.3 million decrease in combined billed and unbilled accounts receivables, net, attributable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contractual timing of certain milestones in our government systems segment, a $38.3 million increase in our accounts payable due to timing of payments,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$9.1 million increase in collections in excess of revenues and deferred revenues included in accrued liabilities attributable to the contractual timing of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milestones in our commercial networks segment. These decreases in net operating assets were partially offset by a $19.4 million increase in inventory mainly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commercial networks, primarily due to high demand for CPE terminals from domestic and international customers.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Cash used in investing activities for the first quarter of fiscal year 2014 was $87.2 million compared to $43.2 million in the prior year period. The increase in cash used in investing activities reflected the $18.0 million in cash used during the first three months of fiscal year 2014 for the construction of our ViaSat-2 satellite, as well as a $19.6 million increase in capital expenditures year-over-year for new CPE units and other general purpose equipment.</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Cash provided by financing activities for the first quarter of fiscal year 2014 was $7.4 million compared to cash used in financing activities of $0.2 million for the prior year period. This $7.6 million increase in cash provided by financing activities was due to $3.6 million higher cash received from stock option exercises and employee stock purchase plan purchases in the first quarter of fiscal year 2014 compared to the prior year period and the absence of debt issuance costs during the first quarter of fiscal year 2014 compared to $2.2 million in debt issuance costs during the prior year period. Cash provided by financing activities for both periods included cash received from stock option exercises and employee stock purchase plan purchases, and cash used for the repurchase of common stock related to net share settlement of certain employee tax liabilities in connection with the vesting of restricted stock unit awards.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service-related activities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May 2013, we entered into an agreement with The Boeing Company (Boeing) to purchase ViaSat-2, our second high-capacity Ka-band satellite, at a price of approximately $358.0 million, plus an additional amount for launch support services to be performed by Boeing. The projected total cost of the ViaSat-2 project, including the satellite, launch, insurance and related gateway infrastructure, through satellite launch is estimated to be between $600.0 million to $650.0 million, and will depend on the timing of the gateway infrastructure roll-out. Our total required cash funding may be reduced through various third party agreements, including potential joint service offerings and other strategic partnering arrangements. We believe we have adequate sources of funding for the project, which include our cash on hand, available borrowing capacity and the cash we expect to generate from operations over the next few years.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incurred higher operating costs in connection with the launch and roll-out of our ViaSat-1 satellite and related ground infrastructure and our Exede broadband services, as well as higher interest expense as we capitalized a significantly lower amount of the interest expense on our outstanding debt. These higher operating costs included costs associated with depreciation, gateway connectivity, subscriber acquisition costs, logistics, customer care and various support systems. The higher operating costs attributed to our Exede service launch have negatively impacted income from operations during the past two fiscal years. However, as the total number of subscribers of our Exede broadband services increases, we expect the resultant increase in service revenues in our satellite services segment to improve income (loss) from operations for that segment over time. However, there can be no assurance that the number of subscribers of our Exede broadband services and service revenues in our satellite services segment will continue to increase. We also expect our capital expenditures to increase during the remainder of fiscal year 2014 as a result of increased subscriber acquisition costs relating to the expected increase in the number of subscribers on our Exede broadband services and capital required for the construction of our newest high-capacity satellite, ViaSat-2.</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are involved in a variety of claims, suits, investigations and proceedings arising in the ordinary course of business, including actions with respect to intellectual property claims and other matters. See “Legal Proceedings” in Part II, Item 1 for a discussion of certain patent infringement litigation involving Space Systems/Loral, Inc. (SS/L) and its former parent company Loral Space &amp; Communications, Inc. (Loral). Regardless of the outcome, litigation can have an adverse impact on us because we expect to incur costs, which may vary based on interim rulings, discovery and other related activities. In addition, it is possible that an unfavorable resolution of one or more such proceedings could in the future materially and adversely affect our business, financial condition, results of operations or liquidity in a particular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color w:val="auto"/>
        </w:rPr>
        <w:t>As of June 28, 2013, the Credit Facility provided a revolving line of credit of $325.0 million (including up to $50.0 million of letters of credit) with a maturity date of May 9, 2017. Borrowings under the Credit Facility bear interest, at our option, at either (1) the highest of the Federal Funds rate plus 0.50%, the Eurodollar rate plus 1.00%, or the administrative agent’s prime rate as announced from time to time, or (2) the Eurodollar rate, plus, in the case of each of (1) and</w:t>
      </w:r>
    </w:p>
    <w:p>
      <w:pPr>
        <w:spacing w:after="0" w:line="1"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(2), an applicable margin that is based on our total leverage ratio. The Credit Facility is guaranteed by certain of our domestic subsidiaries and secured by substantially all of our respective assets. The Credit Facility contains financial covenants regarding a maximum total leverage ratio and a minimum interest coverage ratio. In addition, the Credit Facility contains covenants that restrict, among other things, our ability to sell assets, make investments and acquisitions, make capital expenditures, grant liens, pay dividends and make certain other restricted payments.</w:t>
      </w:r>
    </w:p>
    <w:p>
      <w:pPr>
        <w:spacing w:after="0" w:line="11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At June 28, 2013, we had no outstanding borrowings under the Credit Facility and $38.5 million outstanding under standby letters of credit, leaving borrowing availability under the Credit Facility as of June 28, 2013 of $286.5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February 2012, we issued $275.0 million in principal amount of 2020 Notes in a private placement to institutional buyers, which were exchanged in August 2012 for substantially identical 2020 Notes that had been registered with the SEC. These initial 2020 Notes were issued at face value and are recorded as long-term debt in our condensed consolidated financial statements. 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October 12, 2012, we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Deferred financing cost associated with the issuance of the 2020 Notes is amortized to interest expense on a straight-line basis over the term of the 2020 Notes, the results of which are not materially different from the effective interest rate basis. The $10.5 million premium we received in connection with the issuance of the additional 2020 Notes is recorded as long-term debt in our condensed consolidated financial statements and is being amortized as a reduction to interest expense on an effective interest rate basis over the term of those 2020 Notes.</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2020 Notes are guaranteed on an unsecured senior basis by each of our existing and future subsidiaries that guarantees the Credit Facility (the Guarantor Subsidiaries). The 2020 Notes and the guarantees are our and the Guarantor Subsidiaries’ general senior unsecured obligations and rank equally in right of payment with all of our existing and future unsecured unsubordinated debt. The 2020 Notes and the guarantees are effectively junior in right of payment to our existing and future secured debt, including under the Credit Facility (to the extent of the value of the assets securing such debt), are structurally subordinated to all existing and future liabilities (including trade payables) of our subsidiaries that are not guarantors of the 2020 Notes, and are senior in right of payment to all of our existing and future subordinated indebtedness.</w:t>
      </w:r>
    </w:p>
    <w:p>
      <w:pPr>
        <w:spacing w:after="0" w:line="12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3"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Prior to June 15, 2015, we may redeem up to 35% of the 2020 Notes at a redemption price of 106.875% of the principal amount thereof, plus accrued and unpaid interest, if any, thereon to the redemption date, from the net cash proceeds of specified equity offerings. We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w:t>
      </w:r>
    </w:p>
    <w:p>
      <w:pPr>
        <w:spacing w:after="0" w:line="3" w:lineRule="exact"/>
        <w:rPr>
          <w:sz w:val="20"/>
          <w:szCs w:val="20"/>
          <w:color w:val="auto"/>
        </w:rPr>
      </w:pPr>
    </w:p>
    <w:p>
      <w:pPr>
        <w:ind w:right="120" w:firstLine="8"/>
        <w:spacing w:after="0" w:line="290" w:lineRule="auto"/>
        <w:tabs>
          <w:tab w:leader="none" w:pos="25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 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18"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In the event a change of control occurs (as defined in the indenture), each holder will have the right to require us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obligations at June 28,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6"/>
              <w:spacing w:after="0"/>
              <w:rPr>
                <w:sz w:val="20"/>
                <w:szCs w:val="20"/>
                <w:color w:val="auto"/>
              </w:rPr>
            </w:pPr>
            <w:r>
              <w:rPr>
                <w:rFonts w:ascii="Arial" w:cs="Arial" w:eastAsia="Arial" w:hAnsi="Arial"/>
                <w:sz w:val="14"/>
                <w:szCs w:val="14"/>
                <w:b w:val="1"/>
                <w:bCs w:val="1"/>
                <w:color w:val="auto"/>
                <w:w w:val="88"/>
              </w:rPr>
              <w:t>For the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Remainder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 including interest where applicable)</w:t>
            </w:r>
          </w:p>
        </w:tc>
        <w:tc>
          <w:tcPr>
            <w:tcW w:w="1860" w:type="dxa"/>
            <w:vAlign w:val="bottom"/>
            <w:vMerge w:val="restart"/>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Fiscal Year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8"/>
          </w:tcPr>
          <w:p>
            <w:pPr>
              <w:ind w:left="420"/>
              <w:spacing w:after="0"/>
              <w:rPr>
                <w:sz w:val="20"/>
                <w:szCs w:val="20"/>
                <w:color w:val="auto"/>
              </w:rPr>
            </w:pPr>
            <w:r>
              <w:rPr>
                <w:rFonts w:ascii="Arial" w:cs="Arial" w:eastAsia="Arial" w:hAnsi="Arial"/>
                <w:sz w:val="14"/>
                <w:szCs w:val="14"/>
                <w:b w:val="1"/>
                <w:bCs w:val="1"/>
                <w:color w:val="auto"/>
              </w:rPr>
              <w:t>For the Fiscal Years Ending</w:t>
            </w:r>
          </w:p>
        </w:tc>
        <w:tc>
          <w:tcPr>
            <w:tcW w:w="0" w:type="dxa"/>
            <w:vAlign w:val="bottom"/>
          </w:tcPr>
          <w:p>
            <w:pPr>
              <w:spacing w:after="0"/>
              <w:rPr>
                <w:sz w:val="1"/>
                <w:szCs w:val="1"/>
                <w:color w:val="auto"/>
              </w:rPr>
            </w:pPr>
          </w:p>
        </w:tc>
      </w:tr>
      <w:tr>
        <w:trPr>
          <w:trHeight w:val="149"/>
        </w:trPr>
        <w:tc>
          <w:tcPr>
            <w:tcW w:w="3120" w:type="dxa"/>
            <w:vAlign w:val="bottom"/>
            <w:tcBorders>
              <w:bottom w:val="single" w:sz="8" w:color="auto"/>
            </w:tcBorders>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36"/>
              <w:spacing w:after="0" w:line="129" w:lineRule="exact"/>
              <w:rPr>
                <w:sz w:val="20"/>
                <w:szCs w:val="20"/>
                <w:color w:val="auto"/>
              </w:rPr>
            </w:pPr>
            <w:r>
              <w:rPr>
                <w:rFonts w:ascii="Arial" w:cs="Arial" w:eastAsia="Arial" w:hAnsi="Arial"/>
                <w:sz w:val="14"/>
                <w:szCs w:val="14"/>
                <w:b w:val="1"/>
                <w:bCs w:val="1"/>
                <w:color w:val="auto"/>
                <w:w w:val="83"/>
              </w:rPr>
              <w:t>2014</w:t>
            </w:r>
          </w:p>
        </w:tc>
        <w:tc>
          <w:tcPr>
            <w:tcW w:w="30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2015-2016</w:t>
            </w:r>
          </w:p>
        </w:tc>
        <w:tc>
          <w:tcPr>
            <w:tcW w:w="9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2017-2018</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leases and satellite capacity agreements</w:t>
            </w:r>
          </w:p>
        </w:tc>
        <w:tc>
          <w:tcPr>
            <w:tcW w:w="1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197,348</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55,685</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62,362</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31,499</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47,802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2020 Notes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851,719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79,063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79,063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673,827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38,501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Satellite performance incentives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Purchase commitments including satellite-related agreements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754,850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293,301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341,317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86,319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1,883,007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381,660</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516,881</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201,305</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783,161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40" w:type="dxa"/>
            <w:vAlign w:val="bottom"/>
            <w:vMerge w:val="restart"/>
          </w:tcPr>
          <w:p>
            <w:pPr>
              <w:jc w:val="right"/>
              <w:ind w:right="632"/>
              <w:spacing w:after="0"/>
              <w:rPr>
                <w:sz w:val="20"/>
                <w:szCs w:val="20"/>
                <w:color w:val="auto"/>
              </w:rPr>
            </w:pPr>
            <w:r>
              <w:rPr>
                <w:rFonts w:ascii="Arial" w:cs="Arial" w:eastAsia="Arial" w:hAnsi="Arial"/>
                <w:sz w:val="18"/>
                <w:szCs w:val="18"/>
                <w:color w:val="auto"/>
              </w:rPr>
              <w:t>42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of our ViaSat-2 satellite, and operations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condensed consolidated balance sheets included $52.5 million and $52.6 million of “other liabilities” as of June 28, 2013 and March 29, 2013, respectively, which primarily consisted of the long-term portion of our satellite performance incentives obligation, our long-term warranty obligations, the long-term portion of deferred rent, long-term portion of deferred revenue, long-term deferred income taxes and long-term unrecognized tax position liabilities. With the exception of the long-term portion of our satellite performance incentives obligation, these remaining liabilities have been excluded from the above table as the timing and/or the amount of any cash payment is uncertain. See Note 9 to our condensed consolidated financial statements for additional information regarding our income taxes and related tax positions and Note 7 to our condensed consolidated financial statements for a discussion of our product warranties.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had no material off-balance sheet arrangements at June 28, 2013 as defined in Regulation S-K Item 303(a)(4) other than as discussed under Contractual Obligations above or disclosed in the notes to our consolidated financial statements included in this Quarterly Report or in our Annual Report on Form 10-K for the year ended March 29,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information regarding recently adopted and issued accounting pronouncements, see Note 1 to the condensed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financial instruments consist of cash and cash equivalents, trade accounts receivable, accounts payable, short-term and long-term obligations, including the Credit Facility and the 2020 Notes, and foreign currency forward contracts. We consider investments in highly liquid instruments purchased with a remaining maturity of three months or less at the date of purchase to be cash equivalents. As of June 28, 2013, we had no outstanding borrowings under our Credit Facility and $575.0 million in aggregate principal amount outstanding of the 2020 Notes, and we held no short-term investments. Our 2020 Notes bear interest at a fixed rate and therefore our exposure to market risk for changes in interest rates relates primarily to borrowings under our Credit Facility, cash equivalents, short-term investments and short-term obligations.</w:t>
      </w:r>
    </w:p>
    <w:p>
      <w:pPr>
        <w:spacing w:after="0" w:line="144"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Given recent declines in interest rates, our interest income has been and may continue to be negatively impacted.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approximately $0.2 million for each of the three months ended June 28, 2013 and June 29, 2012.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primary interest rate under the Credit Facility is the Eurodollar rate plus an applicable margin that is based on our total leverage ratio. Under the Credit Facility, the weighted average effective interest rate as of June 28, 2013 that would have been applied to any new Eurodollar rate based borrowings under the Credit Facility was approximately 3.80%. As of June 28, 2013, we had no outstanding borrowings under our Credit Facility. Accordingly, assuming the outstanding balance remained constant over a year, changes in interest rates applicable to our Credit Facility would have no effect on our interest incurred and cash flow.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generally conduct our business in U.S. dollars. However, as our international business is conducted in a variety of foreign currencies,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June 28, 2013, we had a number of foreign currency forward contracts outstanding which are intended to reduce the foreign currency risk for amounts payable to vendors in Euros. The foreign currency forward contracts with a notional amount of $9.6 million had a fair value of approximately $0.2 million and were recorded in accrued liabilities as of June 28, 2013. If the foreign currency forward rate for the Euro to the U.S. dollar on these foreign currency forward contracts had changed by 10%, the fair value of these foreign currency forward contracts as of June 28, 2013 would have changed by approximately $1.0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June 28, 2013, the end of the period covered by this Quarterly Report. Based upon the foregoing, our Chief Executive Officer and Chief Financial Officer concluded that our disclosure controls and procedures were effective at a reasonable assurance level as of June 28, 2013.</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the period covered by this Quarterly Report, there were no changes in our internal control over financial reporting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February 2012, we filed a complaint against SS/L and its former parent company Loral in the United States District Court for the Southern District of California for patent infringement and breach of contract relating to the manufacture of ViaSat-1. We allege, among other things, that SS/L and Loral infringed U.S. Patent Nos. 8,107,875, 8,010,043, 8,068,827 and 7,773,942 by making, using, offering to sell and/or selling other high-capacity broadband satellites, and have requested monetary damages, injunctive relief and other remedies. In June 2012, SS/L filed counterclaims against ViaSat for patent infringement and declaratory relief. Specifically, SS/L seeks a judicial declaration that SS/L did not breach the parties’ contract for the manufacture of ViaSat-1, that SS/L does not infringe the ViaSat patents described above, and that those patents are invalid and/or unenforceable. SS/L also alleges that ViaSat infringed U.S. Patent Nos. 6,879,808, 6,400,696 and 7,219,132 by providing broadband internet service by means of the Anik F2 satellite using ViaSat satellite gateways and satellite user terminals and has induced others to infringe by selling certain ground equipment and user terminals.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to the other information set forth in this Quarterly Report, you should carefully consider the factors discussed in Part I, Item 1A, “Risk Factors” in our Annual Report on Form 10-K for the fiscal year ended March 29, 2013,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 Index on page 47 is incorporated herein by reference as the list of exhibits required as part of this Quarterly Report.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219"/>
          </w:cols>
          <w:pgMar w:left="240" w:top="45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VIASAT, INC.</w:t>
            </w:r>
          </w:p>
        </w:tc>
      </w:tr>
      <w:tr>
        <w:trPr>
          <w:trHeight w:val="433"/>
        </w:trPr>
        <w:tc>
          <w:tcPr>
            <w:tcW w:w="3360" w:type="dxa"/>
            <w:vAlign w:val="bottom"/>
          </w:tcPr>
          <w:p>
            <w:pPr>
              <w:spacing w:after="0"/>
              <w:rPr>
                <w:sz w:val="20"/>
                <w:szCs w:val="20"/>
                <w:color w:val="auto"/>
              </w:rPr>
            </w:pPr>
            <w:r>
              <w:rPr>
                <w:rFonts w:ascii="Arial" w:cs="Arial" w:eastAsia="Arial" w:hAnsi="Arial"/>
                <w:sz w:val="18"/>
                <w:szCs w:val="18"/>
                <w:color w:val="auto"/>
              </w:rPr>
              <w:t>August 7, 2013</w:t>
            </w:r>
          </w:p>
        </w:tc>
        <w:tc>
          <w:tcPr>
            <w:tcW w:w="272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tc>
      </w:tr>
      <w:tr>
        <w:trPr>
          <w:trHeight w:val="202"/>
        </w:trPr>
        <w:tc>
          <w:tcPr>
            <w:tcW w:w="33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Mark Dankberg</w:t>
            </w:r>
          </w:p>
        </w:tc>
      </w:tr>
      <w:tr>
        <w:trPr>
          <w:trHeight w:val="216"/>
        </w:trPr>
        <w:tc>
          <w:tcPr>
            <w:tcW w:w="3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Chairman of the Board and Chief Executive Officer</w:t>
            </w:r>
          </w:p>
        </w:tc>
      </w:tr>
      <w:tr>
        <w:trPr>
          <w:trHeight w:val="222"/>
        </w:trPr>
        <w:tc>
          <w:tcPr>
            <w:tcW w:w="3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555"/>
        </w:trPr>
        <w:tc>
          <w:tcPr>
            <w:tcW w:w="33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RUCE</w:t>
            </w:r>
            <w:r>
              <w:rPr>
                <w:rFonts w:ascii="Arial" w:cs="Arial" w:eastAsia="Arial" w:hAnsi="Arial"/>
                <w:sz w:val="18"/>
                <w:szCs w:val="18"/>
                <w:color w:val="auto"/>
              </w:rPr>
              <w:t xml:space="preserve"> D</w:t>
            </w:r>
            <w:r>
              <w:rPr>
                <w:rFonts w:ascii="Arial" w:cs="Arial" w:eastAsia="Arial" w:hAnsi="Arial"/>
                <w:sz w:val="14"/>
                <w:szCs w:val="14"/>
                <w:color w:val="auto"/>
              </w:rPr>
              <w:t>IRKS</w:t>
            </w:r>
          </w:p>
        </w:tc>
      </w:tr>
      <w:tr>
        <w:trPr>
          <w:trHeight w:val="202"/>
        </w:trPr>
        <w:tc>
          <w:tcPr>
            <w:tcW w:w="33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Bruce Dirks</w:t>
            </w:r>
          </w:p>
        </w:tc>
      </w:tr>
      <w:tr>
        <w:trPr>
          <w:trHeight w:val="216"/>
        </w:trPr>
        <w:tc>
          <w:tcPr>
            <w:tcW w:w="3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3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555"/>
        </w:trPr>
        <w:tc>
          <w:tcPr>
            <w:tcW w:w="33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tc>
      </w:tr>
      <w:tr>
        <w:trPr>
          <w:trHeight w:val="202"/>
        </w:trPr>
        <w:tc>
          <w:tcPr>
            <w:tcW w:w="33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Shawn Duffy</w:t>
            </w:r>
          </w:p>
        </w:tc>
      </w:tr>
      <w:tr>
        <w:trPr>
          <w:trHeight w:val="216"/>
        </w:trPr>
        <w:tc>
          <w:tcPr>
            <w:tcW w:w="3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Vice President, Corporate Controller and</w:t>
            </w:r>
          </w:p>
        </w:tc>
      </w:tr>
      <w:tr>
        <w:trPr>
          <w:trHeight w:val="216"/>
        </w:trPr>
        <w:tc>
          <w:tcPr>
            <w:tcW w:w="3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Accounting Officer</w:t>
            </w:r>
          </w:p>
        </w:tc>
      </w:tr>
      <w:tr>
        <w:trPr>
          <w:trHeight w:val="222"/>
        </w:trPr>
        <w:tc>
          <w:tcPr>
            <w:tcW w:w="3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r>
        <w:trPr>
          <w:trHeight w:val="378"/>
        </w:trPr>
        <w:tc>
          <w:tcPr>
            <w:tcW w:w="3360" w:type="dxa"/>
            <w:vAlign w:val="bottom"/>
          </w:tcPr>
          <w:p>
            <w:pPr>
              <w:spacing w:after="0"/>
              <w:rPr>
                <w:sz w:val="24"/>
                <w:szCs w:val="24"/>
                <w:color w:val="auto"/>
              </w:rPr>
            </w:pPr>
          </w:p>
        </w:tc>
        <w:tc>
          <w:tcPr>
            <w:tcW w:w="2720" w:type="dxa"/>
            <w:vAlign w:val="bottom"/>
          </w:tcPr>
          <w:p>
            <w:pPr>
              <w:jc w:val="right"/>
              <w:ind w:right="192"/>
              <w:spacing w:after="0"/>
              <w:rPr>
                <w:sz w:val="20"/>
                <w:szCs w:val="20"/>
                <w:color w:val="auto"/>
              </w:rPr>
            </w:pPr>
            <w:r>
              <w:rPr>
                <w:rFonts w:ascii="Arial" w:cs="Arial" w:eastAsia="Arial" w:hAnsi="Arial"/>
                <w:sz w:val="18"/>
                <w:szCs w:val="18"/>
                <w:color w:val="auto"/>
              </w:rPr>
              <w:t>46</w:t>
            </w:r>
          </w:p>
        </w:tc>
        <w:tc>
          <w:tcPr>
            <w:tcW w:w="5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tcBorders>
              <w:bottom w:val="single" w:sz="8" w:color="auto"/>
            </w:tcBorders>
            <w:gridSpan w:val="5"/>
          </w:tcPr>
          <w:p>
            <w:pPr>
              <w:jc w:val="right"/>
              <w:ind w:right="525"/>
              <w:spacing w:after="0"/>
              <w:rPr>
                <w:sz w:val="20"/>
                <w:szCs w:val="20"/>
                <w:color w:val="auto"/>
              </w:rPr>
            </w:pPr>
            <w:r>
              <w:rPr>
                <w:rFonts w:ascii="Arial" w:cs="Arial" w:eastAsia="Arial" w:hAnsi="Arial"/>
                <w:sz w:val="14"/>
                <w:szCs w:val="14"/>
                <w:b w:val="1"/>
                <w:bCs w:val="1"/>
                <w:color w:val="auto"/>
              </w:rPr>
              <w:t>Incorporated by Reference</w:t>
            </w:r>
          </w:p>
        </w:tc>
      </w:tr>
      <w:tr>
        <w:trPr>
          <w:trHeight w:val="129"/>
        </w:trPr>
        <w:tc>
          <w:tcPr>
            <w:tcW w:w="880" w:type="dxa"/>
            <w:vAlign w:val="bottom"/>
            <w:gridSpan w:val="2"/>
          </w:tcPr>
          <w:p>
            <w:pPr>
              <w:spacing w:after="0" w:line="109" w:lineRule="exact"/>
              <w:rPr>
                <w:sz w:val="20"/>
                <w:szCs w:val="20"/>
                <w:color w:val="auto"/>
              </w:rPr>
            </w:pPr>
            <w:r>
              <w:rPr>
                <w:rFonts w:ascii="Arial" w:cs="Arial" w:eastAsia="Arial" w:hAnsi="Arial"/>
                <w:sz w:val="12"/>
                <w:szCs w:val="12"/>
                <w:b w:val="1"/>
                <w:bCs w:val="1"/>
                <w:color w:val="auto"/>
              </w:rPr>
              <w:t>Number</w:t>
            </w:r>
          </w:p>
        </w:tc>
        <w:tc>
          <w:tcPr>
            <w:tcW w:w="5980" w:type="dxa"/>
            <w:vAlign w:val="bottom"/>
          </w:tcPr>
          <w:p>
            <w:pPr>
              <w:ind w:left="2420"/>
              <w:spacing w:after="0" w:line="109" w:lineRule="exact"/>
              <w:rPr>
                <w:sz w:val="20"/>
                <w:szCs w:val="20"/>
                <w:color w:val="auto"/>
              </w:rPr>
            </w:pPr>
            <w:r>
              <w:rPr>
                <w:rFonts w:ascii="Arial" w:cs="Arial" w:eastAsia="Arial" w:hAnsi="Arial"/>
                <w:sz w:val="12"/>
                <w:szCs w:val="12"/>
                <w:b w:val="1"/>
                <w:bCs w:val="1"/>
                <w:color w:val="auto"/>
              </w:rPr>
              <w:t>Exhibit Description</w:t>
            </w:r>
          </w:p>
        </w:tc>
        <w:tc>
          <w:tcPr>
            <w:tcW w:w="220" w:type="dxa"/>
            <w:vAlign w:val="bottom"/>
          </w:tcPr>
          <w:p>
            <w:pPr>
              <w:spacing w:after="0"/>
              <w:rPr>
                <w:sz w:val="11"/>
                <w:szCs w:val="11"/>
                <w:color w:val="auto"/>
              </w:rPr>
            </w:pPr>
          </w:p>
        </w:tc>
        <w:tc>
          <w:tcPr>
            <w:tcW w:w="660" w:type="dxa"/>
            <w:vAlign w:val="bottom"/>
            <w:gridSpan w:val="2"/>
          </w:tcPr>
          <w:p>
            <w:pPr>
              <w:ind w:left="20"/>
              <w:spacing w:after="0" w:line="109" w:lineRule="exact"/>
              <w:rPr>
                <w:sz w:val="20"/>
                <w:szCs w:val="20"/>
                <w:color w:val="auto"/>
              </w:rPr>
            </w:pPr>
            <w:r>
              <w:rPr>
                <w:rFonts w:ascii="Arial" w:cs="Arial" w:eastAsia="Arial" w:hAnsi="Arial"/>
                <w:sz w:val="12"/>
                <w:szCs w:val="12"/>
                <w:b w:val="1"/>
                <w:bCs w:val="1"/>
                <w:color w:val="auto"/>
              </w:rPr>
              <w:t>Form</w:t>
            </w:r>
          </w:p>
        </w:tc>
        <w:tc>
          <w:tcPr>
            <w:tcW w:w="1120" w:type="dxa"/>
            <w:vAlign w:val="bottom"/>
            <w:gridSpan w:val="2"/>
          </w:tcPr>
          <w:p>
            <w:pPr>
              <w:ind w:left="180"/>
              <w:spacing w:after="0" w:line="115" w:lineRule="exact"/>
              <w:rPr>
                <w:sz w:val="20"/>
                <w:szCs w:val="20"/>
                <w:color w:val="auto"/>
              </w:rPr>
            </w:pPr>
            <w:r>
              <w:rPr>
                <w:rFonts w:ascii="Arial" w:cs="Arial" w:eastAsia="Arial" w:hAnsi="Arial"/>
                <w:sz w:val="12"/>
                <w:szCs w:val="12"/>
                <w:b w:val="1"/>
                <w:bCs w:val="1"/>
                <w:color w:val="auto"/>
              </w:rPr>
              <w:t>File No.</w:t>
            </w:r>
          </w:p>
        </w:tc>
        <w:tc>
          <w:tcPr>
            <w:tcW w:w="760" w:type="dxa"/>
            <w:vAlign w:val="bottom"/>
            <w:gridSpan w:val="2"/>
          </w:tcPr>
          <w:p>
            <w:pPr>
              <w:jc w:val="right"/>
              <w:ind w:right="320"/>
              <w:spacing w:after="0" w:line="115" w:lineRule="exact"/>
              <w:rPr>
                <w:sz w:val="20"/>
                <w:szCs w:val="20"/>
                <w:color w:val="auto"/>
              </w:rPr>
            </w:pPr>
            <w:r>
              <w:rPr>
                <w:rFonts w:ascii="Arial" w:cs="Arial" w:eastAsia="Arial" w:hAnsi="Arial"/>
                <w:sz w:val="12"/>
                <w:szCs w:val="12"/>
                <w:b w:val="1"/>
                <w:bCs w:val="1"/>
                <w:color w:val="auto"/>
              </w:rPr>
              <w:t>Exhibit</w:t>
            </w:r>
          </w:p>
        </w:tc>
        <w:tc>
          <w:tcPr>
            <w:tcW w:w="860" w:type="dxa"/>
            <w:vAlign w:val="bottom"/>
          </w:tcPr>
          <w:p>
            <w:pPr>
              <w:jc w:val="right"/>
              <w:ind w:right="45"/>
              <w:spacing w:after="0" w:line="115" w:lineRule="exact"/>
              <w:rPr>
                <w:sz w:val="20"/>
                <w:szCs w:val="20"/>
                <w:color w:val="auto"/>
              </w:rPr>
            </w:pPr>
            <w:r>
              <w:rPr>
                <w:rFonts w:ascii="Arial" w:cs="Arial" w:eastAsia="Arial" w:hAnsi="Arial"/>
                <w:sz w:val="12"/>
                <w:szCs w:val="12"/>
                <w:b w:val="1"/>
                <w:bCs w:val="1"/>
                <w:color w:val="auto"/>
              </w:rPr>
              <w:t>Filing Date</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Arial" w:cs="Arial" w:eastAsia="Arial" w:hAnsi="Arial"/>
                <w:sz w:val="18"/>
                <w:szCs w:val="18"/>
                <w:color w:val="auto"/>
                <w:w w:val="89"/>
              </w:rPr>
              <w:t>Third Amendment to Fifth Amended and Restated Revolving Loan Agreement dated</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w w:val="89"/>
              </w:rPr>
              <w:t>as of May 15, 2013 by and among ViaSat, Inc., Union Bank, N.A. (as administrative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agent and collateral agent) and the other lenders party thereto</w:t>
            </w:r>
          </w:p>
        </w:tc>
        <w:tc>
          <w:tcPr>
            <w:tcW w:w="220" w:type="dxa"/>
            <w:vAlign w:val="bottom"/>
          </w:tcPr>
          <w:p>
            <w:pPr>
              <w:spacing w:after="0"/>
              <w:rPr>
                <w:sz w:val="19"/>
                <w:szCs w:val="19"/>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000-21767</w:t>
            </w:r>
          </w:p>
        </w:tc>
        <w:tc>
          <w:tcPr>
            <w:tcW w:w="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05/17/2013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Arial" w:cs="Arial" w:eastAsia="Arial" w:hAnsi="Arial"/>
                <w:sz w:val="18"/>
                <w:szCs w:val="18"/>
                <w:color w:val="auto"/>
                <w:w w:val="93"/>
              </w:rPr>
              <w:t>Certification of Chief Executive Officer Pursuant to Section 302 of the Sarbanes-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Oxley Act of 2002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Arial" w:cs="Arial" w:eastAsia="Arial" w:hAnsi="Arial"/>
                <w:sz w:val="18"/>
                <w:szCs w:val="18"/>
                <w:color w:val="auto"/>
                <w:w w:val="94"/>
              </w:rPr>
              <w:t>Certification of Chief Financial Officer Pursuant to Section 302 of the Sarbanes-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Oxley Act of 2002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Arial" w:cs="Arial" w:eastAsia="Arial" w:hAnsi="Arial"/>
                <w:sz w:val="18"/>
                <w:szCs w:val="18"/>
                <w:color w:val="auto"/>
                <w:w w:val="90"/>
              </w:rPr>
              <w:t>Certifications Pursuant to 18 U.S.C. Section 1350, as Adopted Pursuant to Section</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906 of the Sarbanes-Oxley Act of 2002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980" w:type="dxa"/>
            <w:vAlign w:val="bottom"/>
          </w:tcPr>
          <w:p>
            <w:pPr>
              <w:spacing w:after="0"/>
              <w:rPr>
                <w:sz w:val="20"/>
                <w:szCs w:val="20"/>
                <w:color w:val="auto"/>
              </w:rPr>
            </w:pPr>
            <w:r>
              <w:rPr>
                <w:rFonts w:ascii="Arial" w:cs="Arial" w:eastAsia="Arial" w:hAnsi="Arial"/>
                <w:sz w:val="18"/>
                <w:szCs w:val="18"/>
                <w:color w:val="auto"/>
              </w:rPr>
              <w:t>XBRL Instance Document</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980" w:type="dxa"/>
            <w:vAlign w:val="bottom"/>
          </w:tcPr>
          <w:p>
            <w:pPr>
              <w:spacing w:after="0"/>
              <w:rPr>
                <w:sz w:val="20"/>
                <w:szCs w:val="20"/>
                <w:color w:val="auto"/>
              </w:rPr>
            </w:pPr>
            <w:r>
              <w:rPr>
                <w:rFonts w:ascii="Arial" w:cs="Arial" w:eastAsia="Arial" w:hAnsi="Arial"/>
                <w:sz w:val="18"/>
                <w:szCs w:val="18"/>
                <w:color w:val="auto"/>
              </w:rPr>
              <w:t>XBRL Taxonomy Extension Schema</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98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98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980" w:type="dxa"/>
            <w:vAlign w:val="bottom"/>
          </w:tcPr>
          <w:p>
            <w:pPr>
              <w:spacing w:after="0"/>
              <w:rPr>
                <w:sz w:val="20"/>
                <w:szCs w:val="20"/>
                <w:color w:val="auto"/>
              </w:rPr>
            </w:pPr>
            <w:r>
              <w:rPr>
                <w:rFonts w:ascii="Arial" w:cs="Arial" w:eastAsia="Arial" w:hAnsi="Arial"/>
                <w:sz w:val="18"/>
                <w:szCs w:val="18"/>
                <w:color w:val="auto"/>
              </w:rPr>
              <w:t>XBRL Taxonomy Extension Labels Linkbase</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98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5"/>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80" w:type="dxa"/>
            <w:vAlign w:val="bottom"/>
          </w:tcPr>
          <w:p>
            <w:pPr>
              <w:ind w:left="474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480" w:space="300"/>
            <w:col w:w="540"/>
          </w:cols>
          <w:pgMar w:left="240" w:top="459"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Mark Dankberg</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Bruce Dirks, Chief Financial Officer of ViaSat, Inc.,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6"/>
          <w:szCs w:val="16"/>
          <w:color w:val="auto"/>
        </w:rPr>
        <w:t>/s/ B</w:t>
      </w:r>
      <w:r>
        <w:rPr>
          <w:rFonts w:ascii="Arial" w:cs="Arial" w:eastAsia="Arial" w:hAnsi="Arial"/>
          <w:sz w:val="13"/>
          <w:szCs w:val="13"/>
          <w:color w:val="auto"/>
        </w:rPr>
        <w:t>RUCE</w:t>
      </w:r>
      <w:r>
        <w:rPr>
          <w:rFonts w:ascii="Arial" w:cs="Arial" w:eastAsia="Arial" w:hAnsi="Arial"/>
          <w:sz w:val="16"/>
          <w:szCs w:val="16"/>
          <w:color w:val="auto"/>
        </w:rPr>
        <w:t xml:space="preserve"> D</w:t>
      </w:r>
      <w:r>
        <w:rPr>
          <w:rFonts w:ascii="Arial" w:cs="Arial" w:eastAsia="Arial" w:hAnsi="Arial"/>
          <w:sz w:val="13"/>
          <w:szCs w:val="13"/>
          <w:color w:val="auto"/>
        </w:rPr>
        <w:t>IRKS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Bruce Dirks</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132" w:lineRule="exact"/>
        <w:rPr>
          <w:sz w:val="20"/>
          <w:szCs w:val="20"/>
          <w:color w:val="auto"/>
        </w:rPr>
      </w:pPr>
    </w:p>
    <w:p>
      <w:pPr>
        <w:ind w:right="180" w:firstLine="464"/>
        <w:spacing w:after="0" w:line="268"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28, 2013 (the “Report”) fully complies with the requirements of Section 13(a) or Section 15(d), as applicable, of the Securities Exchange Act of 1934, as amended;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Mark Dankberg</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132" w:lineRule="exact"/>
        <w:rPr>
          <w:sz w:val="20"/>
          <w:szCs w:val="20"/>
          <w:color w:val="auto"/>
        </w:rPr>
      </w:pPr>
    </w:p>
    <w:p>
      <w:pPr>
        <w:ind w:right="180" w:firstLine="464"/>
        <w:spacing w:after="0" w:line="268"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28, 2013 (the “Report”) fully complies with the requirements of Section 13(a) or Section 15(d), as applicable, of the Securities Exchange Act of 1934, as amended;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6"/>
          <w:szCs w:val="16"/>
          <w:color w:val="auto"/>
        </w:rPr>
        <w:t>/s/ B</w:t>
      </w:r>
      <w:r>
        <w:rPr>
          <w:rFonts w:ascii="Arial" w:cs="Arial" w:eastAsia="Arial" w:hAnsi="Arial"/>
          <w:sz w:val="13"/>
          <w:szCs w:val="13"/>
          <w:color w:val="auto"/>
        </w:rPr>
        <w:t>RUCE</w:t>
      </w:r>
      <w:r>
        <w:rPr>
          <w:rFonts w:ascii="Arial" w:cs="Arial" w:eastAsia="Arial" w:hAnsi="Arial"/>
          <w:sz w:val="16"/>
          <w:szCs w:val="16"/>
          <w:color w:val="auto"/>
        </w:rPr>
        <w:t xml:space="preserve"> D</w:t>
      </w:r>
      <w:r>
        <w:rPr>
          <w:rFonts w:ascii="Arial" w:cs="Arial" w:eastAsia="Arial" w:hAnsi="Arial"/>
          <w:sz w:val="13"/>
          <w:szCs w:val="13"/>
          <w:color w:val="auto"/>
        </w:rPr>
        <w:t>IRKS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Bruce Dirks</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Roman"/>
      <w:start w:val="2"/>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2019-12-06T00:12:01Z</dcterms:created>
  <dcterms:modified xsi:type="dcterms:W3CDTF">2019-12-06T00:12:01Z</dcterms:modified>
</cp:coreProperties>
</file>