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9" w:lineRule="exact"/>
        <w:rPr>
          <w:sz w:val="24"/>
          <w:szCs w:val="24"/>
          <w:color w:val="auto"/>
        </w:rPr>
      </w:pPr>
    </w:p>
    <w:p>
      <w:pPr>
        <w:ind w:left="3660" w:right="1580" w:hanging="3639"/>
        <w:spacing w:after="0" w:line="338" w:lineRule="auto"/>
        <w:tabs>
          <w:tab w:leader="none" w:pos="4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2024.</w:t>
      </w: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540"/>
        <w:spacing w:after="0"/>
        <w:tabs>
          <w:tab w:leader="none" w:pos="6760" w:val="left"/>
          <w:tab w:leader="none" w:pos="7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VIASAT, INC.</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tbl>
      <w:tblPr>
        <w:tblLayout w:type="fixed"/>
        <w:tblInd w:w="1780" w:type="dxa"/>
        <w:tblCellMar>
          <w:top w:w="0" w:type="dxa"/>
          <w:left w:w="0" w:type="dxa"/>
          <w:bottom w:w="0" w:type="dxa"/>
          <w:right w:w="0" w:type="dxa"/>
        </w:tblCellMar>
      </w:tblPr>
      <w:tr>
        <w:trPr>
          <w:trHeight w:val="239"/>
        </w:trPr>
        <w:tc>
          <w:tcPr>
            <w:tcW w:w="4060" w:type="dxa"/>
            <w:vAlign w:val="bottom"/>
          </w:tcPr>
          <w:p>
            <w:pPr>
              <w:jc w:val="center"/>
              <w:ind w:right="1902"/>
              <w:spacing w:after="0"/>
              <w:rPr>
                <w:sz w:val="20"/>
                <w:szCs w:val="20"/>
                <w:color w:val="auto"/>
              </w:rPr>
            </w:pPr>
            <w:r>
              <w:rPr>
                <w:rFonts w:ascii="Arial" w:cs="Arial" w:eastAsia="Arial" w:hAnsi="Arial"/>
                <w:sz w:val="18"/>
                <w:szCs w:val="18"/>
                <w:b w:val="1"/>
                <w:bCs w:val="1"/>
                <w:color w:val="auto"/>
              </w:rPr>
              <w:t>Delaware</w:t>
            </w:r>
          </w:p>
        </w:tc>
        <w:tc>
          <w:tcPr>
            <w:tcW w:w="3200" w:type="dxa"/>
            <w:vAlign w:val="bottom"/>
          </w:tcPr>
          <w:p>
            <w:pPr>
              <w:jc w:val="center"/>
              <w:ind w:left="1922"/>
              <w:spacing w:after="0"/>
              <w:rPr>
                <w:sz w:val="20"/>
                <w:szCs w:val="20"/>
                <w:color w:val="auto"/>
              </w:rPr>
            </w:pPr>
            <w:r>
              <w:rPr>
                <w:rFonts w:ascii="Arial" w:cs="Arial" w:eastAsia="Arial" w:hAnsi="Arial"/>
                <w:sz w:val="18"/>
                <w:szCs w:val="18"/>
                <w:b w:val="1"/>
                <w:bCs w:val="1"/>
                <w:color w:val="auto"/>
                <w:w w:val="99"/>
              </w:rPr>
              <w:t>33-0174996</w:t>
            </w:r>
          </w:p>
        </w:tc>
      </w:tr>
      <w:tr>
        <w:trPr>
          <w:trHeight w:val="162"/>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Identification No.)</w:t>
            </w:r>
          </w:p>
        </w:tc>
      </w:tr>
    </w:tbl>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Carlsbad, California 92009</w:t>
      </w:r>
    </w:p>
    <w:p>
      <w:pPr>
        <w:jc w:val="center"/>
        <w:ind w:right="40"/>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6"/>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8"/>
              </w:rPr>
              <w:t>VSAT</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56" w:lineRule="exact"/>
        <w:rPr>
          <w:sz w:val="24"/>
          <w:szCs w:val="24"/>
          <w:color w:val="auto"/>
        </w:rPr>
      </w:pPr>
    </w:p>
    <w:p>
      <w:pPr>
        <w:jc w:val="both"/>
        <w:ind w:right="260" w:firstLine="509"/>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jc w:val="both"/>
        <w:ind w:right="66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440" w:firstLine="509"/>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right="16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132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July 26, 2024 was 127,779,170.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980" w:type="dxa"/>
            <w:vAlign w:val="bottom"/>
            <w:gridSpan w:val="11"/>
            <w:vMerge w:val="restart"/>
          </w:tcPr>
          <w:p>
            <w:pPr>
              <w:ind w:left="20"/>
              <w:spacing w:after="0"/>
              <w:rPr>
                <w:sz w:val="20"/>
                <w:szCs w:val="20"/>
                <w:color w:val="auto"/>
              </w:rPr>
            </w:pPr>
            <w:r>
              <w:rPr>
                <w:rFonts w:ascii="Arial" w:cs="Arial" w:eastAsia="Arial" w:hAnsi="Arial"/>
                <w:sz w:val="18"/>
                <w:szCs w:val="18"/>
                <w:b w:val="1"/>
                <w:bCs w:val="1"/>
                <w:color w:val="0000FF"/>
                <w:w w:val="98"/>
              </w:rPr>
              <w:t>PART I. FINANCIAL INFORMATION</w:t>
            </w:r>
          </w:p>
        </w:tc>
        <w:tc>
          <w:tcPr>
            <w:tcW w:w="7360" w:type="dxa"/>
            <w:vAlign w:val="bottom"/>
            <w:gridSpan w:val="12"/>
            <w:vMerge w:val="restart"/>
          </w:tcPr>
          <w:p>
            <w:pPr>
              <w:spacing w:after="0"/>
              <w:rPr>
                <w:sz w:val="16"/>
                <w:szCs w:val="16"/>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0000FF"/>
            </w:tcBorders>
            <w:gridSpan w:val="11"/>
            <w:vMerge w:val="continue"/>
          </w:tcPr>
          <w:p>
            <w:pPr>
              <w:spacing w:after="0"/>
              <w:rPr>
                <w:sz w:val="15"/>
                <w:szCs w:val="15"/>
                <w:color w:val="auto"/>
              </w:rPr>
            </w:pPr>
          </w:p>
        </w:tc>
        <w:tc>
          <w:tcPr>
            <w:tcW w:w="7360" w:type="dxa"/>
            <w:vAlign w:val="bottom"/>
            <w:gridSpan w:val="12"/>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99"/>
              </w:rPr>
              <w:t>Item 1. Financial Statements (Unaudited)</w:t>
            </w:r>
          </w:p>
        </w:tc>
        <w:tc>
          <w:tcPr>
            <w:tcW w:w="20" w:type="dxa"/>
            <w:vAlign w:val="bottom"/>
            <w:tcBorders>
              <w:bottom w:val="single" w:sz="8" w:color="0000EE"/>
            </w:tcBorders>
          </w:tcPr>
          <w:p>
            <w:pPr>
              <w:spacing w:after="0"/>
              <w:rPr>
                <w:sz w:val="18"/>
                <w:szCs w:val="18"/>
                <w:color w:val="auto"/>
              </w:rPr>
            </w:pPr>
          </w:p>
        </w:tc>
        <w:tc>
          <w:tcPr>
            <w:tcW w:w="702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3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52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and Comprehensive Income (Loss)</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780" w:type="dxa"/>
            <w:vAlign w:val="bottom"/>
            <w:tcBorders>
              <w:top w:val="single" w:sz="8" w:color="0000FF"/>
            </w:tcBorders>
            <w:gridSpan w:val="4"/>
          </w:tcPr>
          <w:p>
            <w:pPr>
              <w:spacing w:after="0"/>
              <w:rPr>
                <w:sz w:val="18"/>
                <w:szCs w:val="18"/>
                <w:color w:val="auto"/>
              </w:rPr>
            </w:pPr>
          </w:p>
        </w:tc>
        <w:tc>
          <w:tcPr>
            <w:tcW w:w="292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614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7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8"/>
                <w:szCs w:val="18"/>
                <w:color w:val="auto"/>
              </w:rPr>
            </w:pPr>
          </w:p>
        </w:tc>
        <w:tc>
          <w:tcPr>
            <w:tcW w:w="50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0000FF"/>
            </w:tcBorders>
            <w:gridSpan w:val="22"/>
          </w:tcPr>
          <w:p>
            <w:pPr>
              <w:ind w:left="20"/>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9"/>
              </w:rPr>
              <w:t>Item 3. Quantitative and Qualitative Disclosures About Market Risk</w:t>
            </w:r>
          </w:p>
        </w:tc>
        <w:tc>
          <w:tcPr>
            <w:tcW w:w="50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60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rPr>
              <w:t>Item 4.</w:t>
            </w:r>
          </w:p>
        </w:tc>
        <w:tc>
          <w:tcPr>
            <w:tcW w:w="202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70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10340" w:type="dxa"/>
            <w:vAlign w:val="bottom"/>
            <w:gridSpan w:val="23"/>
          </w:tcPr>
          <w:p>
            <w:pPr>
              <w:ind w:left="20"/>
              <w:spacing w:after="0"/>
              <w:rPr>
                <w:sz w:val="20"/>
                <w:szCs w:val="20"/>
                <w:color w:val="auto"/>
              </w:rPr>
            </w:pPr>
            <w:r>
              <w:rPr>
                <w:rFonts w:ascii="Arial" w:cs="Arial" w:eastAsia="Arial" w:hAnsi="Arial"/>
                <w:sz w:val="18"/>
                <w:szCs w:val="18"/>
                <w:b w:val="1"/>
                <w:bCs w:val="1"/>
                <w:color w:val="0000FF"/>
              </w:rPr>
              <w:t>PART II. OTHER INFORMATION</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rPr>
              <w:t>Item 1.</w:t>
            </w:r>
          </w:p>
        </w:tc>
        <w:tc>
          <w:tcPr>
            <w:tcW w:w="1520" w:type="dxa"/>
            <w:vAlign w:val="bottom"/>
            <w:tcBorders>
              <w:top w:val="single" w:sz="8" w:color="0000FF"/>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Legal Proceedings</w:t>
            </w:r>
          </w:p>
        </w:tc>
        <w:tc>
          <w:tcPr>
            <w:tcW w:w="560" w:type="dxa"/>
            <w:vAlign w:val="bottom"/>
            <w:tcBorders>
              <w:top w:val="single" w:sz="8" w:color="0000FF"/>
            </w:tcBorders>
            <w:gridSpan w:val="3"/>
          </w:tcPr>
          <w:p>
            <w:pPr>
              <w:spacing w:after="0"/>
              <w:rPr>
                <w:sz w:val="18"/>
                <w:szCs w:val="18"/>
                <w:color w:val="auto"/>
              </w:rPr>
            </w:pPr>
          </w:p>
        </w:tc>
        <w:tc>
          <w:tcPr>
            <w:tcW w:w="766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10340" w:type="dxa"/>
            <w:vAlign w:val="bottom"/>
            <w:gridSpan w:val="23"/>
          </w:tcPr>
          <w:p>
            <w:pPr>
              <w:ind w:left="20"/>
              <w:spacing w:after="0"/>
              <w:rPr>
                <w:sz w:val="20"/>
                <w:szCs w:val="20"/>
                <w:color w:val="auto"/>
              </w:rPr>
            </w:pPr>
            <w:r>
              <w:rPr>
                <w:rFonts w:ascii="Arial" w:cs="Arial" w:eastAsia="Arial" w:hAnsi="Arial"/>
                <w:sz w:val="18"/>
                <w:szCs w:val="18"/>
                <w:color w:val="0000FF"/>
              </w:rPr>
              <w:t>Item 1A. 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ind w:left="20"/>
              <w:spacing w:after="0"/>
              <w:rPr>
                <w:sz w:val="20"/>
                <w:szCs w:val="20"/>
                <w:color w:val="auto"/>
              </w:rPr>
            </w:pPr>
            <w:r>
              <w:rPr>
                <w:rFonts w:ascii="Arial" w:cs="Arial" w:eastAsia="Arial" w:hAnsi="Arial"/>
                <w:sz w:val="18"/>
                <w:szCs w:val="18"/>
                <w:color w:val="0000FF"/>
              </w:rPr>
              <w:t>Item 5.</w:t>
            </w:r>
          </w:p>
        </w:tc>
        <w:tc>
          <w:tcPr>
            <w:tcW w:w="9740" w:type="dxa"/>
            <w:vAlign w:val="bottom"/>
            <w:gridSpan w:val="21"/>
          </w:tcPr>
          <w:p>
            <w:pPr>
              <w:ind w:left="20"/>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6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rPr>
              <w:t>Item 6.</w:t>
            </w:r>
          </w:p>
        </w:tc>
        <w:tc>
          <w:tcPr>
            <w:tcW w:w="66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18"/>
                <w:szCs w:val="18"/>
                <w:color w:val="auto"/>
              </w:rPr>
            </w:pPr>
          </w:p>
        </w:tc>
        <w:tc>
          <w:tcPr>
            <w:tcW w:w="8320" w:type="dxa"/>
            <w:vAlign w:val="bottom"/>
            <w:gridSpan w:val="1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10340" w:type="dxa"/>
            <w:vAlign w:val="bottom"/>
            <w:gridSpan w:val="23"/>
          </w:tcPr>
          <w:p>
            <w:pPr>
              <w:ind w:left="20"/>
              <w:spacing w:after="0"/>
              <w:rPr>
                <w:sz w:val="20"/>
                <w:szCs w:val="20"/>
                <w:color w:val="auto"/>
              </w:rPr>
            </w:pPr>
            <w:r>
              <w:rPr>
                <w:rFonts w:ascii="Arial" w:cs="Arial" w:eastAsia="Arial" w:hAnsi="Arial"/>
                <w:sz w:val="18"/>
                <w:szCs w:val="18"/>
                <w:color w:val="0000FF"/>
              </w:rPr>
              <w:t>Signatures</w:t>
            </w: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73"/>
        </w:trPr>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540" w:type="dxa"/>
            <w:vAlign w:val="bottom"/>
            <w:gridSpan w:val="18"/>
          </w:tcPr>
          <w:p>
            <w:pPr>
              <w:jc w:val="right"/>
              <w:ind w:right="17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r>
      <w:tr>
        <w:trPr>
          <w:trHeight w:val="185"/>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183"/>
        </w:trPr>
        <w:tc>
          <w:tcPr>
            <w:tcW w:w="7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24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1,811,599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1,901,033</w:t>
            </w: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694,889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678,210</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317,878</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490,784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581,783</w:t>
            </w:r>
          </w:p>
        </w:tc>
        <w:tc>
          <w:tcPr>
            <w:tcW w:w="100" w:type="dxa"/>
            <w:vAlign w:val="bottom"/>
          </w:tcPr>
          <w:p>
            <w:pPr>
              <w:spacing w:after="0"/>
              <w:rPr>
                <w:sz w:val="19"/>
                <w:szCs w:val="19"/>
                <w:color w:val="auto"/>
              </w:rPr>
            </w:pPr>
          </w:p>
        </w:tc>
      </w:tr>
      <w:tr>
        <w:trPr>
          <w:trHeight w:val="223"/>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3,327,101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3,478,904</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equipment and satellites, net</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7,531,809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7,557,206</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380,169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393,077</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acquired intangible assets, net</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2,475,492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2,544,467</w:t>
            </w: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1,621,473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1,621,763</w:t>
            </w:r>
          </w:p>
        </w:tc>
        <w:tc>
          <w:tcPr>
            <w:tcW w:w="100" w:type="dxa"/>
            <w:vAlign w:val="bottom"/>
          </w:tcPr>
          <w:p>
            <w:pPr>
              <w:spacing w:after="0"/>
              <w:rPr>
                <w:sz w:val="19"/>
                <w:szCs w:val="19"/>
                <w:color w:val="auto"/>
              </w:rPr>
            </w:pPr>
          </w:p>
        </w:tc>
      </w:tr>
      <w:tr>
        <w:trPr>
          <w:trHeight w:val="23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751,825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16,087,869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16,329,364</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ind w:left="24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287,206</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791,102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950,621</w:t>
            </w:r>
          </w:p>
        </w:tc>
        <w:tc>
          <w:tcPr>
            <w:tcW w:w="100" w:type="dxa"/>
            <w:vAlign w:val="bottom"/>
          </w:tcPr>
          <w:p>
            <w:pPr>
              <w:spacing w:after="0"/>
              <w:rPr>
                <w:sz w:val="19"/>
                <w:szCs w:val="19"/>
                <w:color w:val="auto"/>
              </w:rPr>
            </w:pPr>
          </w:p>
        </w:tc>
      </w:tr>
      <w:tr>
        <w:trPr>
          <w:trHeight w:val="229"/>
        </w:trPr>
        <w:tc>
          <w:tcPr>
            <w:tcW w:w="7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57,764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1,079,748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1,295,881</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4,367,667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4,354,714</w:t>
            </w: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debt</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2,761,181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2,774,521</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369,342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379,644</w:t>
            </w:r>
          </w:p>
        </w:tc>
        <w:tc>
          <w:tcPr>
            <w:tcW w:w="100" w:type="dxa"/>
            <w:vAlign w:val="bottom"/>
          </w:tcPr>
          <w:p>
            <w:pPr>
              <w:spacing w:after="0"/>
              <w:rPr>
                <w:sz w:val="19"/>
                <w:szCs w:val="19"/>
                <w:color w:val="auto"/>
              </w:rPr>
            </w:pPr>
          </w:p>
        </w:tc>
      </w:tr>
      <w:tr>
        <w:trPr>
          <w:trHeight w:val="22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2,422,278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11,000,216</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11,256,860</w:t>
            </w:r>
          </w:p>
        </w:tc>
        <w:tc>
          <w:tcPr>
            <w:tcW w:w="100" w:type="dxa"/>
            <w:vAlign w:val="bottom"/>
          </w:tcPr>
          <w:p>
            <w:pPr>
              <w:spacing w:after="0"/>
              <w:rPr>
                <w:sz w:val="19"/>
                <w:szCs w:val="19"/>
                <w:color w:val="auto"/>
              </w:rPr>
            </w:pPr>
          </w:p>
        </w:tc>
      </w:tr>
      <w:tr>
        <w:trPr>
          <w:trHeight w:val="22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Viasat, Inc. stockholders’ equity</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Paid-in capital</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4,845,072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4,797,253</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216,520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249,432</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(32,251 )</w:t>
            </w:r>
          </w:p>
        </w:tc>
        <w:tc>
          <w:tcPr>
            <w:tcW w:w="3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(21,268 )</w:t>
            </w:r>
          </w:p>
        </w:tc>
      </w:tr>
      <w:tr>
        <w:trPr>
          <w:trHeight w:val="223"/>
        </w:trPr>
        <w:tc>
          <w:tcPr>
            <w:tcW w:w="72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Viasat, Inc. stockholders’ equity</w:t>
            </w: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5,029,354</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5,025,430</w:t>
            </w:r>
          </w:p>
        </w:tc>
        <w:tc>
          <w:tcPr>
            <w:tcW w:w="100" w:type="dxa"/>
            <w:vAlign w:val="bottom"/>
            <w:tcBorders>
              <w:top w:val="single" w:sz="8" w:color="CFF0FC"/>
            </w:tcBorders>
          </w:tcPr>
          <w:p>
            <w:pPr>
              <w:spacing w:after="0"/>
              <w:rPr>
                <w:sz w:val="19"/>
                <w:szCs w:val="19"/>
                <w:color w:val="auto"/>
              </w:rPr>
            </w:pPr>
          </w:p>
        </w:tc>
      </w:tr>
      <w:tr>
        <w:trPr>
          <w:trHeight w:val="23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 in subsidiary</w:t>
            </w: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58,299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5,087,653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5,072,504</w:t>
            </w:r>
          </w:p>
        </w:tc>
        <w:tc>
          <w:tcPr>
            <w:tcW w:w="100" w:type="dxa"/>
            <w:vAlign w:val="bottom"/>
          </w:tcPr>
          <w:p>
            <w:pPr>
              <w:spacing w:after="0"/>
              <w:rPr>
                <w:sz w:val="19"/>
                <w:szCs w:val="19"/>
                <w:color w:val="auto"/>
              </w:rPr>
            </w:pPr>
          </w:p>
        </w:tc>
      </w:tr>
      <w:tr>
        <w:trPr>
          <w:trHeight w:val="263"/>
        </w:trPr>
        <w:tc>
          <w:tcPr>
            <w:tcW w:w="7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16,087,869</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16,329,364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-3608070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-2700020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-1816735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-633730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-334010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gridSpan w:val="2"/>
          </w:tcPr>
          <w:p>
            <w:pPr>
              <w:jc w:val="right"/>
              <w:ind w:right="848"/>
              <w:spacing w:after="0"/>
              <w:rPr>
                <w:sz w:val="20"/>
                <w:szCs w:val="20"/>
                <w:color w:val="auto"/>
              </w:rPr>
            </w:pPr>
            <w:r>
              <w:rPr>
                <w:rFonts w:ascii="Arial" w:cs="Arial" w:eastAsia="Arial" w:hAnsi="Arial"/>
                <w:sz w:val="13"/>
                <w:szCs w:val="13"/>
                <w:b w:val="1"/>
                <w:bCs w:val="1"/>
                <w:color w:val="auto"/>
              </w:rPr>
              <w:t>June 30, 2024</w:t>
            </w:r>
          </w:p>
        </w:tc>
        <w:tc>
          <w:tcPr>
            <w:tcW w:w="540" w:type="dxa"/>
            <w:vAlign w:val="bottom"/>
          </w:tcPr>
          <w:p>
            <w:pPr>
              <w:spacing w:after="0"/>
              <w:rPr>
                <w:sz w:val="13"/>
                <w:szCs w:val="13"/>
                <w:color w:val="auto"/>
              </w:rPr>
            </w:pPr>
          </w:p>
        </w:tc>
        <w:tc>
          <w:tcPr>
            <w:tcW w:w="1520" w:type="dxa"/>
            <w:vAlign w:val="bottom"/>
          </w:tcPr>
          <w:p>
            <w:pPr>
              <w:jc w:val="right"/>
              <w:ind w:right="548"/>
              <w:spacing w:after="0"/>
              <w:rPr>
                <w:sz w:val="20"/>
                <w:szCs w:val="20"/>
                <w:color w:val="auto"/>
              </w:rPr>
            </w:pPr>
            <w:r>
              <w:rPr>
                <w:rFonts w:ascii="Arial" w:cs="Arial" w:eastAsia="Arial" w:hAnsi="Arial"/>
                <w:sz w:val="13"/>
                <w:szCs w:val="13"/>
                <w:b w:val="1"/>
                <w:bCs w:val="1"/>
                <w:color w:val="auto"/>
              </w:rPr>
              <w:t>June 30, 2023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75"/>
              </w:rPr>
              <w:t>except</w:t>
            </w:r>
          </w:p>
        </w:tc>
        <w:tc>
          <w:tcPr>
            <w:tcW w:w="2060" w:type="dxa"/>
            <w:vAlign w:val="bottom"/>
            <w:tcBorders>
              <w:top w:val="single" w:sz="8" w:color="auto"/>
            </w:tcBorders>
            <w:gridSpan w:val="2"/>
          </w:tcPr>
          <w:p>
            <w:pPr>
              <w:jc w:val="right"/>
              <w:ind w:right="1008"/>
              <w:spacing w:after="0"/>
              <w:rPr>
                <w:sz w:val="20"/>
                <w:szCs w:val="20"/>
                <w:color w:val="auto"/>
              </w:rPr>
            </w:pPr>
            <w:r>
              <w:rPr>
                <w:rFonts w:ascii="Arial" w:cs="Arial" w:eastAsia="Arial" w:hAnsi="Arial"/>
                <w:sz w:val="13"/>
                <w:szCs w:val="13"/>
                <w:b w:val="1"/>
                <w:bCs w:val="1"/>
                <w:color w:val="auto"/>
              </w:rPr>
              <w:t>per share data)</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0"/>
              <w:spacing w:after="0"/>
              <w:rPr>
                <w:sz w:val="20"/>
                <w:szCs w:val="20"/>
                <w:color w:val="auto"/>
              </w:rPr>
            </w:pPr>
            <w:r>
              <w:rPr>
                <w:rFonts w:ascii="Arial" w:cs="Arial" w:eastAsia="Arial" w:hAnsi="Arial"/>
                <w:sz w:val="14"/>
                <w:szCs w:val="14"/>
                <w:color w:val="auto"/>
              </w:rPr>
              <w:t>Product revenues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305,739</w:t>
            </w:r>
          </w:p>
        </w:tc>
        <w:tc>
          <w:tcPr>
            <w:tcW w:w="260" w:type="dxa"/>
            <w:vAlign w:val="bottom"/>
          </w:tcPr>
          <w:p>
            <w:pPr>
              <w:spacing w:after="0"/>
              <w:rPr>
                <w:sz w:val="16"/>
                <w:szCs w:val="16"/>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236,372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 revenues</w:t>
            </w:r>
          </w:p>
        </w:tc>
        <w:tc>
          <w:tcPr>
            <w:tcW w:w="36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820,721</w:t>
            </w:r>
          </w:p>
        </w:tc>
        <w:tc>
          <w:tcPr>
            <w:tcW w:w="2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543,419</w:t>
            </w:r>
          </w:p>
        </w:tc>
        <w:tc>
          <w:tcPr>
            <w:tcW w:w="2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1,126,460</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779,791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0"/>
              <w:spacing w:after="0"/>
              <w:rPr>
                <w:sz w:val="20"/>
                <w:szCs w:val="20"/>
                <w:color w:val="auto"/>
              </w:rPr>
            </w:pPr>
            <w:r>
              <w:rPr>
                <w:rFonts w:ascii="Arial" w:cs="Arial" w:eastAsia="Arial" w:hAnsi="Arial"/>
                <w:sz w:val="14"/>
                <w:szCs w:val="14"/>
                <w:color w:val="auto"/>
              </w:rPr>
              <w:t>Cost of product revenues</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194,158</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197,078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 of service revenues</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516,667</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347,833</w:t>
            </w: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0"/>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251,122</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219,581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Independent research and development</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38,563</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29,004</w:t>
            </w: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66,215</w:t>
            </w: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27,811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from operations</w:t>
            </w:r>
          </w:p>
        </w:tc>
        <w:tc>
          <w:tcPr>
            <w:tcW w:w="36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59,735</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(41,516 )</w:t>
            </w:r>
          </w:p>
        </w:tc>
        <w:tc>
          <w:tcPr>
            <w:tcW w:w="0" w:type="dxa"/>
            <w:vAlign w:val="bottom"/>
          </w:tcPr>
          <w:p>
            <w:pPr>
              <w:spacing w:after="0"/>
              <w:rPr>
                <w:sz w:val="1"/>
                <w:szCs w:val="1"/>
                <w:color w:val="auto"/>
              </w:rPr>
            </w:pP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22,792</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19,189</w:t>
            </w: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6"/>
                <w:szCs w:val="16"/>
                <w:color w:val="auto"/>
              </w:rPr>
            </w:pP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(105,776 )</w:t>
            </w:r>
          </w:p>
        </w:tc>
        <w:tc>
          <w:tcPr>
            <w:tcW w:w="540" w:type="dxa"/>
            <w:vAlign w:val="bottom"/>
          </w:tcPr>
          <w:p>
            <w:pPr>
              <w:spacing w:after="0"/>
              <w:rPr>
                <w:sz w:val="16"/>
                <w:szCs w:val="16"/>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(55,939 )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before income taxes</w:t>
            </w:r>
          </w:p>
        </w:tc>
        <w:tc>
          <w:tcPr>
            <w:tcW w:w="36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(23,249 )</w:t>
            </w:r>
          </w:p>
        </w:tc>
        <w:tc>
          <w:tcPr>
            <w:tcW w:w="54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(78,266 )</w:t>
            </w:r>
          </w:p>
        </w:tc>
        <w:tc>
          <w:tcPr>
            <w:tcW w:w="0" w:type="dxa"/>
            <w:vAlign w:val="bottom"/>
          </w:tcPr>
          <w:p>
            <w:pPr>
              <w:spacing w:after="0"/>
              <w:rPr>
                <w:sz w:val="1"/>
                <w:szCs w:val="1"/>
                <w:color w:val="auto"/>
              </w:rPr>
            </w:pP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360" w:type="dxa"/>
            <w:vAlign w:val="bottom"/>
          </w:tcPr>
          <w:p>
            <w:pPr>
              <w:spacing w:after="0"/>
              <w:rPr>
                <w:sz w:val="16"/>
                <w:szCs w:val="16"/>
                <w:color w:val="auto"/>
              </w:rPr>
            </w:pP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(1,184 )</w:t>
            </w:r>
          </w:p>
        </w:tc>
        <w:tc>
          <w:tcPr>
            <w:tcW w:w="5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533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Equity in income (loss) of unconsolidated affiliate, net</w:t>
            </w:r>
          </w:p>
        </w:tc>
        <w:tc>
          <w:tcPr>
            <w:tcW w:w="36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2,746</w:t>
            </w:r>
          </w:p>
        </w:tc>
        <w:tc>
          <w:tcPr>
            <w:tcW w:w="2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831</w:t>
            </w:r>
          </w:p>
        </w:tc>
        <w:tc>
          <w:tcPr>
            <w:tcW w:w="2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spacing w:after="0"/>
              <w:rPr>
                <w:sz w:val="15"/>
                <w:szCs w:val="15"/>
                <w:color w:val="auto"/>
              </w:rPr>
            </w:pP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(21,687 )</w:t>
            </w:r>
          </w:p>
        </w:tc>
        <w:tc>
          <w:tcPr>
            <w:tcW w:w="540" w:type="dxa"/>
            <w:vAlign w:val="bottom"/>
          </w:tcPr>
          <w:p>
            <w:pPr>
              <w:spacing w:after="0"/>
              <w:rPr>
                <w:sz w:val="15"/>
                <w:szCs w:val="15"/>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(76,902 )</w:t>
            </w:r>
          </w:p>
        </w:tc>
        <w:tc>
          <w:tcPr>
            <w:tcW w:w="0" w:type="dxa"/>
            <w:vAlign w:val="bottom"/>
          </w:tcPr>
          <w:p>
            <w:pPr>
              <w:spacing w:after="0"/>
              <w:rPr>
                <w:sz w:val="1"/>
                <w:szCs w:val="1"/>
                <w:color w:val="auto"/>
              </w:rPr>
            </w:pPr>
          </w:p>
        </w:tc>
      </w:tr>
      <w:tr>
        <w:trPr>
          <w:trHeight w:val="166"/>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net income (loss) attributable to</w:t>
            </w:r>
          </w:p>
        </w:tc>
        <w:tc>
          <w:tcPr>
            <w:tcW w:w="360" w:type="dxa"/>
            <w:vAlign w:val="bottom"/>
            <w:shd w:val="clear" w:color="auto" w:fill="CFF0FC"/>
          </w:tcPr>
          <w:p>
            <w:pPr>
              <w:spacing w:after="0"/>
              <w:rPr>
                <w:sz w:val="14"/>
                <w:szCs w:val="14"/>
                <w:color w:val="auto"/>
              </w:rPr>
            </w:pPr>
          </w:p>
        </w:tc>
        <w:tc>
          <w:tcPr>
            <w:tcW w:w="1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11,225</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noncontrolling interest, net of tax</w:t>
            </w:r>
          </w:p>
        </w:tc>
        <w:tc>
          <w:tcPr>
            <w:tcW w:w="360" w:type="dxa"/>
            <w:vAlign w:val="bottom"/>
            <w:tcBorders>
              <w:bottom w:val="single" w:sz="8" w:color="auto"/>
            </w:tcBorders>
            <w:shd w:val="clear" w:color="auto" w:fill="CFF0FC"/>
          </w:tcPr>
          <w:p>
            <w:pPr>
              <w:spacing w:after="0"/>
              <w:rPr>
                <w:sz w:val="14"/>
                <w:szCs w:val="14"/>
                <w:color w:val="auto"/>
              </w:rPr>
            </w:pPr>
          </w:p>
        </w:tc>
        <w:tc>
          <w:tcPr>
            <w:tcW w:w="17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60" w:type="dxa"/>
            <w:vAlign w:val="bottom"/>
          </w:tcPr>
          <w:p>
            <w:pPr>
              <w:ind w:left="20"/>
              <w:spacing w:after="0"/>
              <w:rPr>
                <w:sz w:val="20"/>
                <w:szCs w:val="20"/>
                <w:color w:val="auto"/>
              </w:rPr>
            </w:pPr>
            <w:r>
              <w:rPr>
                <w:rFonts w:ascii="Arial" w:cs="Arial" w:eastAsia="Arial" w:hAnsi="Arial"/>
                <w:sz w:val="14"/>
                <w:szCs w:val="14"/>
                <w:color w:val="auto"/>
              </w:rPr>
              <w:t>Net income (loss) attributable to Viasat, Inc.</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(32,912 )</w:t>
            </w: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(77,004 )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Basic net income (loss) per share attributable</w:t>
            </w:r>
          </w:p>
        </w:tc>
        <w:tc>
          <w:tcPr>
            <w:tcW w:w="3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to Viasat, Inc. common stockholders: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9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(0.26 )</w:t>
            </w:r>
          </w:p>
        </w:tc>
        <w:tc>
          <w:tcPr>
            <w:tcW w:w="540" w:type="dxa"/>
            <w:vAlign w:val="bottom"/>
            <w:shd w:val="clear" w:color="auto" w:fill="CFF0FC"/>
          </w:tcPr>
          <w:p>
            <w:pPr>
              <w:jc w:val="right"/>
              <w:ind w:right="369"/>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(0.83 )</w:t>
            </w:r>
          </w:p>
        </w:tc>
        <w:tc>
          <w:tcPr>
            <w:tcW w:w="0" w:type="dxa"/>
            <w:vAlign w:val="bottom"/>
          </w:tcPr>
          <w:p>
            <w:pPr>
              <w:spacing w:after="0"/>
              <w:rPr>
                <w:sz w:val="1"/>
                <w:szCs w:val="1"/>
                <w:color w:val="auto"/>
              </w:rPr>
            </w:pPr>
          </w:p>
        </w:tc>
      </w:tr>
      <w:tr>
        <w:trPr>
          <w:trHeight w:val="166"/>
        </w:trPr>
        <w:tc>
          <w:tcPr>
            <w:tcW w:w="6560" w:type="dxa"/>
            <w:vAlign w:val="bottom"/>
          </w:tcPr>
          <w:p>
            <w:pPr>
              <w:ind w:left="20"/>
              <w:spacing w:after="0"/>
              <w:rPr>
                <w:sz w:val="20"/>
                <w:szCs w:val="20"/>
                <w:color w:val="auto"/>
              </w:rPr>
            </w:pPr>
            <w:r>
              <w:rPr>
                <w:rFonts w:ascii="Arial" w:cs="Arial" w:eastAsia="Arial" w:hAnsi="Arial"/>
                <w:sz w:val="14"/>
                <w:szCs w:val="14"/>
                <w:color w:val="auto"/>
              </w:rPr>
              <w:t>Diluted net income (loss) per share attributable</w:t>
            </w: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140"/>
              <w:spacing w:after="0"/>
              <w:rPr>
                <w:sz w:val="20"/>
                <w:szCs w:val="20"/>
                <w:color w:val="auto"/>
              </w:rPr>
            </w:pPr>
            <w:r>
              <w:rPr>
                <w:rFonts w:ascii="Arial" w:cs="Arial" w:eastAsia="Arial" w:hAnsi="Arial"/>
                <w:sz w:val="14"/>
                <w:szCs w:val="14"/>
                <w:color w:val="auto"/>
              </w:rPr>
              <w:t>to Viasat, Inc. common stockholders: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(0.26 )</w:t>
            </w: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(0.83 )</w:t>
            </w:r>
          </w:p>
        </w:tc>
        <w:tc>
          <w:tcPr>
            <w:tcW w:w="0" w:type="dxa"/>
            <w:vAlign w:val="bottom"/>
          </w:tcPr>
          <w:p>
            <w:pPr>
              <w:spacing w:after="0"/>
              <w:rPr>
                <w:sz w:val="1"/>
                <w:szCs w:val="1"/>
                <w:color w:val="auto"/>
              </w:rPr>
            </w:pPr>
          </w:p>
        </w:tc>
      </w:tr>
      <w:tr>
        <w:trPr>
          <w:trHeight w:val="166"/>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used in computing basic net</w:t>
            </w:r>
          </w:p>
        </w:tc>
        <w:tc>
          <w:tcPr>
            <w:tcW w:w="36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income (loss) per share</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126,580</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93,106</w:t>
            </w: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560" w:type="dxa"/>
            <w:vAlign w:val="bottom"/>
          </w:tcPr>
          <w:p>
            <w:pPr>
              <w:ind w:left="200"/>
              <w:spacing w:after="0"/>
              <w:rPr>
                <w:sz w:val="20"/>
                <w:szCs w:val="20"/>
                <w:color w:val="auto"/>
              </w:rPr>
            </w:pPr>
            <w:r>
              <w:rPr>
                <w:rFonts w:ascii="Arial" w:cs="Arial" w:eastAsia="Arial" w:hAnsi="Arial"/>
                <w:sz w:val="14"/>
                <w:szCs w:val="14"/>
                <w:color w:val="auto"/>
              </w:rPr>
              <w:t>Shares used in computing diluted net</w:t>
            </w: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320"/>
              <w:spacing w:after="0"/>
              <w:rPr>
                <w:sz w:val="20"/>
                <w:szCs w:val="20"/>
                <w:color w:val="auto"/>
              </w:rPr>
            </w:pPr>
            <w:r>
              <w:rPr>
                <w:rFonts w:ascii="Arial" w:cs="Arial" w:eastAsia="Arial" w:hAnsi="Arial"/>
                <w:sz w:val="14"/>
                <w:szCs w:val="14"/>
                <w:color w:val="auto"/>
              </w:rPr>
              <w:t>income (loss) per share</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126,580</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93,106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 (loss):</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(21,687 )</w:t>
            </w: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(76,902 )</w:t>
            </w: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6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56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adjustments, net</w:t>
            </w: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320"/>
              <w:spacing w:after="0"/>
              <w:rPr>
                <w:sz w:val="20"/>
                <w:szCs w:val="20"/>
                <w:color w:val="auto"/>
              </w:rPr>
            </w:pPr>
            <w:r>
              <w:rPr>
                <w:rFonts w:ascii="Arial" w:cs="Arial" w:eastAsia="Arial" w:hAnsi="Arial"/>
                <w:sz w:val="14"/>
                <w:szCs w:val="14"/>
                <w:color w:val="auto"/>
              </w:rPr>
              <w:t>of tax</w:t>
            </w:r>
          </w:p>
        </w:tc>
        <w:tc>
          <w:tcPr>
            <w:tcW w:w="360" w:type="dxa"/>
            <w:vAlign w:val="bottom"/>
          </w:tcPr>
          <w:p>
            <w:pPr>
              <w:spacing w:after="0"/>
              <w:rPr>
                <w:sz w:val="16"/>
                <w:szCs w:val="16"/>
                <w:color w:val="auto"/>
              </w:rPr>
            </w:pP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(9,895 )</w:t>
            </w:r>
          </w:p>
        </w:tc>
        <w:tc>
          <w:tcPr>
            <w:tcW w:w="5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8,527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(loss) on hedging, net of tax</w:t>
            </w:r>
          </w:p>
        </w:tc>
        <w:tc>
          <w:tcPr>
            <w:tcW w:w="36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(1,088 )</w:t>
            </w:r>
          </w:p>
        </w:tc>
        <w:tc>
          <w:tcPr>
            <w:tcW w:w="5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6,297</w:t>
            </w: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6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60" w:type="dxa"/>
            <w:vAlign w:val="bottom"/>
          </w:tcPr>
          <w:p>
            <w:pPr>
              <w:spacing w:after="0"/>
              <w:rPr>
                <w:sz w:val="15"/>
                <w:szCs w:val="15"/>
                <w:color w:val="auto"/>
              </w:rPr>
            </w:pPr>
          </w:p>
        </w:tc>
        <w:tc>
          <w:tcPr>
            <w:tcW w:w="1980" w:type="dxa"/>
            <w:vAlign w:val="bottom"/>
            <w:gridSpan w:val="2"/>
          </w:tcPr>
          <w:p>
            <w:pPr>
              <w:jc w:val="right"/>
              <w:ind w:right="148"/>
              <w:spacing w:after="0"/>
              <w:rPr>
                <w:sz w:val="20"/>
                <w:szCs w:val="20"/>
                <w:color w:val="auto"/>
              </w:rPr>
            </w:pPr>
            <w:r>
              <w:rPr>
                <w:rFonts w:ascii="Arial" w:cs="Arial" w:eastAsia="Arial" w:hAnsi="Arial"/>
                <w:sz w:val="14"/>
                <w:szCs w:val="14"/>
                <w:color w:val="auto"/>
              </w:rPr>
              <w:t>(10,983 )</w:t>
            </w:r>
          </w:p>
        </w:tc>
        <w:tc>
          <w:tcPr>
            <w:tcW w:w="5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14,824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 (loss)</w:t>
            </w:r>
          </w:p>
        </w:tc>
        <w:tc>
          <w:tcPr>
            <w:tcW w:w="36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(32,670 )</w:t>
            </w:r>
          </w:p>
        </w:tc>
        <w:tc>
          <w:tcPr>
            <w:tcW w:w="54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(62,078 )</w:t>
            </w:r>
          </w:p>
        </w:tc>
        <w:tc>
          <w:tcPr>
            <w:tcW w:w="0" w:type="dxa"/>
            <w:vAlign w:val="bottom"/>
          </w:tcPr>
          <w:p>
            <w:pPr>
              <w:spacing w:after="0"/>
              <w:rPr>
                <w:sz w:val="1"/>
                <w:szCs w:val="1"/>
                <w:color w:val="auto"/>
              </w:rPr>
            </w:pPr>
          </w:p>
        </w:tc>
      </w:tr>
      <w:tr>
        <w:trPr>
          <w:trHeight w:val="166"/>
        </w:trPr>
        <w:tc>
          <w:tcPr>
            <w:tcW w:w="6560" w:type="dxa"/>
            <w:vAlign w:val="bottom"/>
          </w:tcPr>
          <w:p>
            <w:pPr>
              <w:ind w:left="20"/>
              <w:spacing w:after="0"/>
              <w:rPr>
                <w:sz w:val="20"/>
                <w:szCs w:val="20"/>
                <w:color w:val="auto"/>
              </w:rPr>
            </w:pPr>
            <w:r>
              <w:rPr>
                <w:rFonts w:ascii="Arial" w:cs="Arial" w:eastAsia="Arial" w:hAnsi="Arial"/>
                <w:sz w:val="14"/>
                <w:szCs w:val="14"/>
                <w:color w:val="auto"/>
              </w:rPr>
              <w:t>Less: comprehensive income (loss) attributable</w:t>
            </w:r>
          </w:p>
        </w:tc>
        <w:tc>
          <w:tcPr>
            <w:tcW w:w="36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11,225</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ind w:left="140"/>
              <w:spacing w:after="0"/>
              <w:rPr>
                <w:sz w:val="20"/>
                <w:szCs w:val="20"/>
                <w:color w:val="auto"/>
              </w:rPr>
            </w:pPr>
            <w:r>
              <w:rPr>
                <w:rFonts w:ascii="Arial" w:cs="Arial" w:eastAsia="Arial" w:hAnsi="Arial"/>
                <w:sz w:val="14"/>
                <w:szCs w:val="14"/>
                <w:color w:val="auto"/>
              </w:rPr>
              <w:t>to noncontrolling interest, net of tax</w:t>
            </w: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6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color w:val="auto"/>
              </w:rPr>
              <w:t>Comprehensive income (loss) attributable to</w:t>
            </w:r>
          </w:p>
        </w:tc>
        <w:tc>
          <w:tcPr>
            <w:tcW w:w="360" w:type="dxa"/>
            <w:vAlign w:val="bottom"/>
            <w:vMerge w:val="restart"/>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980" w:type="dxa"/>
            <w:vAlign w:val="bottom"/>
            <w:gridSpan w:val="2"/>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(43,895 )</w:t>
            </w:r>
          </w:p>
        </w:tc>
        <w:tc>
          <w:tcPr>
            <w:tcW w:w="540" w:type="dxa"/>
            <w:vAlign w:val="bottom"/>
            <w:vMerge w:val="restart"/>
            <w:shd w:val="clear" w:color="auto" w:fill="CFF0FC"/>
          </w:tcPr>
          <w:p>
            <w:pPr>
              <w:jc w:val="right"/>
              <w:ind w:right="369"/>
              <w:spacing w:after="0"/>
              <w:rPr>
                <w:sz w:val="20"/>
                <w:szCs w:val="20"/>
                <w:color w:val="auto"/>
              </w:rPr>
            </w:pPr>
            <w:r>
              <w:rPr>
                <w:rFonts w:ascii="Arial" w:cs="Arial" w:eastAsia="Arial" w:hAnsi="Arial"/>
                <w:sz w:val="14"/>
                <w:szCs w:val="14"/>
                <w:color w:val="auto"/>
              </w:rPr>
              <w:t>$</w:t>
            </w:r>
          </w:p>
        </w:tc>
        <w:tc>
          <w:tcPr>
            <w:tcW w:w="18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(62,180 )</w:t>
            </w:r>
          </w:p>
        </w:tc>
        <w:tc>
          <w:tcPr>
            <w:tcW w:w="0" w:type="dxa"/>
            <w:vAlign w:val="bottom"/>
          </w:tcPr>
          <w:p>
            <w:pPr>
              <w:spacing w:after="0"/>
              <w:rPr>
                <w:sz w:val="1"/>
                <w:szCs w:val="1"/>
                <w:color w:val="auto"/>
              </w:rPr>
            </w:pPr>
          </w:p>
        </w:tc>
      </w:tr>
      <w:tr>
        <w:trPr>
          <w:trHeight w:val="164"/>
        </w:trPr>
        <w:tc>
          <w:tcPr>
            <w:tcW w:w="6560" w:type="dxa"/>
            <w:vAlign w:val="bottom"/>
            <w:shd w:val="clear" w:color="auto" w:fill="CFF0FC"/>
          </w:tcPr>
          <w:p>
            <w:pPr>
              <w:ind w:left="140"/>
              <w:spacing w:after="0" w:line="125" w:lineRule="exact"/>
              <w:rPr>
                <w:sz w:val="20"/>
                <w:szCs w:val="20"/>
                <w:color w:val="auto"/>
              </w:rPr>
            </w:pPr>
            <w:r>
              <w:rPr>
                <w:rFonts w:ascii="Arial" w:cs="Arial" w:eastAsia="Arial" w:hAnsi="Arial"/>
                <w:sz w:val="14"/>
                <w:szCs w:val="14"/>
                <w:color w:val="auto"/>
              </w:rPr>
              <w:t>Viasat, Inc.</w:t>
            </w:r>
          </w:p>
        </w:tc>
        <w:tc>
          <w:tcPr>
            <w:tcW w:w="360" w:type="dxa"/>
            <w:vAlign w:val="bottom"/>
            <w:vMerge w:val="continue"/>
            <w:shd w:val="clear" w:color="auto" w:fill="CFF0FC"/>
          </w:tcPr>
          <w:p>
            <w:pPr>
              <w:spacing w:after="0"/>
              <w:rPr>
                <w:sz w:val="14"/>
                <w:szCs w:val="14"/>
                <w:color w:val="auto"/>
              </w:rPr>
            </w:pPr>
          </w:p>
        </w:tc>
        <w:tc>
          <w:tcPr>
            <w:tcW w:w="1980" w:type="dxa"/>
            <w:vAlign w:val="bottom"/>
            <w:gridSpan w:val="2"/>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-4499610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-4499610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-2794000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-2794000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-2451100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-2451100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-702310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-702310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1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7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(21,687 )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(76,902 )</w:t>
            </w:r>
          </w:p>
        </w:tc>
      </w:tr>
      <w:tr>
        <w:trPr>
          <w:trHeight w:val="197"/>
        </w:trPr>
        <w:tc>
          <w:tcPr>
            <w:tcW w:w="71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activities:</w:t>
            </w: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140" w:type="dxa"/>
            <w:vAlign w:val="bottom"/>
          </w:tcPr>
          <w:p>
            <w:pPr>
              <w:ind w:left="5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249,800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132,011</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81,404</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42,568</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19,182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Loss on disposition of fixed assets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9,729</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Deferred income taxes and other non-cash adjustments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9,387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(24,203 )</w:t>
            </w:r>
          </w:p>
        </w:tc>
      </w:tr>
      <w:tr>
        <w:trPr>
          <w:trHeight w:val="197"/>
        </w:trPr>
        <w:tc>
          <w:tcPr>
            <w:tcW w:w="71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Increase (decrease) in cash resulting from changes in operating</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assets and liabilities, net of effect of acquisition:</w:t>
            </w: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(26,224 )</w:t>
            </w: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(739 )</w:t>
            </w: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(11,888 )</w:t>
            </w:r>
          </w:p>
        </w:tc>
        <w:tc>
          <w:tcPr>
            <w:tcW w:w="4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(34,684 )</w:t>
            </w:r>
          </w:p>
        </w:tc>
      </w:tr>
      <w:tr>
        <w:trPr>
          <w:trHeight w:val="230"/>
        </w:trPr>
        <w:tc>
          <w:tcPr>
            <w:tcW w:w="714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13,581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(39,564 )</w:t>
            </w: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(28,529 )</w:t>
            </w: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41,509</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(110,114 )</w:t>
            </w: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(58,969 )</w:t>
            </w:r>
          </w:p>
        </w:tc>
      </w:tr>
      <w:tr>
        <w:trPr>
          <w:trHeight w:val="230"/>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(43,594 )</w:t>
            </w: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91,158</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151,096</w:t>
            </w:r>
          </w:p>
        </w:tc>
        <w:tc>
          <w:tcPr>
            <w:tcW w:w="28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103,666</w:t>
            </w:r>
          </w:p>
        </w:tc>
        <w:tc>
          <w:tcPr>
            <w:tcW w:w="100" w:type="dxa"/>
            <w:vAlign w:val="bottom"/>
            <w:tcBorders>
              <w:top w:val="single" w:sz="8" w:color="CFF0FC"/>
            </w:tcBorders>
          </w:tcPr>
          <w:p>
            <w:pPr>
              <w:spacing w:after="0"/>
              <w:rPr>
                <w:sz w:val="19"/>
                <w:szCs w:val="19"/>
                <w:color w:val="auto"/>
              </w:rPr>
            </w:pPr>
          </w:p>
        </w:tc>
      </w:tr>
      <w:tr>
        <w:trPr>
          <w:trHeight w:val="23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Purchase of property, equipment and satellites, and other assets</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(301,019 )</w:t>
            </w: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(374,926 )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insurance claims on satellites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79,500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Payment related to acquisition of a business, net of cash acquired</w:t>
            </w:r>
          </w:p>
        </w:tc>
        <w:tc>
          <w:tcPr>
            <w:tcW w:w="30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(342,621 )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to acquire short-term investments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(52,000 )</w:t>
            </w:r>
          </w:p>
        </w:tc>
      </w:tr>
      <w:tr>
        <w:trPr>
          <w:trHeight w:val="20"/>
        </w:trPr>
        <w:tc>
          <w:tcPr>
            <w:tcW w:w="7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(221,519 )</w:t>
            </w: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(769,547 )</w:t>
            </w:r>
          </w:p>
        </w:tc>
      </w:tr>
      <w:tr>
        <w:trPr>
          <w:trHeight w:val="23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Payments on debt borrowings</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(19,462 )</w:t>
            </w: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(18,868 )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debt borrowings</w:t>
            </w:r>
          </w:p>
        </w:tc>
        <w:tc>
          <w:tcPr>
            <w:tcW w:w="3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1,334,683</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Payments of debt issuance costs</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(710 )</w:t>
            </w: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(34,558 )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issuance of common stock under equity plans</w:t>
            </w:r>
          </w:p>
        </w:tc>
        <w:tc>
          <w:tcPr>
            <w:tcW w:w="3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197"/>
        </w:trPr>
        <w:tc>
          <w:tcPr>
            <w:tcW w:w="7140" w:type="dxa"/>
            <w:vAlign w:val="bottom"/>
          </w:tcPr>
          <w:p>
            <w:pPr>
              <w:ind w:left="280"/>
              <w:spacing w:after="0" w:line="197" w:lineRule="exact"/>
              <w:rPr>
                <w:sz w:val="20"/>
                <w:szCs w:val="20"/>
                <w:color w:val="auto"/>
              </w:rPr>
            </w:pPr>
            <w:r>
              <w:rPr>
                <w:rFonts w:ascii="Arial" w:cs="Arial" w:eastAsia="Arial" w:hAnsi="Arial"/>
                <w:sz w:val="18"/>
                <w:szCs w:val="18"/>
                <w:color w:val="auto"/>
              </w:rPr>
              <w:t>Purchase of common stock in treasury (immediately retired) related</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140" w:type="dxa"/>
            <w:vAlign w:val="bottom"/>
          </w:tcPr>
          <w:p>
            <w:pPr>
              <w:ind w:left="420"/>
              <w:spacing w:after="0"/>
              <w:rPr>
                <w:sz w:val="20"/>
                <w:szCs w:val="20"/>
                <w:color w:val="auto"/>
              </w:rPr>
            </w:pPr>
            <w:r>
              <w:rPr>
                <w:rFonts w:ascii="Arial" w:cs="Arial" w:eastAsia="Arial" w:hAnsi="Arial"/>
                <w:sz w:val="18"/>
                <w:szCs w:val="18"/>
                <w:color w:val="auto"/>
              </w:rPr>
              <w:t>to tax withholdings for stock-based compensation</w:t>
            </w:r>
          </w:p>
        </w:tc>
        <w:tc>
          <w:tcPr>
            <w:tcW w:w="3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(1,415 )</w:t>
            </w:r>
          </w:p>
        </w:tc>
        <w:tc>
          <w:tcPr>
            <w:tcW w:w="4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(2,212 )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financing activities</w:t>
            </w:r>
          </w:p>
        </w:tc>
        <w:tc>
          <w:tcPr>
            <w:tcW w:w="3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(866 )</w:t>
            </w:r>
          </w:p>
        </w:tc>
        <w:tc>
          <w:tcPr>
            <w:tcW w:w="4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(779 )</w:t>
            </w:r>
          </w:p>
        </w:tc>
      </w:tr>
      <w:tr>
        <w:trPr>
          <w:trHeight w:val="20"/>
        </w:trPr>
        <w:tc>
          <w:tcPr>
            <w:tcW w:w="7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(22,453 )</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1,278,348</w:t>
            </w:r>
          </w:p>
        </w:tc>
        <w:tc>
          <w:tcPr>
            <w:tcW w:w="100" w:type="dxa"/>
            <w:vAlign w:val="bottom"/>
          </w:tcPr>
          <w:p>
            <w:pPr>
              <w:spacing w:after="0"/>
              <w:rPr>
                <w:sz w:val="19"/>
                <w:szCs w:val="19"/>
                <w:color w:val="auto"/>
              </w:rPr>
            </w:pPr>
          </w:p>
        </w:tc>
      </w:tr>
      <w:tr>
        <w:trPr>
          <w:trHeight w:val="230"/>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(89,434 )</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613,084</w:t>
            </w:r>
          </w:p>
        </w:tc>
        <w:tc>
          <w:tcPr>
            <w:tcW w:w="100" w:type="dxa"/>
            <w:vAlign w:val="bottom"/>
          </w:tcPr>
          <w:p>
            <w:pPr>
              <w:spacing w:after="0"/>
              <w:rPr>
                <w:sz w:val="19"/>
                <w:szCs w:val="19"/>
                <w:color w:val="auto"/>
              </w:rPr>
            </w:pPr>
          </w:p>
        </w:tc>
      </w:tr>
      <w:tr>
        <w:trPr>
          <w:trHeight w:val="230"/>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1,901,033</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1,379,386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1,811,599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1,992,470</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7140" w:type="dxa"/>
            <w:vAlign w:val="bottom"/>
          </w:tcPr>
          <w:p>
            <w:pPr>
              <w:ind w:left="280"/>
              <w:spacing w:after="0" w:line="197" w:lineRule="exact"/>
              <w:rPr>
                <w:sz w:val="20"/>
                <w:szCs w:val="20"/>
                <w:color w:val="auto"/>
              </w:rPr>
            </w:pPr>
            <w:r>
              <w:rPr>
                <w:rFonts w:ascii="Arial" w:cs="Arial" w:eastAsia="Arial" w:hAnsi="Arial"/>
                <w:sz w:val="18"/>
                <w:szCs w:val="18"/>
                <w:color w:val="auto"/>
              </w:rPr>
              <w:t>Issuance of common stock in satisfaction of certain accrued employee</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140" w:type="dxa"/>
            <w:vAlign w:val="bottom"/>
          </w:tcPr>
          <w:p>
            <w:pPr>
              <w:ind w:left="280"/>
              <w:spacing w:after="0"/>
              <w:rPr>
                <w:sz w:val="20"/>
                <w:szCs w:val="20"/>
                <w:color w:val="auto"/>
              </w:rPr>
            </w:pPr>
            <w:r>
              <w:rPr>
                <w:rFonts w:ascii="Arial" w:cs="Arial" w:eastAsia="Arial" w:hAnsi="Arial"/>
                <w:sz w:val="18"/>
                <w:szCs w:val="18"/>
                <w:color w:val="auto"/>
              </w:rPr>
              <w:t>compensation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28,063</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31,173</w:t>
            </w:r>
          </w:p>
        </w:tc>
        <w:tc>
          <w:tcPr>
            <w:tcW w:w="100" w:type="dxa"/>
            <w:vAlign w:val="bottom"/>
          </w:tcPr>
          <w:p>
            <w:pPr>
              <w:spacing w:after="0"/>
              <w:rPr>
                <w:sz w:val="20"/>
                <w:szCs w:val="20"/>
                <w:color w:val="auto"/>
              </w:rPr>
            </w:pPr>
          </w:p>
        </w:tc>
      </w:tr>
      <w:tr>
        <w:trPr>
          <w:trHeight w:val="229"/>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acquisition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2,123,455</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Debt issuance costs not paid for</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-3822700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-2939415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-1636395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-1336675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-1036320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Viasat, Inc. Stockholders</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8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Accumulate</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Other</w:t>
            </w: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9"/>
              </w:rPr>
              <w:t>Noncontrolli</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w:t>
            </w: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sive</w:t>
            </w:r>
          </w:p>
        </w:tc>
        <w:tc>
          <w:tcPr>
            <w:tcW w:w="8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rPr>
              <w:t>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6"/>
              </w:rPr>
              <w:t>Interest in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Earnings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Subsidiary</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(In thousands, except share data)</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June 30, 2024</w:t>
            </w: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80" w:type="dxa"/>
            <w:vAlign w:val="bottom"/>
          </w:tcPr>
          <w:p>
            <w:pPr>
              <w:ind w:left="20"/>
              <w:spacing w:after="0" w:line="131" w:lineRule="exact"/>
              <w:rPr>
                <w:sz w:val="20"/>
                <w:szCs w:val="20"/>
                <w:color w:val="auto"/>
              </w:rPr>
            </w:pPr>
            <w:r>
              <w:rPr>
                <w:rFonts w:ascii="Arial" w:cs="Arial" w:eastAsia="Arial" w:hAnsi="Arial"/>
                <w:sz w:val="13"/>
                <w:szCs w:val="13"/>
                <w:color w:val="auto"/>
              </w:rPr>
              <w:t>Balance at March 31, 2024</w:t>
            </w: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125,849,08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4,797,253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249,432</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(21,268 )</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47,074</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5,072,504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80" w:type="dxa"/>
            <w:vAlign w:val="bottom"/>
          </w:tcPr>
          <w:p>
            <w:pPr>
              <w:ind w:left="20"/>
              <w:spacing w:after="0" w:line="131" w:lineRule="exact"/>
              <w:rPr>
                <w:sz w:val="20"/>
                <w:szCs w:val="20"/>
                <w:color w:val="auto"/>
              </w:rPr>
            </w:pPr>
            <w:r>
              <w:rPr>
                <w:rFonts w:ascii="Arial" w:cs="Arial" w:eastAsia="Arial" w:hAnsi="Arial"/>
                <w:sz w:val="13"/>
                <w:szCs w:val="13"/>
                <w:color w:val="auto"/>
              </w:rPr>
              <w:t>Shares issued in settlement of certain accrued</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120"/>
              <w:spacing w:after="0"/>
              <w:rPr>
                <w:sz w:val="20"/>
                <w:szCs w:val="20"/>
                <w:color w:val="auto"/>
              </w:rPr>
            </w:pPr>
            <w:r>
              <w:rPr>
                <w:rFonts w:ascii="Arial" w:cs="Arial" w:eastAsia="Arial" w:hAnsi="Arial"/>
                <w:sz w:val="13"/>
                <w:szCs w:val="13"/>
                <w:color w:val="auto"/>
              </w:rPr>
              <w:t>employee compensation liabilities</w:t>
            </w:r>
          </w:p>
        </w:tc>
        <w:tc>
          <w:tcPr>
            <w:tcW w:w="820" w:type="dxa"/>
            <w:vAlign w:val="bottom"/>
          </w:tcPr>
          <w:p>
            <w:pPr>
              <w:jc w:val="right"/>
              <w:spacing w:after="0"/>
              <w:rPr>
                <w:sz w:val="20"/>
                <w:szCs w:val="20"/>
                <w:color w:val="auto"/>
              </w:rPr>
            </w:pPr>
            <w:r>
              <w:rPr>
                <w:rFonts w:ascii="Arial" w:cs="Arial" w:eastAsia="Arial" w:hAnsi="Arial"/>
                <w:sz w:val="13"/>
                <w:szCs w:val="13"/>
                <w:color w:val="auto"/>
              </w:rPr>
              <w:t>1,755,074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28,063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28,063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8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RSU awards vesting, net of shares withheld for taxes</w:t>
            </w: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134,475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(1,415 )</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(1,415 )</w:t>
            </w: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(32,912 )</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11,225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(21,687 )</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(10,983 )</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(10,983 )</w:t>
            </w:r>
          </w:p>
        </w:tc>
        <w:tc>
          <w:tcPr>
            <w:tcW w:w="0" w:type="dxa"/>
            <w:vAlign w:val="bottom"/>
          </w:tcPr>
          <w:p>
            <w:pPr>
              <w:spacing w:after="0"/>
              <w:rPr>
                <w:sz w:val="1"/>
                <w:szCs w:val="1"/>
                <w:color w:val="auto"/>
              </w:rPr>
            </w:pPr>
          </w:p>
        </w:tc>
      </w:tr>
      <w:tr>
        <w:trPr>
          <w:trHeight w:val="124"/>
        </w:trPr>
        <w:tc>
          <w:tcPr>
            <w:tcW w:w="4080" w:type="dxa"/>
            <w:vAlign w:val="bottom"/>
            <w:tcBorders>
              <w:top w:val="single" w:sz="8" w:color="CFF0FC"/>
            </w:tcBorders>
          </w:tcPr>
          <w:p>
            <w:pPr>
              <w:ind w:left="20"/>
              <w:spacing w:after="0" w:line="124" w:lineRule="exact"/>
              <w:rPr>
                <w:sz w:val="20"/>
                <w:szCs w:val="20"/>
                <w:color w:val="auto"/>
              </w:rPr>
            </w:pPr>
            <w:r>
              <w:rPr>
                <w:rFonts w:ascii="Arial" w:cs="Arial" w:eastAsia="Arial" w:hAnsi="Arial"/>
                <w:sz w:val="13"/>
                <w:szCs w:val="13"/>
                <w:color w:val="auto"/>
              </w:rPr>
              <w:t>Balance at June 30, 2024</w:t>
            </w:r>
          </w:p>
        </w:tc>
        <w:tc>
          <w:tcPr>
            <w:tcW w:w="8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127,738,63</w:t>
            </w: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4,845,072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216,520</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(32,251 )</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58,299</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5,087,653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For the Three Months Ended June 30, 2023</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2023</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76,912,016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2,540,679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1,318,336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(34,713 )</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36,259</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3,860,569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3"/>
                <w:szCs w:val="13"/>
                <w:color w:val="auto"/>
              </w:rPr>
              <w:t>2,633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24,882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80" w:type="dxa"/>
            <w:vAlign w:val="bottom"/>
          </w:tcPr>
          <w:p>
            <w:pPr>
              <w:ind w:left="20"/>
              <w:spacing w:after="0" w:line="131" w:lineRule="exact"/>
              <w:rPr>
                <w:sz w:val="20"/>
                <w:szCs w:val="20"/>
                <w:color w:val="auto"/>
              </w:rPr>
            </w:pPr>
            <w:r>
              <w:rPr>
                <w:rFonts w:ascii="Arial" w:cs="Arial" w:eastAsia="Arial" w:hAnsi="Arial"/>
                <w:sz w:val="13"/>
                <w:szCs w:val="13"/>
                <w:color w:val="auto"/>
              </w:rPr>
              <w:t>Shares issued in settlement of certain accrued</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120"/>
              <w:spacing w:after="0"/>
              <w:rPr>
                <w:sz w:val="20"/>
                <w:szCs w:val="20"/>
                <w:color w:val="auto"/>
              </w:rPr>
            </w:pPr>
            <w:r>
              <w:rPr>
                <w:rFonts w:ascii="Arial" w:cs="Arial" w:eastAsia="Arial" w:hAnsi="Arial"/>
                <w:sz w:val="13"/>
                <w:szCs w:val="13"/>
                <w:color w:val="auto"/>
              </w:rPr>
              <w:t>employee compensation liabilities</w:t>
            </w:r>
          </w:p>
        </w:tc>
        <w:tc>
          <w:tcPr>
            <w:tcW w:w="820" w:type="dxa"/>
            <w:vAlign w:val="bottom"/>
          </w:tcPr>
          <w:p>
            <w:pPr>
              <w:jc w:val="right"/>
              <w:spacing w:after="0"/>
              <w:rPr>
                <w:sz w:val="20"/>
                <w:szCs w:val="20"/>
                <w:color w:val="auto"/>
              </w:rPr>
            </w:pPr>
            <w:r>
              <w:rPr>
                <w:rFonts w:ascii="Arial" w:cs="Arial" w:eastAsia="Arial" w:hAnsi="Arial"/>
                <w:sz w:val="13"/>
                <w:szCs w:val="13"/>
                <w:color w:val="auto"/>
              </w:rPr>
              <w:t>687,851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31,173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31,173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8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RSU awards vesting, net of shares withheld for taxes</w:t>
            </w: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88,619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(2,212 )</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(2,212 )</w:t>
            </w:r>
          </w:p>
        </w:tc>
        <w:tc>
          <w:tcPr>
            <w:tcW w:w="0" w:type="dxa"/>
            <w:vAlign w:val="bottom"/>
          </w:tcPr>
          <w:p>
            <w:pPr>
              <w:spacing w:after="0"/>
              <w:rPr>
                <w:sz w:val="1"/>
                <w:szCs w:val="1"/>
                <w:color w:val="auto"/>
              </w:rPr>
            </w:pPr>
          </w:p>
        </w:tc>
      </w:tr>
      <w:tr>
        <w:trPr>
          <w:trHeight w:val="131"/>
        </w:trPr>
        <w:tc>
          <w:tcPr>
            <w:tcW w:w="4080" w:type="dxa"/>
            <w:vAlign w:val="bottom"/>
          </w:tcPr>
          <w:p>
            <w:pPr>
              <w:ind w:left="20"/>
              <w:spacing w:after="0" w:line="131" w:lineRule="exact"/>
              <w:rPr>
                <w:sz w:val="20"/>
                <w:szCs w:val="20"/>
                <w:color w:val="auto"/>
              </w:rPr>
            </w:pPr>
            <w:r>
              <w:rPr>
                <w:rFonts w:ascii="Arial" w:cs="Arial" w:eastAsia="Arial" w:hAnsi="Arial"/>
                <w:sz w:val="13"/>
                <w:szCs w:val="13"/>
                <w:color w:val="auto"/>
              </w:rPr>
              <w:t>Shares issued in connection with acquisition of business, net of</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820" w:type="dxa"/>
            <w:vAlign w:val="bottom"/>
          </w:tcPr>
          <w:p>
            <w:pPr>
              <w:jc w:val="right"/>
              <w:spacing w:after="0"/>
              <w:rPr>
                <w:sz w:val="20"/>
                <w:szCs w:val="20"/>
                <w:color w:val="auto"/>
              </w:rPr>
            </w:pPr>
            <w:r>
              <w:rPr>
                <w:rFonts w:ascii="Arial" w:cs="Arial" w:eastAsia="Arial" w:hAnsi="Arial"/>
                <w:sz w:val="13"/>
                <w:szCs w:val="13"/>
                <w:color w:val="auto"/>
              </w:rPr>
              <w:t>46,363,636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2,123,450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2,123,455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noncontrolling interest activity</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(77,004 )</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(76,902 )</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80" w:type="dxa"/>
            <w:vAlign w:val="bottom"/>
            <w:tcBorders>
              <w:top w:val="single" w:sz="8" w:color="CFF0FC"/>
            </w:tcBorders>
          </w:tcPr>
          <w:p>
            <w:pPr>
              <w:ind w:left="20"/>
              <w:spacing w:after="0" w:line="124" w:lineRule="exact"/>
              <w:rPr>
                <w:sz w:val="20"/>
                <w:szCs w:val="20"/>
                <w:color w:val="auto"/>
              </w:rPr>
            </w:pPr>
            <w:r>
              <w:rPr>
                <w:rFonts w:ascii="Arial" w:cs="Arial" w:eastAsia="Arial" w:hAnsi="Arial"/>
                <w:sz w:val="13"/>
                <w:szCs w:val="13"/>
                <w:color w:val="auto"/>
              </w:rPr>
              <w:t>Balance at June 30, 2023</w:t>
            </w:r>
          </w:p>
        </w:tc>
        <w:tc>
          <w:tcPr>
            <w:tcW w:w="8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124,054,75</w:t>
            </w: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4,718,054</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1,241,332</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(19,889 )</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36,362</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5,975,872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-1833880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-1833880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-1833880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-1833880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-1833880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-1833880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-1833880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-222250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-222250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-222250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-222250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-222250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-222250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-222250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58"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accompanying condensed consolidated balance sheet at June 30, 2024, the condensed consolidated statements of operations and comprehensive income (loss) for the three months ended June 30, 2024 and 2023, the condensed consolidated statements of cash flows for the three months ended June 30, 2024 and 2023 and the condensed consolidated statements of equity for the three months ended June 30, 2024 and 2023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2024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2024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3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w:t>
      </w:r>
    </w:p>
    <w:p>
      <w:pPr>
        <w:spacing w:after="0" w:line="100" w:lineRule="exact"/>
        <w:rPr>
          <w:sz w:val="20"/>
          <w:szCs w:val="20"/>
          <w:color w:val="auto"/>
        </w:rPr>
      </w:pPr>
    </w:p>
    <w:p>
      <w:pPr>
        <w:jc w:val="both"/>
        <w:ind w:right="320" w:firstLine="509"/>
        <w:spacing w:after="0" w:line="253" w:lineRule="auto"/>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15"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On May 30, 2023, the Company completed the acquisition of Connect Topco Limited, a private company limited by shares and incorporated in Guernsey (Inmarsat Holdings and, together with its subsidiaries, Inmarsat, and such acquisition, the Inmarsat Acquisition). The Inmarsat Acquisition was accounted for as a purchase and accordingly, the condensed consolidated financial statements include the operating results of Inmarsat from the date of acquisition.</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6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2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28"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2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Contract costs on U.S. Government contracts are subject to audit and review by the Defense Contract Management Agency (DCMA), the Defense Contract Audit Agency (DCAA), and other U.S. Government agencies, as well as negotiations with U.S. Government representatives. As of June 30, 2024, the DCMA had approved the Company’s incurred costs through fiscal year 2022. The DCMA is currently auditing the Company’s fiscal year 2023 incurred cost submission. The Company's cost accounting practices are examined for compliance with the applicable Cost Accounting Standards (CAS). Although the Company has recorded contract revenues subsequent to fiscal year 2022 based upon 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$7.4 million and $16.6 million as of June 30, 2024 and March 31, 2024, respectively, in contract-related reserves for its estimate of potential refunds to customers for potential cost adjustments on several multi-year U.S. Government cost reimbursable contracts (see Note 9 — Commitments and Contingencies for more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6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2" w:lineRule="exact"/>
        <w:rPr>
          <w:sz w:val="20"/>
          <w:szCs w:val="20"/>
          <w:color w:val="auto"/>
        </w:rPr>
      </w:pPr>
    </w:p>
    <w:p>
      <w:pPr>
        <w:ind w:right="30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communication services segment do not have minimum service purchase requirements and therefore are not included in the Company’s remaining performance obligations. As of June 30, 2024, the aggregate amount of the transaction price allocated to remaining performance obligations was $3.6 billion, of which the Company expects to recognize a little less than half over the next 12 months, with the balance recognized thereafter.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6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operates and manages its business in two segments: communication services and defense and advanced technologies. Revenue is disaggregated by products and services, business line, customer type, contract type, and geographic area, respectively, as the Company believes this approach best depicts how the nature, amount, timing and uncertainty of its revenue and cash flows are affected by economic factors. See Note 11 — Segment Information for disaggregation of revenue by business line and additional disaggregated revenue disclosures.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following sets forth disaggregated reported revenue by segment and products and services for the three months ended June 30,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center"/>
              <w:ind w:left="735"/>
              <w:spacing w:after="0"/>
              <w:rPr>
                <w:sz w:val="20"/>
                <w:szCs w:val="20"/>
                <w:color w:val="auto"/>
              </w:rPr>
            </w:pPr>
            <w:r>
              <w:rPr>
                <w:rFonts w:ascii="Arial" w:cs="Arial" w:eastAsia="Arial" w:hAnsi="Arial"/>
                <w:sz w:val="14"/>
                <w:szCs w:val="14"/>
                <w:b w:val="1"/>
                <w:bCs w:val="1"/>
                <w:color w:val="auto"/>
              </w:rPr>
              <w:t>Three Months Ended June 30, 2024</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Defense and Advanced</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rPr>
              <w:t>Total</w:t>
            </w:r>
          </w:p>
        </w:tc>
      </w:tr>
      <w:tr>
        <w:trPr>
          <w:trHeight w:val="185"/>
        </w:trPr>
        <w:tc>
          <w:tcPr>
            <w:tcW w:w="528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Communication Services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center"/>
              <w:ind w:right="157"/>
              <w:spacing w:after="0"/>
              <w:rPr>
                <w:sz w:val="20"/>
                <w:szCs w:val="20"/>
                <w:color w:val="auto"/>
              </w:rPr>
            </w:pPr>
            <w:r>
              <w:rPr>
                <w:rFonts w:ascii="Arial" w:cs="Arial" w:eastAsia="Arial" w:hAnsi="Arial"/>
                <w:sz w:val="14"/>
                <w:szCs w:val="14"/>
                <w:b w:val="1"/>
                <w:bCs w:val="1"/>
                <w:color w:val="auto"/>
              </w:rPr>
              <w:t>Technologies</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Revenues</w:t>
            </w:r>
          </w:p>
        </w:tc>
      </w:tr>
      <w:tr>
        <w:trPr>
          <w:trHeight w:val="223"/>
        </w:trPr>
        <w:tc>
          <w:tcPr>
            <w:tcW w:w="5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6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60,176</w:t>
            </w:r>
          </w:p>
        </w:tc>
        <w:tc>
          <w:tcPr>
            <w:tcW w:w="5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245,563</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305,739</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820,721</w:t>
            </w:r>
          </w:p>
        </w:tc>
        <w:tc>
          <w:tcPr>
            <w:tcW w:w="100" w:type="dxa"/>
            <w:vAlign w:val="bottom"/>
          </w:tcPr>
          <w:p>
            <w:pPr>
              <w:spacing w:after="0"/>
              <w:rPr>
                <w:sz w:val="19"/>
                <w:szCs w:val="19"/>
                <w:color w:val="auto"/>
              </w:rPr>
            </w:pPr>
          </w:p>
        </w:tc>
      </w:tr>
      <w:tr>
        <w:trPr>
          <w:trHeight w:val="263"/>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826,787</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299,673</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1,126,460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40"/>
        </w:trPr>
        <w:tc>
          <w:tcPr>
            <w:tcW w:w="52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left="735"/>
              <w:spacing w:after="0"/>
              <w:rPr>
                <w:sz w:val="20"/>
                <w:szCs w:val="20"/>
                <w:color w:val="auto"/>
              </w:rPr>
            </w:pPr>
            <w:r>
              <w:rPr>
                <w:rFonts w:ascii="Arial" w:cs="Arial" w:eastAsia="Arial" w:hAnsi="Arial"/>
                <w:sz w:val="14"/>
                <w:szCs w:val="14"/>
                <w:b w:val="1"/>
                <w:bCs w:val="1"/>
                <w:color w:val="auto"/>
              </w:rPr>
              <w:t>Three Months Ended June 30, 2023</w:t>
            </w: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5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Defense and Advanced</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rPr>
              <w:t>Total</w:t>
            </w:r>
          </w:p>
        </w:tc>
      </w:tr>
      <w:tr>
        <w:trPr>
          <w:trHeight w:val="185"/>
        </w:trPr>
        <w:tc>
          <w:tcPr>
            <w:tcW w:w="528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Communication Services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center"/>
              <w:ind w:right="157"/>
              <w:spacing w:after="0"/>
              <w:rPr>
                <w:sz w:val="20"/>
                <w:szCs w:val="20"/>
                <w:color w:val="auto"/>
              </w:rPr>
            </w:pPr>
            <w:r>
              <w:rPr>
                <w:rFonts w:ascii="Arial" w:cs="Arial" w:eastAsia="Arial" w:hAnsi="Arial"/>
                <w:sz w:val="14"/>
                <w:szCs w:val="14"/>
                <w:b w:val="1"/>
                <w:bCs w:val="1"/>
                <w:color w:val="auto"/>
              </w:rPr>
              <w:t>Technologies</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Revenues</w:t>
            </w:r>
          </w:p>
        </w:tc>
      </w:tr>
      <w:tr>
        <w:trPr>
          <w:trHeight w:val="223"/>
        </w:trPr>
        <w:tc>
          <w:tcPr>
            <w:tcW w:w="5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6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66,487</w:t>
            </w:r>
          </w:p>
        </w:tc>
        <w:tc>
          <w:tcPr>
            <w:tcW w:w="5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169,885</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236,372</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493,773</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543,419</w:t>
            </w:r>
          </w:p>
        </w:tc>
        <w:tc>
          <w:tcPr>
            <w:tcW w:w="100" w:type="dxa"/>
            <w:vAlign w:val="bottom"/>
          </w:tcPr>
          <w:p>
            <w:pPr>
              <w:spacing w:after="0"/>
              <w:rPr>
                <w:sz w:val="19"/>
                <w:szCs w:val="19"/>
                <w:color w:val="auto"/>
              </w:rPr>
            </w:pPr>
          </w:p>
        </w:tc>
      </w:tr>
      <w:tr>
        <w:trPr>
          <w:trHeight w:val="263"/>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560,260</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219,531</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779,791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-1173480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-1156335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-1173480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-1156335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Revenues from the U.S. Government as an individual customer comprised approximately 16% and 17% of total revenues for the three months ended June 30, 2024 and 2023, respectively. Revenues from the U.S. Government are attributable to each of the communication services segment and defense and advanced technologies segment, with slightly higher revenues from the U.S. Government reported within the Company's communication services segment for the three months ended June 30, 2024 and the Company's defense and advanced technologies segment for the three months ended June 30, 2023.</w:t>
      </w:r>
    </w:p>
    <w:p>
      <w:pPr>
        <w:spacing w:after="0" w:line="122" w:lineRule="exact"/>
        <w:rPr>
          <w:sz w:val="20"/>
          <w:szCs w:val="20"/>
          <w:color w:val="auto"/>
        </w:rPr>
      </w:pPr>
    </w:p>
    <w:p>
      <w:pPr>
        <w:jc w:val="both"/>
        <w:ind w:right="60" w:firstLine="509"/>
        <w:spacing w:after="0" w:line="266" w:lineRule="auto"/>
        <w:rPr>
          <w:sz w:val="20"/>
          <w:szCs w:val="20"/>
          <w:color w:val="auto"/>
        </w:rPr>
      </w:pPr>
      <w:r>
        <w:rPr>
          <w:rFonts w:ascii="Arial" w:cs="Arial" w:eastAsia="Arial" w:hAnsi="Arial"/>
          <w:sz w:val="17"/>
          <w:szCs w:val="17"/>
          <w:color w:val="auto"/>
        </w:rPr>
        <w:t>The Company’s communication services segment revenues are primarily derived from the Company’s aviation services (including IFC services), government satcom services, maritime services (including narrowband and safety of communication capabilities primarily acquired through the Inmarsat Acquisition), fixed broadband services, and energy services, as well as a wide array of advanced satellite and wireless products, networks and terminal solutions that support or enable the provision of fixed and mobile broadband and narrowband services.</w:t>
      </w:r>
    </w:p>
    <w:p>
      <w:pPr>
        <w:spacing w:after="0" w:line="105"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Company’s defense and advanced technologies segment revenues are primarily derived from the Company’s information security and cyber defense, space and mission systems, tactical networking, and advanced technologies and other products and services which are provided to government and commercial customers.</w:t>
      </w:r>
    </w:p>
    <w:p>
      <w:pPr>
        <w:spacing w:after="0" w:line="11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Company’s revenues are primarily derived from two types of contracts: fixed-price and cost-reimbursement contracts. Fixed-price contracts (which require the Company to provide products and services under a contract at a specified price), comprised approximately 96% and 93% of the Company’s total revenues for the three months ended June 30, 2024 and 2023, respectively, a majority of which are reported in the Company's communication services segment. The remainder of the Company’s revenues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which contracts are mainly reported within the Company's defense and advanced technologies segment.</w:t>
      </w:r>
    </w:p>
    <w:p>
      <w:pPr>
        <w:spacing w:after="0" w:line="13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Historically, a significant portion of the Company’s revenues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12% and 15% of its total revenues for the three months ended June 30, 2024 and 2023, respectively, mainly reported within the Company's defense and advanced technologies segment.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61"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2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June 30, 2024 and March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right"/>
              <w:ind w:right="759"/>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r>
      <w:tr>
        <w:trPr>
          <w:trHeight w:val="185"/>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accounts receivable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173,967</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156,322</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Collections in excess of revenues and deferred revenues</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277,665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260,264</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revenues, long-term portion</w:t>
            </w: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896,402</w:t>
            </w:r>
          </w:p>
        </w:tc>
        <w:tc>
          <w:tcPr>
            <w:tcW w:w="100" w:type="dxa"/>
            <w:vAlign w:val="bottom"/>
            <w:shd w:val="clear" w:color="auto" w:fill="CFF0FC"/>
          </w:tcPr>
          <w:p>
            <w:pPr>
              <w:spacing w:after="0"/>
              <w:rPr>
                <w:sz w:val="19"/>
                <w:szCs w:val="19"/>
                <w:color w:val="auto"/>
              </w:rPr>
            </w:pPr>
          </w:p>
        </w:tc>
      </w:tr>
    </w:tbl>
    <w:p>
      <w:pPr>
        <w:spacing w:after="0" w:line="170"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Unbilled accounts receivable increased by $17.6 million during the three months ended June 30, 2024, driven primarily by revenue recognized in excess of billings primarily in the Company's defense and advanced technologies segment.</w:t>
      </w:r>
    </w:p>
    <w:p>
      <w:pPr>
        <w:spacing w:after="0" w:line="100"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Collections in excess of revenues and deferred revenues increased by $17.4 million during the three months ended June 30, 2024, driven by advances on goods or services received in excess of revenue recognized within both of the Company's segments.</w:t>
      </w:r>
    </w:p>
    <w:p>
      <w:pPr>
        <w:spacing w:after="0" w:line="100"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During the three months ended June 30, 2024, the Company recognized revenue of $106.3 million that was previously included in the Company’s collections in excess of revenues and deferred revenues at March 31, 2024. During the three months ended June 30, 2023, the Company recognized revenue of $53.8 million that was previously included in the Company’s collections in excess of revenues and deferred revenues at March 31,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61"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with a significant portion held in U.S. government-backed qualified money-market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15"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1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$56.6 million of interest expense for the three months ended June 30, 2024, and $56.7 million for the three months ended June 30, 2023.</w:t>
      </w:r>
    </w:p>
    <w:p>
      <w:pPr>
        <w:spacing w:after="0" w:line="12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complementary fleet of 21 in service or operational satellites spans the Ka-, L- and S- bands, with 11 Ka-band satellites, eight L-band satellites (three of which are contingency L-band satellites that are operational but not currently in service), an S-band satellite that supports the European Aviation Network to provide IFC services to commercial airlines in Europe, and an I-6 class hybrid Ka-/L-band satellite (the I-6 F1 satellite). Subsequent to the quarter end, in late July 2024, the ViaSat-3 F1 satellite completed in-orbit testing and was integrated into the Company's existing satellite fleet covering the Americas. Furthermore, the Company has ten additional geostationary (GEO) and highly-elliptical earth orbit (HEO) satellites under development: two additional high-capacity Ka-band GEO satellites (ViaSat-3 F2 and ViaSat-3 F3), three additional adaptive Ka-band GEO satellites: (GX 7, GX 8 and GX 9), two Ka-band HEO satellite payloads intended to provide polar coverage (GX 10a and GX 10b) and three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June 30, 2024 were $554.6 million and $286.5 million, respectively. The total cost and accumulated depreciation of CPE units included in property, equipment and satellites, net, as of March 31, 2024 were $567.5 million and $267.4 million, respectively.</w:t>
      </w:r>
    </w:p>
    <w:p>
      <w:pPr>
        <w:spacing w:after="0" w:line="13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launched the first of its third-generation ViaSat-3 class satellites, ViaSat-3 F1, into orbit on April 30, 2023. On July 12, 2023, the Company reported a reflector deployment issue that materially impacted the performance of the ViaSat-3 F1 satellite. The Company and the reflector provider conducted a rigorous review of the development and deployment of the affected reflector to determine its impact and potential remedial measures. In connection with the root cause analysis, the Company determined that while the satellite payload is functional, the Company will recover less than 10% of the planned throughput on the ViaSat-3 F1 satellite.</w:t>
      </w:r>
    </w:p>
    <w:p>
      <w:pPr>
        <w:spacing w:after="0" w:line="12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On August 24, 2023, the Company reported that the I-6 F2 satellite, which was launched on February 18, 2023, suffered a power subsystem anomaly during its orbit raising phase. The Company and Airbus, the satellite's manufacturer, performed a root cause analysis of the anomaly and concluded the satellite would not operate as intended. The Company determined that the full carrying value of the I-6 F2 satellite is not recoverable. The I-6 F2 anomaly does not impact ongoing customer services. The I-6 F1 satellite, which was launched in December 2021, is operational and continues to perform as expected.</w:t>
      </w:r>
    </w:p>
    <w:p>
      <w:pPr>
        <w:spacing w:after="0" w:line="12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As a result of the anomalies that occurred with respect to the ViaSat-3 F1 and I-6 F2 satellites, as well as the impact of integration efforts related to the Inmarsat Acquisition, the Company undertook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Based on the impairment analysis performed during the second quarter of fiscal year 2024, as a result of the anomalies experienced in the two satellites and integration impact related to the Inmarsat Acquisition, the Company recorded a reduction to the carrying value of satellites under construction (including capitalized interest) and certain related assets of $1.67 billion during fiscal year 2024 (based on the Company's originally estimated ViaSat-3 F1 satellite output capabilities compared to the anticipated potential and configured capacity of the ViaSat-3 F1 satellite, the full value of the I-6 F2 satellite and the ViaSat-4 satellite program, each a separate asset group), which was partially offset by total insurance claim receivables of approximately $770.0 million recorded in the second quarter of fiscal year 2024. As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result, the Company recorded a net loss of approximately $905.5 million during the second and third quarters of fiscal year 2024, including liabilities associated with the termination of certain subcontractor agreements, in selling, general and administrative expenses in its communication services segment in the condensed consolidated statements of operations and comprehensive income (loss). During the first quarter of fiscal year 2025 and subsequent to the first quarter of fiscal year 2025, the Company received approximately $79.5 million and just over $38 million, respectively, in insurance recovery proceeds related to such claims. To date, the Company has received an aggregate of approximately $626 million in insurance recovery proceeds related to such claims.</w:t>
      </w:r>
    </w:p>
    <w:p>
      <w:pPr>
        <w:spacing w:after="0" w:line="12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less than one year to two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61"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spacing w:after="0" w:line="12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has entered into several cloud computing arrangements that are hosted services contracts mainly as part of projects related to the continuous transformation of technology, integration and implementation of an ERP system. As of June 30, 2024 and March 31, 2024, gross capitalized implementation costs incurred in cloud computing arrangements was $69.3 million and $63.6 million, respectively. As of June 30, 2024 and March 31, 2024 the related accumulated amortization was $11.2 million and $9.5 million, respectively. The Company recognized amortization of capitalized implementation costs of $1.5 million and an insignificant amount for the three months ended June 30, 2024 and 2023,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6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2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14" w:lineRule="exact"/>
        <w:rPr>
          <w:sz w:val="20"/>
          <w:szCs w:val="20"/>
          <w:color w:val="auto"/>
        </w:rPr>
      </w:pPr>
    </w:p>
    <w:p>
      <w:pPr>
        <w:ind w:right="160" w:firstLine="8"/>
        <w:spacing w:after="0" w:line="23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6"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that typically range from less than one year to 14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61"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6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$4.0 million and $3.9 million were included in other assets as of June 30, 2024 and March 31, 2024, respectively. The Company capitalized costs of $119.8 million and $117.0 million related to acquiring and obtaining orbital slots and other licenses included in other assets as of June 30, 2024 and March 31, 2024, respectively. Accumulated amortization related to these assets was $8.8 million and $8.4 million as of June 30, 2024 and March 31, 2024, respectively. Amortization expense related to these assets was an insignificant amount for both the three months ended June 30, 2024 and 2023. If a patent, orbital slot or other license is rejected, abandoned or otherwise invalidated, the unamortized cost is expensed in that period. During the three months ended June 30, 2024 and 2023, the Company did not write off any significant costs due to abandonment or impairment.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6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2024 and 2023, the Company capitalized no debt issuance costs and $41.2 million of debt issuance costs, respectively. Unamortized debt issuance costs related to extinguished debt are expensed at the time the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debt is extinguished and recorded in loss on extinguishment of debt in the condensed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condensed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 are recorded as a direct deduction from the carrying amount of the related debt, consistent with debt discounts, in accordance with ASC 835-30.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6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June 30, 2024 and March 31, 2024, the Company has $742.7 million and $723.9 million, respectively, of capitalized costs related to software developed for resale. Accumulated amortization related to these assets was $497.6 million and $483.3 million as of June 30, 2024 and March 31, 2024, respectively. The Company capitalized $18.8 million and $16.0 million of costs related to software developed for resale for the three months ended June 30, 2024 and 2023, respectively. Amortization expense for capitalized software development costs was $14.3 million and $14.4 million for the three months ended June 30, 2024 and 2023,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and post-retirement medical benefit liabilities</w:t>
      </w:r>
    </w:p>
    <w:p>
      <w:pPr>
        <w:spacing w:after="0" w:line="6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$6.6 million and $6.5 million as of June 30, 2024 and March 31, 2024,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a part of the Inmarsat Acquisition, the Company assumed a post-retirement medical benefit plan for retired employees (and their dependents) who were employed by Inmarsat before January 1, 1998. 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2024 and March 31, 2024, no such amounts were accrued related to the aforementioned provisions.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61"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61"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2024 and March 31, 2024, the Company had no shares of common stock held in treasury.</w:t>
      </w:r>
    </w:p>
    <w:p>
      <w:pPr>
        <w:spacing w:after="0" w:line="15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During the three months ended June 30, 2024 and 2023, the Company issued 220,113 and 137,469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June 30, 2024 and 2023, the Company repurchased 85,638 and 48,850 shares of common stock, respectively, at cost and with a total value of $1.4 million and $2.2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result of the Inmarsat Acquisition (see Note 4 — Acquisition for more information), the Company assumed interest rate cap contracts to hedge the variable interest rate under Inmarsat's senior secured term loan facilities (the Inmarsat Term Loan Facilities) (see Note 7 — Senior Notes and Other Long-Term Debt for more information). The interest rate cap contracts provide protection from Compound SOFR rates over 2%, cover the total nominal amount of the Inmarsat Term Loan Facilities of $1.6 billion and mature in February 2025. At the time of the acquisition, the Company continued to account for the interest rate cap contracts as cash-flow hedges. Upon amendment of the Inmarsat Term Loan Facilities on March 28, 2024 (see Note 7 — Senior Notes and Other Long-Term Debt for more information), the portion of the interest rate cap contracts related to Inmarsat's new $1.3 billion term loan facility (the New Term Loan Facility) continued to be accounted for as cash-flow hedges, as the interest rate cap contracts remain in place with their original maturity date.</w:t>
      </w:r>
    </w:p>
    <w:p>
      <w:pPr>
        <w:spacing w:after="0" w:line="12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does not use this instrument, or these types of instruments in general, for speculative or trading purposes. The Company’s objective is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spacing w:after="0" w:line="12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on the condensed consolidated statements of operations as the earnings of the hedge item, with the offset recorded to other comprehensive income (loss).</w:t>
      </w:r>
    </w:p>
    <w:p>
      <w:pPr>
        <w:spacing w:after="0" w:line="12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During the three months ended June 30, 2024 and 2023, the Company recognized a gain of $3.2 million (and related tax expense of an insignificant amount) and a gain of $ 12.7 million (and related tax expense of $3.2 million), respectively, in other comprehensive income arising from changes in the fair value of the interest rate cap contracts (designated as cash-flow hedging instruments) related to the Inmarsat Term Loan Facilities. During the three months ended June 30, 2024 and 2023, the Company recorded a decrease of $4.6 million (and related tax benefit of $1.2 million) and a decrease of $4.4 million (and related tax benefit of $1.1 million), respectively, to other comprehensive income and interest expense, net of the recognition into income of the non-zero hedge inception fair value (based on the nature of the underlying transaction). During the three months ended June 30, 2024 and 2023, the Company received $14.1 million and $4.2 million in cash, respectively, as a result of periodic cash settlements, which are included in operating cash flow in the condensed consolidated statements of cash flows. As of June 30, 2024 and March 31, 2024, the fair value of the Company's interest rate cap contracts was $33.9 million and $44.5 million, respectively and recorded in other current assets.</w:t>
      </w:r>
    </w:p>
    <w:p>
      <w:pPr>
        <w:spacing w:after="0" w:line="12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At June 30, 2024 the estimated net amount of unrealized gains or losses related to the interest rate cap contracts that was expected to be reclassified to earnings net of the recognition into income of non-zero hedge inception fair value within the next 12 months was $17.3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market-based performance stock options and performance-based restricted stock units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recognized $19.2 million and $21.8 million of stock-based compensation expense for the three months ended June 30, 2024 and 2023,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6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6"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61"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In June 2022, the FASB issued ASU 2022-03, Fair Value Measurement (Topic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Company adopted the new guidance in the first quarter of fiscal year 2025 and the guidance did not have a material impact on its consolidated financial statements and disclosures.</w:t>
      </w:r>
    </w:p>
    <w:p>
      <w:pPr>
        <w:spacing w:after="0" w:line="122"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March 2023, the FASB issued ASU 2023-01, Leases (Topic 842) – Common Control Agreements. The amendments in this update that apply to public business entities clarify the accounting for leasehold improvements associated with common control leases. The Company adopted the new guidance in the first quarter of fiscal year 2025 and the guidance did not have a material impact on its consolidated financial statements and disclosures.</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spacing w:after="0" w:line="13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enhance disclosures about their reportable segments' significant expenses on an interim and annual basis. The new standard will become effective for the Company's annual disclosures beginning in fiscal year 2025 and for interim disclosures beginning in fiscal year 2026 on a retrospective basis. Early adoption is permitted. The Company is currently evaluating the impact of this standard on its consolidated financial statements and disclosures.</w:t>
      </w:r>
    </w:p>
    <w:p>
      <w:pPr>
        <w:spacing w:after="0" w:line="12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enhances income tax disclosures by requiring disclosure of specific categories in the income tax rate reconciliation table and disaggregation of income taxes paid. The new standard will become effective for the Company beginning in fiscal year 2026. Early adoption is permitted and the new standard should be applied prospectively, however retrospective application is permitted. The Company is currently evaluating the impact of this standard on its consolidated financial statement disclosures.</w:t>
      </w:r>
    </w:p>
    <w:p>
      <w:pPr>
        <w:spacing w:after="0" w:line="12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amendments in this update are effective for the Company beginning in fiscal year 2026. Early adoption is permitted. The Company is currently evaluating the impact of this standard on its consolidated financial statements and disclosures.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1"/>
                <w:szCs w:val="11"/>
                <w:b w:val="1"/>
                <w:bCs w:val="1"/>
                <w:color w:val="auto"/>
              </w:rPr>
              <w:t>As of</w:t>
            </w:r>
          </w:p>
        </w:tc>
        <w:tc>
          <w:tcPr>
            <w:tcW w:w="280" w:type="dxa"/>
            <w:vAlign w:val="bottom"/>
          </w:tcPr>
          <w:p>
            <w:pPr>
              <w:spacing w:after="0"/>
              <w:rPr>
                <w:sz w:val="10"/>
                <w:szCs w:val="1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As of</w:t>
            </w:r>
          </w:p>
        </w:tc>
      </w:tr>
      <w:tr>
        <w:trPr>
          <w:trHeight w:val="148"/>
        </w:trPr>
        <w:tc>
          <w:tcPr>
            <w:tcW w:w="7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22"/>
              <w:spacing w:after="0"/>
              <w:rPr>
                <w:sz w:val="20"/>
                <w:szCs w:val="20"/>
                <w:color w:val="auto"/>
              </w:rPr>
            </w:pPr>
            <w:r>
              <w:rPr>
                <w:rFonts w:ascii="Arial" w:cs="Arial" w:eastAsia="Arial" w:hAnsi="Arial"/>
                <w:sz w:val="11"/>
                <w:szCs w:val="11"/>
                <w:b w:val="1"/>
                <w:bCs w:val="1"/>
                <w:color w:val="auto"/>
              </w:rPr>
              <w:t>June 30, 2024</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March 31, 2024</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3"/>
          </w:tcPr>
          <w:p>
            <w:pPr>
              <w:jc w:val="right"/>
              <w:ind w:right="62"/>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Accounts receivable, net:</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Billed</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546,790</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545,081</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Unbilled</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173,967</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156,322</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Allowance for doubtful accounts</w:t>
            </w:r>
          </w:p>
        </w:tc>
        <w:tc>
          <w:tcPr>
            <w:tcW w:w="300" w:type="dxa"/>
            <w:vAlign w:val="bottom"/>
          </w:tcPr>
          <w:p>
            <w:pPr>
              <w:spacing w:after="0"/>
              <w:rPr>
                <w:sz w:val="13"/>
                <w:szCs w:val="1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2"/>
                <w:szCs w:val="12"/>
                <w:color w:val="auto"/>
              </w:rPr>
              <w:t>(25,868 )</w:t>
            </w:r>
          </w:p>
        </w:tc>
        <w:tc>
          <w:tcPr>
            <w:tcW w:w="28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(23,193 )</w:t>
            </w:r>
          </w:p>
        </w:tc>
      </w:tr>
      <w:tr>
        <w:trPr>
          <w:trHeight w:val="195"/>
        </w:trPr>
        <w:tc>
          <w:tcPr>
            <w:tcW w:w="7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694,889</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678,210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600" w:type="dxa"/>
            <w:vAlign w:val="bottom"/>
          </w:tcPr>
          <w:p>
            <w:pPr>
              <w:ind w:left="20"/>
              <w:spacing w:after="0"/>
              <w:rPr>
                <w:sz w:val="20"/>
                <w:szCs w:val="20"/>
                <w:color w:val="auto"/>
              </w:rPr>
            </w:pPr>
            <w:r>
              <w:rPr>
                <w:rFonts w:ascii="Arial" w:cs="Arial" w:eastAsia="Arial" w:hAnsi="Arial"/>
                <w:sz w:val="12"/>
                <w:szCs w:val="12"/>
                <w:color w:val="auto"/>
              </w:rPr>
              <w:t>Inventories:</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Raw materials</w:t>
            </w: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100,978</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89,778</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Work in process</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33,153</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31,884</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Finished goods</w:t>
            </w:r>
          </w:p>
        </w:tc>
        <w:tc>
          <w:tcPr>
            <w:tcW w:w="3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195,698</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196,216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329,829</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317,878</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Insurance receivable</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182,000</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261,500</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Prepaid expenses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189,525</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185,892</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Other</w:t>
            </w: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119,259</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134,391</w:t>
            </w:r>
          </w:p>
        </w:tc>
        <w:tc>
          <w:tcPr>
            <w:tcW w:w="100" w:type="dxa"/>
            <w:vAlign w:val="bottom"/>
          </w:tcPr>
          <w:p>
            <w:pPr>
              <w:spacing w:after="0"/>
              <w:rPr>
                <w:sz w:val="13"/>
                <w:szCs w:val="13"/>
                <w:color w:val="auto"/>
              </w:rPr>
            </w:pPr>
          </w:p>
        </w:tc>
      </w:tr>
      <w:tr>
        <w:trPr>
          <w:trHeight w:val="195"/>
        </w:trPr>
        <w:tc>
          <w:tcPr>
            <w:tcW w:w="7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490,784</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581,783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600" w:type="dxa"/>
            <w:vAlign w:val="bottom"/>
          </w:tcPr>
          <w:p>
            <w:pPr>
              <w:ind w:left="20"/>
              <w:spacing w:after="0"/>
              <w:rPr>
                <w:sz w:val="20"/>
                <w:szCs w:val="20"/>
                <w:color w:val="auto"/>
              </w:rPr>
            </w:pPr>
            <w:r>
              <w:rPr>
                <w:rFonts w:ascii="Arial" w:cs="Arial" w:eastAsia="Arial" w:hAnsi="Arial"/>
                <w:sz w:val="12"/>
                <w:szCs w:val="12"/>
                <w:color w:val="auto"/>
              </w:rPr>
              <w:t>Property, equipment and satellites, net:</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Equipment and software (estimated useful life of 3-7 years)</w:t>
            </w: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3,051,930</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2,992,325</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CPE leased equipment (estimated useful life of 4-7 years)</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554,648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567,548</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Furniture and fixtures (estimated useful life of 7 years)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65,338</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65,433</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Leasehold improvements (estimated useful life of 2-20 years)</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211,668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209,162</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Buildings (estimated useful life of 12-38 years)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16,649</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16,647</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Land</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20,789</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20,787</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Construction in progress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1,361,156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1,301,376</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Satellites (estimated useful life of 7-17 years)</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3,325,299</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3,324,458</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177,576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177,576</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Satellites under construction</w:t>
            </w: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2,071,760</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1,976,469</w:t>
            </w:r>
          </w:p>
        </w:tc>
        <w:tc>
          <w:tcPr>
            <w:tcW w:w="100" w:type="dxa"/>
            <w:vAlign w:val="bottom"/>
          </w:tcPr>
          <w:p>
            <w:pPr>
              <w:spacing w:after="0"/>
              <w:rPr>
                <w:sz w:val="13"/>
                <w:szCs w:val="13"/>
                <w:color w:val="auto"/>
              </w:rPr>
            </w:pPr>
          </w:p>
        </w:tc>
      </w:tr>
      <w:tr>
        <w:trPr>
          <w:trHeight w:val="158"/>
        </w:trPr>
        <w:tc>
          <w:tcPr>
            <w:tcW w:w="76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10,856,813</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10,651,781</w:t>
            </w:r>
          </w:p>
        </w:tc>
        <w:tc>
          <w:tcPr>
            <w:tcW w:w="100" w:type="dxa"/>
            <w:vAlign w:val="bottom"/>
            <w:shd w:val="clear" w:color="auto" w:fill="CFF0FC"/>
          </w:tcPr>
          <w:p>
            <w:pPr>
              <w:spacing w:after="0"/>
              <w:rPr>
                <w:sz w:val="13"/>
                <w:szCs w:val="13"/>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Less: accumulated depreciation and amortization</w:t>
            </w:r>
          </w:p>
        </w:tc>
        <w:tc>
          <w:tcPr>
            <w:tcW w:w="300" w:type="dxa"/>
            <w:vAlign w:val="bottom"/>
          </w:tcPr>
          <w:p>
            <w:pPr>
              <w:spacing w:after="0"/>
              <w:rPr>
                <w:sz w:val="13"/>
                <w:szCs w:val="1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2"/>
                <w:szCs w:val="12"/>
                <w:color w:val="auto"/>
              </w:rPr>
              <w:t>(3,325,004 )</w:t>
            </w:r>
          </w:p>
        </w:tc>
        <w:tc>
          <w:tcPr>
            <w:tcW w:w="28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(3,094,575 )</w:t>
            </w:r>
          </w:p>
        </w:tc>
      </w:tr>
      <w:tr>
        <w:trPr>
          <w:trHeight w:val="196"/>
        </w:trPr>
        <w:tc>
          <w:tcPr>
            <w:tcW w:w="7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7,531,809</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7,557,206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600" w:type="dxa"/>
            <w:vAlign w:val="bottom"/>
          </w:tcPr>
          <w:p>
            <w:pPr>
              <w:ind w:left="20"/>
              <w:spacing w:after="0"/>
              <w:rPr>
                <w:sz w:val="20"/>
                <w:szCs w:val="20"/>
                <w:color w:val="auto"/>
              </w:rPr>
            </w:pPr>
            <w:r>
              <w:rPr>
                <w:rFonts w:ascii="Arial" w:cs="Arial" w:eastAsia="Arial" w:hAnsi="Arial"/>
                <w:sz w:val="12"/>
                <w:szCs w:val="12"/>
                <w:color w:val="auto"/>
              </w:rPr>
              <w:t>Other acquired intangible assets, net:</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Contracts and customer relationships (weighted average useful life of 11 years)</w:t>
            </w:r>
          </w:p>
        </w:tc>
        <w:tc>
          <w:tcPr>
            <w:tcW w:w="300" w:type="dxa"/>
            <w:vAlign w:val="bottom"/>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1,436,728</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1,437,738</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Orbital slots and spectrum assets (weighted average useful life of 12 years)</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1,088,600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1,088,600</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Technology (weighted average useful life of 7 years)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248,846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251,889</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Trade names (weighted average useful life of 8 years)</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116,990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117,280</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 (weighted average useful life of 11 years)</w:t>
            </w:r>
          </w:p>
        </w:tc>
        <w:tc>
          <w:tcPr>
            <w:tcW w:w="3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21,739</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21,792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2,912,903</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2,917,299</w:t>
            </w:r>
          </w:p>
        </w:tc>
        <w:tc>
          <w:tcPr>
            <w:tcW w:w="100" w:type="dxa"/>
            <w:vAlign w:val="bottom"/>
          </w:tcPr>
          <w:p>
            <w:pPr>
              <w:spacing w:after="0"/>
              <w:rPr>
                <w:sz w:val="13"/>
                <w:szCs w:val="13"/>
                <w:color w:val="auto"/>
              </w:rPr>
            </w:pPr>
          </w:p>
        </w:tc>
      </w:tr>
      <w:tr>
        <w:trPr>
          <w:trHeight w:val="16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Less: accumulated amortization</w:t>
            </w:r>
          </w:p>
        </w:tc>
        <w:tc>
          <w:tcPr>
            <w:tcW w:w="30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(437,411 )</w:t>
            </w:r>
          </w:p>
        </w:tc>
        <w:tc>
          <w:tcPr>
            <w:tcW w:w="2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(372,832 )</w:t>
            </w:r>
          </w:p>
        </w:tc>
      </w:tr>
      <w:tr>
        <w:trPr>
          <w:trHeight w:val="155"/>
        </w:trPr>
        <w:tc>
          <w:tcPr>
            <w:tcW w:w="760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2,475,492</w:t>
            </w:r>
          </w:p>
        </w:tc>
        <w:tc>
          <w:tcPr>
            <w:tcW w:w="28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2,544,467</w:t>
            </w:r>
          </w:p>
        </w:tc>
        <w:tc>
          <w:tcPr>
            <w:tcW w:w="100" w:type="dxa"/>
            <w:vAlign w:val="bottom"/>
            <w:tcBorders>
              <w:top w:val="single" w:sz="8" w:color="CFF0FC"/>
            </w:tcBorders>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Other assets:</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Deferred income taxes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164,909</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163,590</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Capitalized software costs, net</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245,134</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240,597</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Patents, orbital slots and other licenses, net</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115,036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112,535</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3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226,746</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217,225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751,825</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733,947</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Accrued and other liabilities:</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Collections in excess of revenues and deferred revenues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277,665</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260,264</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Accrued employee compensation</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85,092</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177,854</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Accrued vacation</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49,576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48,636</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Operating lease liabilities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69,808</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71,561</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Interest payable</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75,534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127,098</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3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233,427</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265,208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791,102</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950,621</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Other liabilities:</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Deferred revenues, long-term portion</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878,053</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896,402</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income taxes</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1,223,012</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1,228,270</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Other</w:t>
            </w: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321,213</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327,428</w:t>
            </w:r>
          </w:p>
        </w:tc>
        <w:tc>
          <w:tcPr>
            <w:tcW w:w="100" w:type="dxa"/>
            <w:vAlign w:val="bottom"/>
          </w:tcPr>
          <w:p>
            <w:pPr>
              <w:spacing w:after="0"/>
              <w:rPr>
                <w:sz w:val="13"/>
                <w:szCs w:val="13"/>
                <w:color w:val="auto"/>
              </w:rPr>
            </w:pPr>
          </w:p>
        </w:tc>
      </w:tr>
      <w:tr>
        <w:trPr>
          <w:trHeight w:val="195"/>
        </w:trPr>
        <w:tc>
          <w:tcPr>
            <w:tcW w:w="76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2,422,278</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2,452,100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-5631180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-5614035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-5631180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-5614035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-5194300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-5194300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-4516755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-3051175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-3034030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-2407920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-2193925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-1542415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-685165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6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66" w:lineRule="exact"/>
        <w:rPr>
          <w:sz w:val="20"/>
          <w:szCs w:val="20"/>
          <w:color w:val="auto"/>
        </w:rPr>
      </w:pPr>
    </w:p>
    <w:p>
      <w:pPr>
        <w:ind w:left="920" w:hanging="40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120" w:right="160" w:hanging="603"/>
        <w:spacing w:after="0" w:line="253"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0" w:lineRule="exact"/>
        <w:rPr>
          <w:rFonts w:ascii="Arial" w:cs="Arial" w:eastAsia="Arial" w:hAnsi="Arial"/>
          <w:sz w:val="18"/>
          <w:szCs w:val="18"/>
          <w:color w:val="auto"/>
        </w:rPr>
      </w:pPr>
    </w:p>
    <w:p>
      <w:pPr>
        <w:ind w:left="1120" w:right="160" w:hanging="603"/>
        <w:spacing w:after="0" w:line="271"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00"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June 30, 2024 and March 31, 2024. The Company had no liabilities measured at fair value on a recurring basis as of both June 30, 2024 and March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 Value as of</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508,282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508,282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rate cap contracts</w:t>
            </w: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33,862</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line="191" w:lineRule="exact"/>
              <w:rPr>
                <w:sz w:val="20"/>
                <w:szCs w:val="20"/>
                <w:color w:val="auto"/>
              </w:rPr>
            </w:pPr>
            <w:r>
              <w:rPr>
                <w:rFonts w:ascii="Arial" w:cs="Arial" w:eastAsia="Arial" w:hAnsi="Arial"/>
                <w:sz w:val="18"/>
                <w:szCs w:val="18"/>
                <w:color w:val="auto"/>
              </w:rPr>
              <w:t>Total assets measured at fair value on a recurring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542,144</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508,282</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33,862</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5500" w:type="dxa"/>
            <w:vAlign w:val="bottom"/>
          </w:tcPr>
          <w:p>
            <w:pPr>
              <w:ind w:left="180"/>
              <w:spacing w:after="0" w:line="195" w:lineRule="exact"/>
              <w:rPr>
                <w:sz w:val="20"/>
                <w:szCs w:val="20"/>
                <w:color w:val="auto"/>
              </w:rPr>
            </w:pPr>
            <w:r>
              <w:rPr>
                <w:rFonts w:ascii="Arial" w:cs="Arial" w:eastAsia="Arial" w:hAnsi="Arial"/>
                <w:sz w:val="18"/>
                <w:szCs w:val="18"/>
                <w:color w:val="auto"/>
              </w:rPr>
              <w:t>basis</w:t>
            </w:r>
          </w:p>
        </w:tc>
        <w:tc>
          <w:tcPr>
            <w:tcW w:w="1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 Value as of</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474,743</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474,743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rate cap contracts</w:t>
            </w: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line="191" w:lineRule="exact"/>
              <w:rPr>
                <w:sz w:val="20"/>
                <w:szCs w:val="20"/>
                <w:color w:val="auto"/>
              </w:rPr>
            </w:pPr>
            <w:r>
              <w:rPr>
                <w:rFonts w:ascii="Arial" w:cs="Arial" w:eastAsia="Arial" w:hAnsi="Arial"/>
                <w:sz w:val="18"/>
                <w:szCs w:val="18"/>
                <w:color w:val="auto"/>
              </w:rPr>
              <w:t>Total assets measured at fair value on a recurring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519,240</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474,743</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44,497</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5500" w:type="dxa"/>
            <w:vAlign w:val="bottom"/>
          </w:tcPr>
          <w:p>
            <w:pPr>
              <w:ind w:left="180"/>
              <w:spacing w:after="0" w:line="195" w:lineRule="exact"/>
              <w:rPr>
                <w:sz w:val="20"/>
                <w:szCs w:val="20"/>
                <w:color w:val="auto"/>
              </w:rPr>
            </w:pPr>
            <w:r>
              <w:rPr>
                <w:rFonts w:ascii="Arial" w:cs="Arial" w:eastAsia="Arial" w:hAnsi="Arial"/>
                <w:sz w:val="18"/>
                <w:szCs w:val="18"/>
                <w:color w:val="auto"/>
              </w:rPr>
              <w:t>basis</w:t>
            </w:r>
          </w:p>
        </w:tc>
        <w:tc>
          <w:tcPr>
            <w:tcW w:w="1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-1499235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-1499235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-1499235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-281940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-281940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-281940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with a significant portion held in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government backed qualified money market securities.</w:t>
      </w:r>
    </w:p>
    <w:p>
      <w:pPr>
        <w:spacing w:after="0" w:line="140"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i w:val="1"/>
          <w:iCs w:val="1"/>
          <w:color w:val="auto"/>
        </w:rPr>
        <w:t xml:space="preserve">Interest rate cap contracts </w:t>
      </w:r>
      <w:r>
        <w:rPr>
          <w:rFonts w:ascii="Arial" w:cs="Arial" w:eastAsia="Arial" w:hAnsi="Arial"/>
          <w:sz w:val="18"/>
          <w:szCs w:val="18"/>
          <w:color w:val="auto"/>
        </w:rPr>
        <w:t>— The Company assumed interest rate cap contracts to hedge the variable interest rate under the Inmarsat</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Facilities (see Note 1 — Basis of Presentation – Derivatives for more information). The Company’s interest rate cap contracts are valued using the forward interest rate curve at each reporting date (Level 2).</w:t>
      </w:r>
    </w:p>
    <w:p>
      <w:pPr>
        <w:spacing w:after="0" w:line="115"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As of June 30, 2024, the Company’s long-term debt was comprised of (1) $700.0 million in aggregate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Viasat's 5.625% Senior Notes due 2025 (the 2025 Notes), $600.0 million in aggregate principal amount of Viasat's 5.625% Senior Secured Notes due 2027 (the 2027 Notes), $400.0 million in aggregate principal amount of Viasat's 6.500% Senior Notes due 2028 (the 2028 Notes), $733.4 million in aggregate principal amount of Viasat’s 7.500% Senior Notes due 2031 (the 2031 Notes), $2.08 billion in aggregate principal amount of Inmarsat's 6.750% Senior Secured Notes due 2026 (the Inmarsat 2026 Notes), (2) borrowings under Viasat’s $700.0 million senior secured term loan facility (the 2022 Term Loan Facility), borrowings under Viasat’s $616.7 million senior secured term loan facility (the 2023 Term Loan Facility), borrowings under the Inmarsat Term Loan Facilities and borrowings under Viasat’s direct loan facility with the Export-Import Bank of the United States (the Ex-Im Credit Facility), and (3) finance lease obligations reported at the present value of future minimum lease payments with current accrued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interest. Long-term debt related to the Revolving Credit Facilities is reported at the outstanding principal amount of borrowings, while long-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debt related to the Company's other Credit Facilities and the Notes is reported at amortized cost. However, for disclosure purposes, the</w:t>
      </w:r>
    </w:p>
    <w:p>
      <w:pPr>
        <w:spacing w:after="0" w:line="234" w:lineRule="auto"/>
        <w:rPr>
          <w:sz w:val="20"/>
          <w:szCs w:val="20"/>
          <w:color w:val="auto"/>
        </w:rPr>
      </w:pPr>
      <w:r>
        <w:rPr>
          <w:rFonts w:ascii="Arial" w:cs="Arial" w:eastAsia="Arial" w:hAnsi="Arial"/>
          <w:sz w:val="18"/>
          <w:szCs w:val="18"/>
          <w:color w:val="auto"/>
        </w:rPr>
        <w:t>Company is required to measure the fair value of outstanding debt on a recurring basis. The fair value of the Company’s long-term debt</w:t>
      </w:r>
    </w:p>
    <w:p>
      <w:pPr>
        <w:spacing w:after="0" w:line="235" w:lineRule="auto"/>
        <w:rPr>
          <w:sz w:val="20"/>
          <w:szCs w:val="20"/>
          <w:color w:val="auto"/>
        </w:rPr>
      </w:pPr>
      <w:r>
        <w:rPr>
          <w:rFonts w:ascii="Arial" w:cs="Arial" w:eastAsia="Arial" w:hAnsi="Arial"/>
          <w:sz w:val="18"/>
          <w:szCs w:val="18"/>
          <w:color w:val="auto"/>
        </w:rPr>
        <w:t>related to the Company's variable rate Credit Facilities approximates its carrying amount due to its variable interest rate, which approximates</w:t>
      </w:r>
    </w:p>
    <w:p>
      <w:pPr>
        <w:spacing w:after="0" w:line="235" w:lineRule="auto"/>
        <w:rPr>
          <w:sz w:val="20"/>
          <w:szCs w:val="20"/>
          <w:color w:val="auto"/>
        </w:rPr>
      </w:pPr>
      <w:r>
        <w:rPr>
          <w:rFonts w:ascii="Arial" w:cs="Arial" w:eastAsia="Arial" w:hAnsi="Arial"/>
          <w:sz w:val="18"/>
          <w:szCs w:val="18"/>
          <w:color w:val="auto"/>
        </w:rPr>
        <w:t>a market interest rate. As of June 30, 2024 and March 31, 2024, the fair value of the Company’s long-term debt related to the Ex-Im Credit</w:t>
      </w:r>
    </w:p>
    <w:p>
      <w:pPr>
        <w:spacing w:after="0" w:line="235" w:lineRule="auto"/>
        <w:rPr>
          <w:sz w:val="20"/>
          <w:szCs w:val="20"/>
          <w:color w:val="auto"/>
        </w:rPr>
      </w:pPr>
      <w:r>
        <w:rPr>
          <w:rFonts w:ascii="Arial" w:cs="Arial" w:eastAsia="Arial" w:hAnsi="Arial"/>
          <w:sz w:val="18"/>
          <w:szCs w:val="18"/>
          <w:color w:val="auto"/>
        </w:rPr>
        <w:t>Facility was Level 2 and was approximately $28.8 million and $38.5 million, respectively. As of June 30, 2024 and March 31, 2024, the</w:t>
      </w:r>
    </w:p>
    <w:p>
      <w:pPr>
        <w:spacing w:after="0" w:line="235" w:lineRule="auto"/>
        <w:rPr>
          <w:sz w:val="20"/>
          <w:szCs w:val="20"/>
          <w:color w:val="auto"/>
        </w:rPr>
      </w:pPr>
      <w:r>
        <w:rPr>
          <w:rFonts w:ascii="Arial" w:cs="Arial" w:eastAsia="Arial" w:hAnsi="Arial"/>
          <w:sz w:val="18"/>
          <w:szCs w:val="18"/>
          <w:color w:val="auto"/>
        </w:rPr>
        <w:t>estimated fair value of the Company’s outstanding long-term debt related to each series of Notes was Level 2 and was $679.0 million and</w:t>
      </w:r>
    </w:p>
    <w:p>
      <w:pPr>
        <w:spacing w:after="0"/>
        <w:rPr>
          <w:sz w:val="20"/>
          <w:szCs w:val="20"/>
          <w:color w:val="auto"/>
        </w:rPr>
      </w:pPr>
      <w:r>
        <w:rPr>
          <w:rFonts w:ascii="Arial" w:cs="Arial" w:eastAsia="Arial" w:hAnsi="Arial"/>
          <w:sz w:val="17"/>
          <w:szCs w:val="17"/>
          <w:color w:val="auto"/>
        </w:rPr>
        <w:t>$680.8 million, respectively, for the 2025 Notes, $535.5 million and $564.0 million, respectively, for the 2027 Notes, $303.0 million and $307.5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for the 2028 Notes, $484.7 million and $529.9 million, respectively, for the 2031 Notes, and $2.01 billion and $2.04</w:t>
      </w:r>
    </w:p>
    <w:p>
      <w:pPr>
        <w:spacing w:after="0"/>
        <w:rPr>
          <w:sz w:val="20"/>
          <w:szCs w:val="20"/>
          <w:color w:val="auto"/>
        </w:rPr>
      </w:pPr>
      <w:r>
        <w:rPr>
          <w:rFonts w:ascii="Arial" w:cs="Arial" w:eastAsia="Arial" w:hAnsi="Arial"/>
          <w:sz w:val="18"/>
          <w:szCs w:val="18"/>
          <w:color w:val="auto"/>
        </w:rPr>
        <w:t>billion, respectively for the Inmarsat 2026 Notes.</w:t>
      </w:r>
    </w:p>
    <w:p>
      <w:pPr>
        <w:spacing w:after="0" w:line="140" w:lineRule="exact"/>
        <w:rPr>
          <w:sz w:val="20"/>
          <w:szCs w:val="20"/>
          <w:color w:val="auto"/>
        </w:rPr>
      </w:pPr>
    </w:p>
    <w:p>
      <w:pPr>
        <w:ind w:right="240" w:firstLine="509"/>
        <w:spacing w:after="0"/>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2024 and March 31, 2024, the Company’s estimated satellite performance incentive obligations relating to certain satellites in service, including accrued interest, were $14.8 million and $15.9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w:t>
      </w:r>
    </w:p>
    <w:p>
      <w:pPr>
        <w:spacing w:after="0" w:line="6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May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goodwill of $1.5 billion which was recognized in the Company's communication services segment. The goodwill recognized was not deductible for U.S. and foreign income tax purposes.</w:t>
      </w:r>
    </w:p>
    <w:p>
      <w:pPr>
        <w:spacing w:after="0" w:line="126"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consideration transferred of approximately $2.7 billion was comprised of $2.1 billion of the fair value of approximately 46.36 million shares of the Company’s common stock issued at the closing of the transaction and $550.7 million in cash consideration. In connection with the Inmarsat Acquisition, the Company recorded acquisition-related transaction costs of zero and $27.4 million during the three months ended June 30, 2024 and 2023, respectively, included in selling, general and administrative expenses.</w:t>
      </w:r>
    </w:p>
    <w:p>
      <w:pPr>
        <w:spacing w:after="0" w:line="120"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purchase price allocation of the acquired assets and assumed liabilities in the Inmarsat Acquisition based on the estimated fair values as of May 30, 2023, adjusted since the closing of the Inmarsat Acquisition, primarily between property, equipment and satellites, identifiable intangible assets, deferred tax liabilities and goodwill,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6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641,893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3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4,363,049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3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assets</w:t>
            </w:r>
          </w:p>
        </w:tc>
        <w:tc>
          <w:tcPr>
            <w:tcW w:w="3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 acquired</w:t>
            </w:r>
          </w:p>
        </w:tc>
        <w:tc>
          <w:tcPr>
            <w:tcW w:w="36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7,963,687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Current liabilities</w:t>
            </w:r>
          </w:p>
        </w:tc>
        <w:tc>
          <w:tcPr>
            <w:tcW w:w="3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(598,296 )</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excluding short-term portion</w:t>
            </w:r>
          </w:p>
        </w:tc>
        <w:tc>
          <w:tcPr>
            <w:tcW w:w="3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(3,519,774 )</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(2,629,406 )</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assumed</w:t>
            </w:r>
          </w:p>
        </w:tc>
        <w:tc>
          <w:tcPr>
            <w:tcW w:w="3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(6,747,476 )</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Goodwill</w:t>
            </w:r>
          </w:p>
        </w:tc>
        <w:tc>
          <w:tcPr>
            <w:tcW w:w="3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1,462,881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Total consideration transferred</w:t>
            </w:r>
          </w:p>
        </w:tc>
        <w:tc>
          <w:tcPr>
            <w:tcW w:w="36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2,679,092</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633"/>
        </w:trPr>
        <w:tc>
          <w:tcPr>
            <w:tcW w:w="580" w:type="dxa"/>
            <w:vAlign w:val="bottom"/>
          </w:tcPr>
          <w:p>
            <w:pPr>
              <w:spacing w:after="0"/>
              <w:rPr>
                <w:sz w:val="24"/>
                <w:szCs w:val="24"/>
                <w:color w:val="auto"/>
              </w:rPr>
            </w:pPr>
          </w:p>
        </w:tc>
        <w:tc>
          <w:tcPr>
            <w:tcW w:w="426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2170"/>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32"/>
        </w:trPr>
        <w:tc>
          <w:tcPr>
            <w:tcW w:w="5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-899160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Current liabilities and other long-term liabilities include approximately $29.6 million and $248.3 million, respectively, of unfavorable contract liabilities amortized into service revenue over a weighted average estimated useful life of approximately nine years. Amounts assigned to identifiable intangible assets are being amortized on a straight-line basis over their determined useful lives (which approximates the economic pattern of benefit) and are as follows as of May 30, 2023:</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229"/>
        </w:trPr>
        <w:tc>
          <w:tcPr>
            <w:tcW w:w="5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jc w:val="right"/>
              <w:ind w:right="71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 Useful Life</w:t>
            </w:r>
          </w:p>
        </w:tc>
      </w:tr>
      <w:tr>
        <w:trPr>
          <w:trHeight w:val="205"/>
        </w:trPr>
        <w:tc>
          <w:tcPr>
            <w:tcW w:w="5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7"/>
                <w:szCs w:val="17"/>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Orbital slots and spectrum assets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1,080,000</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1,305,000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3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Trade names</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6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identifiable intangible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2,570,000</w:t>
            </w:r>
          </w:p>
        </w:tc>
        <w:tc>
          <w:tcPr>
            <w:tcW w:w="2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Management determined the fair value of acquired customer relationships by applying the multi-period excess earnings method, which involved the use of significant judgments and assumptions related to revenue growth rates, customer attrition rates, discount rates, and contributory asset charges. Additionally, management determined the fair value of acquired orbital slots and spectrum assets using an avoided cost method, which involved the use of significant judgments and assumptions related to hypothetical lease payments, discount rates, and contributory asset charges.</w:t>
      </w:r>
    </w:p>
    <w:p>
      <w:pPr>
        <w:spacing w:after="0" w:line="122" w:lineRule="exact"/>
        <w:rPr>
          <w:sz w:val="20"/>
          <w:szCs w:val="20"/>
          <w:color w:val="auto"/>
        </w:rPr>
      </w:pPr>
    </w:p>
    <w:p>
      <w:pPr>
        <w:ind w:right="460" w:firstLine="509"/>
        <w:spacing w:after="0" w:line="301" w:lineRule="auto"/>
        <w:rPr>
          <w:sz w:val="20"/>
          <w:szCs w:val="20"/>
          <w:color w:val="auto"/>
        </w:rPr>
      </w:pPr>
      <w:r>
        <w:rPr>
          <w:rFonts w:ascii="Arial" w:cs="Arial" w:eastAsia="Arial" w:hAnsi="Arial"/>
          <w:sz w:val="17"/>
          <w:szCs w:val="17"/>
          <w:color w:val="auto"/>
        </w:rPr>
        <w:t>The intangible assets acquired in the Inmarsat Acquisition were determined in accordance with ASC 805, based on estimated fair values using valuation techniques consistent with the market approach, income approach and/or cost approach to measure fair value.</w:t>
      </w:r>
    </w:p>
    <w:p>
      <w:pPr>
        <w:spacing w:after="0" w:line="77"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condensed consolidated financial statements include the operating results of Inmarsat from the date of its acquisition on May 30, 2023. The Company recorded approximately $134.1 million and an insignificant amount of revenue and net income, respectively, from the Inmarsat business during the three months ended June 30, 2023 for the period following the acquisition date, which was recorded in the Company's communication services segment in the condensed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 months ended June 30, 2023 includes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Three Months Ended</w:t>
            </w:r>
          </w:p>
        </w:tc>
      </w:tr>
      <w:tr>
        <w:trPr>
          <w:trHeight w:val="205"/>
        </w:trPr>
        <w:tc>
          <w:tcPr>
            <w:tcW w:w="75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center"/>
              <w:ind w:right="54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r>
      <w:tr>
        <w:trPr>
          <w:trHeight w:val="223"/>
        </w:trPr>
        <w:tc>
          <w:tcPr>
            <w:tcW w:w="7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3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1,050,226</w:t>
            </w:r>
          </w:p>
        </w:tc>
        <w:tc>
          <w:tcPr>
            <w:tcW w:w="100" w:type="dxa"/>
            <w:vAlign w:val="bottom"/>
            <w:shd w:val="clear" w:color="auto" w:fill="CFF0FC"/>
          </w:tcPr>
          <w:p>
            <w:pPr>
              <w:spacing w:after="0"/>
              <w:rPr>
                <w:sz w:val="19"/>
                <w:szCs w:val="19"/>
                <w:color w:val="auto"/>
              </w:rPr>
            </w:pPr>
          </w:p>
        </w:tc>
      </w:tr>
      <w:tr>
        <w:trPr>
          <w:trHeight w:val="239"/>
        </w:trPr>
        <w:tc>
          <w:tcPr>
            <w:tcW w:w="7500" w:type="dxa"/>
            <w:vAlign w:val="bottom"/>
          </w:tcPr>
          <w:p>
            <w:pPr>
              <w:ind w:left="20"/>
              <w:spacing w:after="0"/>
              <w:rPr>
                <w:sz w:val="20"/>
                <w:szCs w:val="20"/>
                <w:color w:val="auto"/>
              </w:rPr>
            </w:pPr>
            <w:r>
              <w:rPr>
                <w:rFonts w:ascii="Arial" w:cs="Arial" w:eastAsia="Arial" w:hAnsi="Arial"/>
                <w:sz w:val="18"/>
                <w:szCs w:val="18"/>
                <w:color w:val="auto"/>
              </w:rPr>
              <w:t>Net income (loss) attributable to Viasat, Inc.</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3140" w:type="dxa"/>
            <w:vAlign w:val="bottom"/>
            <w:gridSpan w:val="2"/>
          </w:tcPr>
          <w:p>
            <w:pPr>
              <w:jc w:val="right"/>
              <w:ind w:right="40"/>
              <w:spacing w:after="0"/>
              <w:rPr>
                <w:sz w:val="20"/>
                <w:szCs w:val="20"/>
                <w:color w:val="auto"/>
              </w:rPr>
            </w:pPr>
            <w:r>
              <w:rPr>
                <w:rFonts w:ascii="Arial" w:cs="Arial" w:eastAsia="Arial" w:hAnsi="Arial"/>
                <w:sz w:val="18"/>
                <w:szCs w:val="18"/>
                <w:color w:val="auto"/>
              </w:rPr>
              <w:t>(41,962 )</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Shares Used In Computing Diluted Net Income (Loss) Per Share</w:t>
      </w:r>
    </w:p>
    <w:p>
      <w:pPr>
        <w:spacing w:after="0" w:line="7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months ended June 30, 2024 and 2023, as the Company incurred a net loss attributable to Viasat, Inc. common stockholders for such periods and inclusion of potentially dilutive weighted average shares of common stock would be antidilutive.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Potentially dilutive weighted average shares excluded from the calculation for the three months ended June 30, 2024 and 2023 consisted of 221,949 shares and 209,581 shares, respectively, related to stock options (other than market-based performance stock options), zero and 1,714,844 shares, respectively, related to market-based performance stock options and market condition PSUs, 3,705,569 shares and 2,056,995 shares, respectively, related to restricted stock units (other than PSUs), 72,660 and zero shares, respectively, related to performance condition PSUs, and 1,666,593 shares and 626,271 shares, respectively, related to certain terms of the Viasat 401(k) Profit Sharing Plan and Employee Stock Purchase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6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During the three months ended June 30, 2024, the insignificant decrease in the Company’s goodwill primarily related to foreign currency translation effect recorded within both of the Company's segments. During the three months ended June 30, 2023, the increase in the Company’s goodwill primarily related to the Inmarsat Acquisition (see Note 4 — Acquisition for more information) and foreign currency translation effect recorded within both of the Company’s segments.</w:t>
      </w:r>
    </w:p>
    <w:p>
      <w:pPr>
        <w:spacing w:after="0" w:line="12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 intangible assets was $66.2 million and $27.8 million for the three months ended June 30, 2024 and 2023,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June 30, 2024 and March 31, 2024:</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r>
      <w:tr>
        <w:trPr>
          <w:trHeight w:val="185"/>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2024</w:t>
            </w:r>
          </w:p>
        </w:tc>
        <w:tc>
          <w:tcPr>
            <w:tcW w:w="80" w:type="dxa"/>
            <w:vAlign w:val="bottom"/>
          </w:tcPr>
          <w:p>
            <w:pPr>
              <w:spacing w:after="0"/>
              <w:rPr>
                <w:sz w:val="16"/>
                <w:szCs w:val="16"/>
                <w:color w:val="auto"/>
              </w:rPr>
            </w:pPr>
          </w:p>
        </w:tc>
      </w:tr>
      <w:tr>
        <w:trPr>
          <w:trHeight w:val="183"/>
        </w:trPr>
        <w:tc>
          <w:tcPr>
            <w:tcW w:w="4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2031</w:t>
            </w:r>
          </w:p>
        </w:tc>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733,400</w:t>
            </w:r>
          </w:p>
        </w:tc>
        <w:tc>
          <w:tcPr>
            <w:tcW w:w="80" w:type="dxa"/>
            <w:vAlign w:val="bottom"/>
            <w:shd w:val="clear" w:color="auto" w:fill="CFF0FC"/>
          </w:tcPr>
          <w:p>
            <w:pPr>
              <w:spacing w:after="0"/>
              <w:rPr>
                <w:sz w:val="19"/>
                <w:szCs w:val="19"/>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2028</w:t>
            </w:r>
          </w:p>
        </w:tc>
        <w:tc>
          <w:tcPr>
            <w:tcW w:w="4820" w:type="dxa"/>
            <w:vAlign w:val="bottom"/>
          </w:tcPr>
          <w:p>
            <w:pPr>
              <w:ind w:left="20"/>
              <w:spacing w:after="0"/>
              <w:rPr>
                <w:sz w:val="20"/>
                <w:szCs w:val="20"/>
                <w:color w:val="auto"/>
              </w:rPr>
            </w:pPr>
            <w:r>
              <w:rPr>
                <w:rFonts w:ascii="Arial" w:cs="Arial" w:eastAsia="Arial" w:hAnsi="Arial"/>
                <w:sz w:val="18"/>
                <w:szCs w:val="18"/>
                <w:color w:val="auto"/>
              </w:rPr>
              <w:t>Notes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9"/>
                <w:szCs w:val="19"/>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Inmarsat 2026 Notes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2,075,000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2,075,000</w:t>
            </w:r>
          </w:p>
        </w:tc>
        <w:tc>
          <w:tcPr>
            <w:tcW w:w="80" w:type="dxa"/>
            <w:vAlign w:val="bottom"/>
          </w:tcPr>
          <w:p>
            <w:pPr>
              <w:spacing w:after="0"/>
              <w:rPr>
                <w:sz w:val="19"/>
                <w:szCs w:val="19"/>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2022</w:t>
            </w:r>
          </w:p>
        </w:tc>
        <w:tc>
          <w:tcPr>
            <w:tcW w:w="4820" w:type="dxa"/>
            <w:vAlign w:val="bottom"/>
          </w:tcPr>
          <w:p>
            <w:pPr>
              <w:ind w:left="20"/>
              <w:spacing w:after="0"/>
              <w:rPr>
                <w:sz w:val="20"/>
                <w:szCs w:val="20"/>
                <w:color w:val="auto"/>
              </w:rPr>
            </w:pPr>
            <w:r>
              <w:rPr>
                <w:rFonts w:ascii="Arial" w:cs="Arial" w:eastAsia="Arial" w:hAnsi="Arial"/>
                <w:sz w:val="18"/>
                <w:szCs w:val="18"/>
                <w:color w:val="auto"/>
              </w:rPr>
              <w:t>Term Loan Facility</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686,000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687,750</w:t>
            </w:r>
          </w:p>
        </w:tc>
        <w:tc>
          <w:tcPr>
            <w:tcW w:w="80" w:type="dxa"/>
            <w:vAlign w:val="bottom"/>
          </w:tcPr>
          <w:p>
            <w:pPr>
              <w:spacing w:after="0"/>
              <w:rPr>
                <w:sz w:val="19"/>
                <w:szCs w:val="19"/>
                <w:color w:val="auto"/>
              </w:rPr>
            </w:pPr>
          </w:p>
        </w:tc>
      </w:tr>
      <w:tr>
        <w:trPr>
          <w:trHeight w:val="229"/>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Facility</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613,617</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Inmarsat Term Loan Facilities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1,596,750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1,600,000</w:t>
            </w:r>
          </w:p>
        </w:tc>
        <w:tc>
          <w:tcPr>
            <w:tcW w:w="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39,304</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Viasat Revolving Credit Facility</w:t>
            </w:r>
          </w:p>
        </w:tc>
        <w:tc>
          <w:tcPr>
            <w:tcW w:w="26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Inmarsat Revolving Credit Facility</w:t>
            </w: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Finance lease obligations (see Note 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w:t>
            </w:r>
          </w:p>
        </w:tc>
        <w:tc>
          <w:tcPr>
            <w:tcW w:w="80" w:type="dxa"/>
            <w:vAlign w:val="bottom"/>
          </w:tcPr>
          <w:p>
            <w:pPr>
              <w:spacing w:after="0"/>
              <w:rPr>
                <w:sz w:val="19"/>
                <w:szCs w:val="19"/>
                <w:color w:val="auto"/>
              </w:rPr>
            </w:pPr>
          </w:p>
        </w:tc>
      </w:tr>
      <w:tr>
        <w:trPr>
          <w:trHeight w:val="223"/>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7,456,369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7,475,842</w:t>
            </w:r>
          </w:p>
        </w:tc>
        <w:tc>
          <w:tcPr>
            <w:tcW w:w="80" w:type="dxa"/>
            <w:vAlign w:val="bottom"/>
            <w:shd w:val="clear" w:color="auto" w:fill="CFF0FC"/>
          </w:tcPr>
          <w:p>
            <w:pPr>
              <w:spacing w:after="0"/>
              <w:rPr>
                <w:sz w:val="19"/>
                <w:szCs w:val="19"/>
                <w:color w:val="auto"/>
              </w:rPr>
            </w:pPr>
          </w:p>
        </w:tc>
      </w:tr>
      <w:tr>
        <w:trPr>
          <w:trHeight w:val="197"/>
        </w:trPr>
        <w:tc>
          <w:tcPr>
            <w:tcW w:w="5260" w:type="dxa"/>
            <w:vAlign w:val="bottom"/>
            <w:gridSpan w:val="2"/>
          </w:tcPr>
          <w:p>
            <w:pPr>
              <w:spacing w:after="0" w:line="197" w:lineRule="exact"/>
              <w:rPr>
                <w:sz w:val="20"/>
                <w:szCs w:val="20"/>
                <w:color w:val="auto"/>
              </w:rPr>
            </w:pPr>
            <w:r>
              <w:rPr>
                <w:rFonts w:ascii="Arial" w:cs="Arial" w:eastAsia="Arial" w:hAnsi="Arial"/>
                <w:sz w:val="18"/>
                <w:szCs w:val="18"/>
                <w:color w:val="auto"/>
              </w:rPr>
              <w:t>Unamortized discount, debt issuance costs and fair value</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5260" w:type="dxa"/>
            <w:vAlign w:val="bottom"/>
            <w:gridSpan w:val="2"/>
          </w:tcPr>
          <w:p>
            <w:pPr>
              <w:spacing w:after="0"/>
              <w:rPr>
                <w:sz w:val="20"/>
                <w:szCs w:val="20"/>
                <w:color w:val="auto"/>
              </w:rPr>
            </w:pPr>
            <w:r>
              <w:rPr>
                <w:rFonts w:ascii="Arial" w:cs="Arial" w:eastAsia="Arial" w:hAnsi="Arial"/>
                <w:sz w:val="18"/>
                <w:szCs w:val="18"/>
                <w:color w:val="auto"/>
              </w:rPr>
              <w:t>adjustments made in purchase accounting</w:t>
            </w:r>
          </w:p>
        </w:tc>
        <w:tc>
          <w:tcPr>
            <w:tcW w:w="26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(269,757 )</w:t>
            </w:r>
          </w:p>
        </w:tc>
        <w:tc>
          <w:tcPr>
            <w:tcW w:w="2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(288,553 )</w:t>
            </w:r>
          </w:p>
        </w:tc>
      </w:tr>
      <w:tr>
        <w:trPr>
          <w:trHeight w:val="230"/>
        </w:trPr>
        <w:tc>
          <w:tcPr>
            <w:tcW w:w="5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57,764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7,128,848</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7,129,235</w:t>
            </w:r>
          </w:p>
        </w:tc>
        <w:tc>
          <w:tcPr>
            <w:tcW w:w="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-179070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Term Loan Facility</w:t>
      </w:r>
    </w:p>
    <w:p>
      <w:pPr>
        <w:spacing w:after="0" w:line="61"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In March 2022, the Company entered into the $700.0 million 2022 Term Loan Facility, which was fully drawn at closing and matures on March 4, 2029. At June 30, 2024, the Company had $686.0 million in principal amount of outstanding borrowings under the 2022 Term Loan Facility.</w:t>
      </w:r>
    </w:p>
    <w:p>
      <w:pPr>
        <w:spacing w:after="0" w:line="11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Borrowings under the 2022 Term Loan Facility are required to be repaid in quarterly installments of $1.75 million each, which commenced on September 30, 2022, followed by a final installment of $654.5 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June 30, 2024, the effective interest rate on the Company’s outstanding borrowings under the 2022 Term Loan Facility was 10.38%. The 2022 Term Loan Facility is required to be guaranteed by certain</w:t>
      </w:r>
    </w:p>
    <w:p>
      <w:pPr>
        <w:sectPr>
          <w:pgSz w:w="11900" w:h="16838" w:orient="portrait"/>
          <w:cols w:equalWidth="0" w:num="1">
            <w:col w:w="11240"/>
          </w:cols>
          <w:pgMar w:left="320" w:top="769"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significant domestic subsidiaries of the Company (as defined in the 2022 Term Loan Facility) and secured by substantially all of the Company’s and any such subsidiaries’ assets. As of June 30, 2024, none of the Company’s subsidiaries guaranteed the 2022 Term Loan Facility.</w:t>
      </w:r>
    </w:p>
    <w:p>
      <w:pPr>
        <w:spacing w:after="0" w:line="115"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The 2022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2022 Term Loan Facility as of June 30, 2024.</w:t>
      </w:r>
    </w:p>
    <w:p>
      <w:pPr>
        <w:spacing w:after="0" w:line="115"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 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Term Loan Facility</w:t>
      </w:r>
    </w:p>
    <w:p>
      <w:pPr>
        <w:spacing w:after="0" w:line="6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 connection with the closing of the Inmarsat Acquisition, on May 30, 2023, the Company entered into the $616.7 million 2023 Term Loan Facility, which was fully drawn at closing and matures on May 30, 2030. At June 30, 2024, the Company had $612.1 million in principal amount of outstanding borrowings under the 2023 Term Loan Facility.</w:t>
      </w:r>
    </w:p>
    <w:p>
      <w:pPr>
        <w:spacing w:after="0" w:line="11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June 30, 2024, the effective interest rate on the Company’s outstanding borrowings under the 2023 Term Loan Facility was 10.92%. The 2023 Term Loan Facility is required to be guaranteed by certain significant domestic subsidiaries of the Company (as defined in the 2023 Term Loan Facility) and secured by substantially all of the Company’s assets and any such subsidiaries' assets. As of June 30, 2024, none of the Company’s subsidiaries guaranteed the 2023 Term Loan Facility.</w:t>
      </w:r>
    </w:p>
    <w:p>
      <w:pPr>
        <w:spacing w:after="0" w:line="132"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The 2023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2023 Term Loan Facility as of June 30, 2024.</w:t>
      </w:r>
    </w:p>
    <w:p>
      <w:pPr>
        <w:spacing w:after="0" w:line="115"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 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6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June 30, 2024, the Company had $29.5 million in principal amount of outstanding borrowings under the Ex-Im Credit Facility.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2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June 30, 2024.</w:t>
      </w:r>
    </w:p>
    <w:p>
      <w:pPr>
        <w:spacing w:after="0" w:line="12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Viasat Revolving Credit Facility</w:t>
      </w:r>
    </w:p>
    <w:p>
      <w:pPr>
        <w:spacing w:after="0" w:line="61"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As of June 30, 2024, Viasat's revolving credit facility (the Viasat Revolving Credit Facility) provided a $647.5 million revolving line of credit (including up to $150.0 million of letters of credit), with a maturity date of the earliest of (A) August 24, 2028 and (B) t</w:t>
      </w:r>
      <w:r>
        <w:rPr>
          <w:rFonts w:ascii="Arial" w:cs="Arial" w:eastAsia="Arial" w:hAnsi="Arial"/>
          <w:sz w:val="18"/>
          <w:szCs w:val="18"/>
          <w:color w:val="212529"/>
        </w:rPr>
        <w:t>he springing</w:t>
      </w:r>
      <w:r>
        <w:rPr>
          <w:rFonts w:ascii="Arial" w:cs="Arial" w:eastAsia="Arial" w:hAnsi="Arial"/>
          <w:sz w:val="18"/>
          <w:szCs w:val="18"/>
          <w:color w:val="auto"/>
        </w:rPr>
        <w:t xml:space="preserve"> </w:t>
      </w:r>
      <w:r>
        <w:rPr>
          <w:rFonts w:ascii="Arial" w:cs="Arial" w:eastAsia="Arial" w:hAnsi="Arial"/>
          <w:sz w:val="18"/>
          <w:szCs w:val="18"/>
          <w:color w:val="212529"/>
        </w:rPr>
        <w:t>maturity date (as defined in the Viasat Revolving Credit Agreement, which is effectively 91 days prior to the maturity date of certain material debt for borrowed money of Viasat and its subsidiaries to the extent certain conditions have not been satisfied as of such date)</w:t>
      </w:r>
      <w:r>
        <w:rPr>
          <w:rFonts w:ascii="Arial" w:cs="Arial" w:eastAsia="Arial" w:hAnsi="Arial"/>
          <w:sz w:val="18"/>
          <w:szCs w:val="18"/>
          <w:color w:val="000000"/>
        </w:rPr>
        <w:t>. At June 30,</w:t>
      </w:r>
      <w:r>
        <w:rPr>
          <w:rFonts w:ascii="Arial" w:cs="Arial" w:eastAsia="Arial" w:hAnsi="Arial"/>
          <w:sz w:val="18"/>
          <w:szCs w:val="18"/>
          <w:color w:val="212529"/>
        </w:rPr>
        <w:t xml:space="preserve"> </w:t>
      </w:r>
      <w:r>
        <w:rPr>
          <w:rFonts w:ascii="Arial" w:cs="Arial" w:eastAsia="Arial" w:hAnsi="Arial"/>
          <w:sz w:val="18"/>
          <w:szCs w:val="18"/>
          <w:color w:val="000000"/>
        </w:rPr>
        <w:t>2024, the Company had no outstanding borrowings under the Viasat Revolving Credit Facility and $59.2 million outstanding under standby letters of credit, leaving borrowing availability under the Viasat Revolving Credit Facility as of June 30, 2024 of $588.3 million.</w:t>
      </w:r>
    </w:p>
    <w:p>
      <w:pPr>
        <w:spacing w:after="0" w:line="12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 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June 30, 2024, none of the Company’s subsidiaries guaranteed the Viasat Revolving Credit Facility.</w:t>
      </w:r>
    </w:p>
    <w:p>
      <w:pPr>
        <w:spacing w:after="0" w:line="12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Viasat Revolving Credit Facility contains financial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financial covenants under the Viasat Revolving Credit Facility as of June 30, 2024.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Secured Credit Facilities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2024, the Inmarsat Secured Credit Facilities comprised an aggregate of $1.6 billion of Inmarsat Term Loan Facilities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(consisting of the new $1.3 billion New Term Loan Facility and $300.0 million in aggregate principal amount of outstanding borrowings under</w:t>
      </w:r>
    </w:p>
    <w:p>
      <w:pPr>
        <w:spacing w:after="0" w:line="234" w:lineRule="auto"/>
        <w:rPr>
          <w:sz w:val="20"/>
          <w:szCs w:val="20"/>
          <w:color w:val="auto"/>
        </w:rPr>
      </w:pPr>
      <w:r>
        <w:rPr>
          <w:rFonts w:ascii="Arial" w:cs="Arial" w:eastAsia="Arial" w:hAnsi="Arial"/>
          <w:sz w:val="18"/>
          <w:szCs w:val="18"/>
          <w:color w:val="auto"/>
        </w:rPr>
        <w:t>the prior Inmarsat term loan facility (the Original Term Loan Facility)) and Inmarsat's $550.0 million revolving line of credit (including up to</w:t>
      </w:r>
    </w:p>
    <w:p>
      <w:pPr>
        <w:spacing w:after="0" w:line="235" w:lineRule="auto"/>
        <w:rPr>
          <w:sz w:val="20"/>
          <w:szCs w:val="20"/>
          <w:color w:val="auto"/>
        </w:rPr>
      </w:pPr>
      <w:r>
        <w:rPr>
          <w:rFonts w:ascii="Arial" w:cs="Arial" w:eastAsia="Arial" w:hAnsi="Arial"/>
          <w:sz w:val="18"/>
          <w:szCs w:val="18"/>
          <w:color w:val="auto"/>
        </w:rPr>
        <w:t>$100.0 million of letters of credit) (the Inmarsat Revolving Credit Facility). As of June 30, 2024, Inmarsat had $1.6 billion in principal amount</w:t>
      </w:r>
    </w:p>
    <w:p>
      <w:pPr>
        <w:spacing w:after="0" w:line="235" w:lineRule="auto"/>
        <w:rPr>
          <w:sz w:val="20"/>
          <w:szCs w:val="20"/>
          <w:color w:val="auto"/>
        </w:rPr>
      </w:pPr>
      <w:r>
        <w:rPr>
          <w:rFonts w:ascii="Arial" w:cs="Arial" w:eastAsia="Arial" w:hAnsi="Arial"/>
          <w:sz w:val="18"/>
          <w:szCs w:val="18"/>
          <w:color w:val="auto"/>
        </w:rPr>
        <w:t>of outstanding borrowings under the Inmarsat Term Loan Facilities. As of June 30, 2024, the Inmarsat Revolving Credit Facility was undrawn</w:t>
      </w:r>
    </w:p>
    <w:p>
      <w:pPr>
        <w:spacing w:after="0" w:line="235" w:lineRule="auto"/>
        <w:rPr>
          <w:sz w:val="20"/>
          <w:szCs w:val="20"/>
          <w:color w:val="auto"/>
        </w:rPr>
      </w:pPr>
      <w:r>
        <w:rPr>
          <w:rFonts w:ascii="Arial" w:cs="Arial" w:eastAsia="Arial" w:hAnsi="Arial"/>
          <w:sz w:val="18"/>
          <w:szCs w:val="18"/>
          <w:color w:val="auto"/>
        </w:rPr>
        <w:t>and there were no amounts outstanding under standby letters of credit, leaving borrowing availability under the Inmarsat Revolving Credit</w:t>
      </w:r>
    </w:p>
    <w:p>
      <w:pPr>
        <w:spacing w:after="0"/>
        <w:rPr>
          <w:sz w:val="20"/>
          <w:szCs w:val="20"/>
          <w:color w:val="auto"/>
        </w:rPr>
      </w:pPr>
      <w:r>
        <w:rPr>
          <w:rFonts w:ascii="Arial" w:cs="Arial" w:eastAsia="Arial" w:hAnsi="Arial"/>
          <w:sz w:val="18"/>
          <w:szCs w:val="18"/>
          <w:color w:val="auto"/>
        </w:rPr>
        <w:t>Facility as of June 30, 2024 of $550.0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On March 28, 2024, the Inmarsat Secured Credit Facilities were amended to (among other matters): (1) provide for the $1.3 billion New Term Loan Facility, the proceeds of which, together with cash on hand, were used to repay approximately $1.38 billion of the outstanding borrowings under the Original Term Loan Facility, resulting in $300.0 million in principal amount of borrowings remaining outstanding under the Original Term Loan Facility at the closing of the amendment, and (2) replace the prior $700.0 million revolving credit facility maturing in December 2024 with a new $550.0 million (undrawn) Inmarsat Revolving Credit Facility that matures in March 2027 or earlier and due on such date if more than $100.0 million of borrowings are outstanding 91 days prior to the maturity of either the Original Term Loan Facility or the Inmarsat 2026 Notes. The maturity date for the New Term Loan Facility is September 28, 2029. Borrowings under the New Term Loan Facility are required to be repaid in quarterly installments of $3.25 million each, beginning in the quarter ending June 30, 2024, followed by a final installment of $1.23 billion at maturity. As a result of the voluntary prepayments at the closing of the amendment, all quarterly amortization installments with respect to the Original Term Loan Facility have been reduced to $0, with the only remaining scheduled principal repayment being a final installment of $300.0 million at the maturity date on December 12, 2026.</w:t>
      </w:r>
    </w:p>
    <w:p>
      <w:pPr>
        <w:spacing w:after="0" w:line="13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Borrowings under the Inmarsat Secured Credit Facilities: (1) in the case of borrowings denominated in U.S. Dollars, bear interest, at Inmarsat's option, at either (i) the highest of (x) for the Original Term Loan Facility, the greater of the federal funds rate or the overnight banking fund rate for such day plus 0.50% and for the New Term Loan Facility, the federal funds rate plus 0.50%, (y) the forward-looking one-month term SOFR rate plus 1.00% or (z) the administrative agent's prime rate as announced from time to time, or (ii) the forward-looking term SOFR rate for the applicable interest period (subject to, in the case of the New Term Loan Facility, a floor of 0.50% per annum, in the case of the Inmarsat Revolving Credit Facility, a floor of 0.00% per annum and, in the case of the Original Term Loan Facility, a floor of 1.00%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Original Term Loan Facility is 2.50% per annum for base rate loans and 3.50% per annum for SOFR loans. The applicable margin for the New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June 30, 2024, the weighted average effective interest rate on the Company's outstanding borrowings under the Inmarsat Term Loan Facilities, including the impact of interest rate cap contracts (see Note 1 — Basis of Presentation – Derivatives for more information), was approximately 9.48%. The Inmarsat Secured Credit Facilities are required to be guaranteed by certain material Inmarsat subsidiaries and secured by substantially all of the assets of the Inmarsat borrowers and subsidiary guarantors.</w:t>
      </w:r>
    </w:p>
    <w:p>
      <w:pPr>
        <w:spacing w:after="0" w:line="132"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Inmarsat Secured Credit Facilities contain covenants that restrict, among other things, Inmarsat’s ability to incur additional debt, grant liens, sell assets, make investments and acquisitions, pay dividends and make certain other restricted payments. In addition, financial covenants regarding Inmarsat’s total net leverage ratio and interest coverage ratio apply to the Inmarsat Revolving Credit Facility. The borrowers under the Inmarsat Secured Credit Facilities were in compliance with the financial covenants under the Inmarsat Secured Credit Facilities as of June 30, 2024.</w:t>
      </w:r>
    </w:p>
    <w:p>
      <w:pPr>
        <w:spacing w:after="0" w:line="12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Borrowings under the Inmarsat Term Loan Facilities are recorded as current portion of long-term debt and as other long-term debt, net of unamortized discount, unamortized fair value adjustment made in purchase accounting and debt issuance costs, in the Company’s condensed consolidated financial statements. The New Term Loan Facility was issued with an original issue discount of 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2031</w:t>
      </w:r>
    </w:p>
    <w:p>
      <w:pPr>
        <w:spacing w:after="0" w:line="6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On September 28, 2023, the Company issued $733.4 million in principal amount of 2031 Notes in a private placement to institutional buyers to replace the $733.4 million unsecured bridge loan facility that was entered into in connection with the closing of the Inmarsat Acquisition on May 30, 2023. The 2031 Notes were issued at face value and are recorded as long-term debt, net of debt issuance costs, in the Company’s condensed consolidated financial statements. The 2031 Notes bear interest at the rate of 7.500% per year, payable semi-annually in cash in arrears, which interest payments commenced at the end of May 2024. Debt issuance costs associated with the issuance of the 2031 Notes are amortized to interest expense on a straight-line basis over the term of the 2031 Notes, the results of which are not materially different from the effective interest rate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2031 Notes are required to be guaranteed on an unsecured senior basis by each of the Company’s existing and future subsidiaries that guarantees the Viasat Revolving Credit Facility. As of June 30, 2024,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spacing w:after="0" w:line="131"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Prior to May 30, 2026, the Company may redeem up to 40% of the 2031 Notes at a redemption price of 107.500% of the principal amount thereof, plus accrued and unpaid interest, if any, thereon to the redemption date, from the net cash proceeds of specified equity offerings. The Company may also redeem the 2031 Notes prior to May 30, 2026, in whole or in part, at a redemption price equal to 100% of the principal amount thereof plus a “make whole” premium and any accrued and unpaid interest, if any, thereon to the redemption date. 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spacing w:after="0" w:line="131"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6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2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Viasat Revolving Credit Facility. As of June 30, 2024,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31"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2028 Notes may be redeemed, in whole or in part, at any time during the 12 months beginning on July 15, 2024 at a redemption price of 101.625%, and at any time on or after July 15, 2025 at a redemption price of 100%, in each case plus accrued and unpaid interest, if any, thereon to the redemption date.</w:t>
      </w:r>
    </w:p>
    <w:p>
      <w:pPr>
        <w:spacing w:after="0" w:line="115"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6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25"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Viasat Revolving Credit Facility. As of June 30, 2024,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31"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8"/>
          <w:szCs w:val="18"/>
          <w:color w:val="auto"/>
        </w:rPr>
        <w:t>The 2027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In July 2024, subsequent to quarter end, the Company repurchased $50.5 million in aggregate principal amount of 2025 Notes in open market transactions.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3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Viasat Revolving Credit Facility. As of June 30, 2024,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31"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2025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2026</w:t>
      </w:r>
    </w:p>
    <w:p>
      <w:pPr>
        <w:spacing w:after="0" w:line="6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October 2019, certain subsidiaries of Inmarsat Holdings issued $2.08 billion in principal amount of Inmarsat 2026 Notes in a private placement to institutional buyers. In July 2024, subsequent to quarter end, Inmarsat repurchased $101.7 million in aggregate principal amount of Inmarsat 2026 Notes in open market transactions. The Inmarsat 2026 Notes bear interest at the rate of 6.750% per year, payable semi-annually in cash in arrears.</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Inmarsat 2026 Notes are secured by pari passu first priority liens on the collateral securing the Inmarsat Secured Credit Facilities, and are required to be guaranteed on a senior secured basis by restricted subsidiaries of Inmarsat Holdings that guarantee or are borrowers under Inmarsat’s senior secured indebtedness, subject to exceptions. The Inmarsat 2026 Notes are required to be guaranteed by the subsidiaries guaranteeing the Inmarsat Secured Credit Facilities.</w:t>
      </w:r>
    </w:p>
    <w:p>
      <w:pPr>
        <w:spacing w:after="0" w:line="12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indenture governing the Inmarsat 2026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The Inmarsat 2026 Notes may be redeemed, in whole or in part, at any time during the 12 months beginning on October 1, 2023 at a redemption price of 101.688%, and at any time on or after October 1, 2024 at a redemption price of 100%, in each case, plus accrued and unpaid interest, if any, thereon to the redemption date.</w:t>
      </w:r>
    </w:p>
    <w:p>
      <w:pPr>
        <w:spacing w:after="0" w:line="11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the event a change of control occurs (as defined in the indenture governing the Inmarsat 2026 Notes), each holder will have the right to require Inmarsat to repurchase all or any part of such holder’s Inmarsat 2026 Notes at a purchase price in cash equal to 101% of the aggregate principal amount of the Inmarsat 2026 Notes repurchased, plus accrued and unpaid interest, if any, to the date of purchase (subject to the right of holders of record on the relevant record date to receive interest due on the relevant interest payment date). The consummation of the Inmarsat Acquisition did not give rise to a “change of control” under the indenture governing the Inmarsat 2026 Notes.</w:t>
      </w:r>
    </w:p>
    <w:p>
      <w:pPr>
        <w:spacing w:after="0" w:line="122" w:lineRule="exact"/>
        <w:rPr>
          <w:sz w:val="20"/>
          <w:szCs w:val="20"/>
          <w:color w:val="auto"/>
        </w:rPr>
      </w:pPr>
    </w:p>
    <w:p>
      <w:pPr>
        <w:ind w:right="940" w:firstLine="509"/>
        <w:spacing w:after="0" w:line="271" w:lineRule="auto"/>
        <w:rPr>
          <w:sz w:val="20"/>
          <w:szCs w:val="20"/>
          <w:color w:val="auto"/>
        </w:rPr>
      </w:pPr>
      <w:r>
        <w:rPr>
          <w:rFonts w:ascii="Arial" w:cs="Arial" w:eastAsia="Arial" w:hAnsi="Arial"/>
          <w:sz w:val="18"/>
          <w:szCs w:val="18"/>
          <w:color w:val="auto"/>
        </w:rPr>
        <w:t>The Inmarsat 2026 Notes are recorded as other long-term debt, net of unamortized fair value adjustment made in purchase accounting, in the Company’s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Related-Party Transactions</w:t>
      </w:r>
    </w:p>
    <w:p>
      <w:pPr>
        <w:spacing w:after="0" w:line="6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the normal course of business, the Company engages in transactions with its equity method investments (Navarino UK and JSAT Mobile), which are considered related-party transactions. The Company recognized revenue from Navarino UK and JSAT Mobile for the three months ended June 30, 2024 and 2023 of $16.8 million and $6.1 million, respectively. The Company received cash of $19.3 million and $5.9 million from Navarino UK and JSAT Mobile for the three months ended June 30, 2024 and 2023, respectively. Accounts receivable from Navarino UK and JSAT Mobile as of June 30, 2024 and March 31, 2024 was $9.6 million and $13.2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6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See Note 14 — Commitments to the consolidated financial statements included in the Company’s Annual Report on Form 10-K for the year ended March 31, 2024 for information regarding the Company’s future minimum payments under its satellite construction contracts and other satellite-related purchase commitments.</w:t>
      </w:r>
    </w:p>
    <w:p>
      <w:pPr>
        <w:spacing w:after="0" w:line="12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June 30, 2024, the DCMA had approved the Company’s incurred costs through fiscal year 2022. The DCMA is currently auditing the Company's fiscal year 2023 incurred cost submission.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$7.4 million and $16.6 million as of June 30,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2024 and March 31, 2024,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115"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In September 2023, the Company settled certain pending litigation. Under the terms of the settlement and licensing agreement, the Company receives certain payments, which may vary based on sales of licensed products. In April 2024, the Company received a payment of approximately $41.7 million, which was recognized as product revenue for the three months ended June 30, 2024 in the Company’s defense and advanced technologies segment. The Company may from time to time receive additional licensing and royalty payments under the settlement and licensing agreement.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63"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For the three months ended June 30, 2024, the Company recorded an income tax provision of $1.2 million resulting in an effective tax rate of negative 5%. The effective tax rate for the period differed from the U.S. statutory rate primarily due to a U.S. valuation allowance and foreign tax rate differences.</w:t>
      </w:r>
    </w:p>
    <w:p>
      <w:pPr>
        <w:spacing w:after="0" w:line="115"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For the three months ended June 30, 2023, the Company recorded an income tax benefit of an insignificant amount, resulting in effective tax rate of 1%. The effective tax rate for the period differed from the U.S. statutory rate primarily due to the benefit of federal R&amp;D tax credits offset by expense for non-deductible transaction costs related to the Inmarsat Acquisition.</w:t>
      </w:r>
    </w:p>
    <w:p>
      <w:pPr>
        <w:spacing w:after="0" w:line="115"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Company's total valuation allowance decreased from $353.6 million at March 31, 2024 to $352.9 million at June 30, 2024 relating to carryforwards for federal, state, and foreign net operating losses, federal and state R&amp;D tax credits, and foreign tax credits.</w:t>
      </w:r>
    </w:p>
    <w:p>
      <w:pPr>
        <w:spacing w:after="0" w:line="100" w:lineRule="exact"/>
        <w:rPr>
          <w:sz w:val="20"/>
          <w:szCs w:val="20"/>
          <w:color w:val="auto"/>
        </w:rPr>
      </w:pPr>
    </w:p>
    <w:p>
      <w:pPr>
        <w:jc w:val="both"/>
        <w:ind w:right="100" w:firstLine="509"/>
        <w:spacing w:after="0" w:line="275" w:lineRule="auto"/>
        <w:rPr>
          <w:sz w:val="20"/>
          <w:szCs w:val="20"/>
          <w:color w:val="auto"/>
        </w:rPr>
      </w:pPr>
      <w:r>
        <w:rPr>
          <w:rFonts w:ascii="Arial" w:cs="Arial" w:eastAsia="Arial" w:hAnsi="Arial"/>
          <w:sz w:val="17"/>
          <w:szCs w:val="17"/>
          <w:color w:val="auto"/>
        </w:rPr>
        <w:t>For the three months ended June 30, 2024, the Company’s gross unrecognized tax benefits increased by an insignificant amount and interest and penalties decreased by $1.1 million. Of the total $186.4 million gross unrecognized tax benefits at June 30, 2024, $16.2 million would reduce the Company's annual effective tax rate if recognized based on the Company's valuation allowance position at June 30, 2024.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63"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The Company reports its results in two separate segments consisting of communications services and defense and advanced technologies. The Company's segments are determined consistent with the way management currently organizes and evaluates financial information internally for making operating decisions and assessing performance. Due to the resegmentation that was implemented commencing with the first quarter of fiscal year 2025, prior period segment amounts have been recast to conform to the current segment presentation.</w:t>
      </w:r>
    </w:p>
    <w:p>
      <w:pPr>
        <w:spacing w:after="0" w:line="2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spacing w:after="0" w:line="41" w:lineRule="exact"/>
        <w:rPr>
          <w:sz w:val="20"/>
          <w:szCs w:val="20"/>
          <w:color w:val="auto"/>
        </w:rPr>
      </w:pPr>
    </w:p>
    <w:p>
      <w:pPr>
        <w:jc w:val="both"/>
        <w:ind w:right="360" w:firstLine="509"/>
        <w:spacing w:after="0" w:line="247" w:lineRule="auto"/>
        <w:rPr>
          <w:sz w:val="20"/>
          <w:szCs w:val="20"/>
          <w:color w:val="auto"/>
        </w:rPr>
      </w:pPr>
      <w:r>
        <w:rPr>
          <w:rFonts w:ascii="Arial" w:cs="Arial" w:eastAsia="Arial" w:hAnsi="Arial"/>
          <w:sz w:val="18"/>
          <w:szCs w:val="18"/>
          <w:color w:val="auto"/>
        </w:rPr>
        <w:t>The Company’s communication services segment provides a wide range of broadband and narrowband communications solutions across government and commercial mobility markets, as well as for fixed and residential broadband customers. In addition, this segment includes the development and sale of a wide array of advanced satellite and wireless products, and networks and terminal solutions that support or enable the provision of fixed and mobile broadband and narrowband services.</w:t>
      </w:r>
    </w:p>
    <w:p>
      <w:pPr>
        <w:spacing w:after="0" w:line="2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Company’s defense and advanced technologies segment develops and offers a diverse array of resilient, vertically integrated solutions to government and commercial customers, leveraging the Company’s technical competencies in encryption, cyber security, tactical gateway, modems and waveforms. The more regulated government environment for defense , encryption and other products is subject to unique contractual requirements and possesses economic characteristics that differ from the communication services segment.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months ended June 30,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80"/>
              <w:spacing w:after="0"/>
              <w:rPr>
                <w:sz w:val="20"/>
                <w:szCs w:val="20"/>
                <w:color w:val="auto"/>
              </w:rPr>
            </w:pPr>
            <w:r>
              <w:rPr>
                <w:rFonts w:ascii="Arial" w:cs="Arial" w:eastAsia="Arial" w:hAnsi="Arial"/>
                <w:sz w:val="18"/>
                <w:szCs w:val="18"/>
                <w:color w:val="auto"/>
              </w:rPr>
              <w:t>Communication services</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Aviation services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257,155</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151,112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520"/>
              <w:spacing w:after="0"/>
              <w:rPr>
                <w:sz w:val="20"/>
                <w:szCs w:val="20"/>
                <w:color w:val="auto"/>
              </w:rPr>
            </w:pPr>
            <w:r>
              <w:rPr>
                <w:rFonts w:ascii="Arial" w:cs="Arial" w:eastAsia="Arial" w:hAnsi="Arial"/>
                <w:sz w:val="18"/>
                <w:szCs w:val="18"/>
                <w:color w:val="auto"/>
              </w:rPr>
              <w:t>Government satcom services</w:t>
            </w:r>
          </w:p>
        </w:tc>
        <w:tc>
          <w:tcPr>
            <w:tcW w:w="4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183,873</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82,624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Maritime services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123,947</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520"/>
              <w:spacing w:after="0"/>
              <w:rPr>
                <w:sz w:val="20"/>
                <w:szCs w:val="20"/>
                <w:color w:val="auto"/>
              </w:rPr>
            </w:pPr>
            <w:r>
              <w:rPr>
                <w:rFonts w:ascii="Arial" w:cs="Arial" w:eastAsia="Arial" w:hAnsi="Arial"/>
                <w:sz w:val="18"/>
                <w:szCs w:val="18"/>
                <w:color w:val="auto"/>
              </w:rPr>
              <w:t>Fixed services and other services</w:t>
            </w:r>
          </w:p>
        </w:tc>
        <w:tc>
          <w:tcPr>
            <w:tcW w:w="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201,636</w:t>
            </w: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214,692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 services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766,611</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493,773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780"/>
              <w:spacing w:after="0"/>
              <w:rPr>
                <w:sz w:val="20"/>
                <w:szCs w:val="20"/>
                <w:color w:val="auto"/>
              </w:rPr>
            </w:pPr>
            <w:r>
              <w:rPr>
                <w:rFonts w:ascii="Arial" w:cs="Arial" w:eastAsia="Arial" w:hAnsi="Arial"/>
                <w:sz w:val="18"/>
                <w:szCs w:val="18"/>
                <w:color w:val="auto"/>
              </w:rPr>
              <w:t>Total products</w:t>
            </w:r>
          </w:p>
        </w:tc>
        <w:tc>
          <w:tcPr>
            <w:tcW w:w="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60,176</w:t>
            </w: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Total communication services revenues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826,787</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560,260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80"/>
              <w:spacing w:after="0"/>
              <w:rPr>
                <w:sz w:val="20"/>
                <w:szCs w:val="20"/>
                <w:color w:val="auto"/>
              </w:rPr>
            </w:pPr>
            <w:r>
              <w:rPr>
                <w:rFonts w:ascii="Arial" w:cs="Arial" w:eastAsia="Arial" w:hAnsi="Arial"/>
                <w:sz w:val="18"/>
                <w:szCs w:val="18"/>
                <w:color w:val="auto"/>
              </w:rPr>
              <w:t>Defense and advanced technologies</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 services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54,110</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100" w:type="dxa"/>
            <w:vAlign w:val="bottom"/>
          </w:tcPr>
          <w:p>
            <w:pPr>
              <w:ind w:left="520"/>
              <w:spacing w:after="0"/>
              <w:rPr>
                <w:sz w:val="20"/>
                <w:szCs w:val="20"/>
                <w:color w:val="auto"/>
              </w:rPr>
            </w:pPr>
            <w:r>
              <w:rPr>
                <w:rFonts w:ascii="Arial" w:cs="Arial" w:eastAsia="Arial" w:hAnsi="Arial"/>
                <w:sz w:val="18"/>
                <w:szCs w:val="18"/>
                <w:color w:val="auto"/>
              </w:rPr>
              <w:t>Information security and cyber defense products</w:t>
            </w:r>
          </w:p>
        </w:tc>
        <w:tc>
          <w:tcPr>
            <w:tcW w:w="4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55,507</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56,676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Space and mission systems products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73,306</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520"/>
              <w:spacing w:after="0"/>
              <w:rPr>
                <w:sz w:val="20"/>
                <w:szCs w:val="20"/>
                <w:color w:val="auto"/>
              </w:rPr>
            </w:pPr>
            <w:r>
              <w:rPr>
                <w:rFonts w:ascii="Arial" w:cs="Arial" w:eastAsia="Arial" w:hAnsi="Arial"/>
                <w:sz w:val="18"/>
                <w:szCs w:val="18"/>
                <w:color w:val="auto"/>
              </w:rPr>
              <w:t>Tactical networking products</w:t>
            </w:r>
          </w:p>
        </w:tc>
        <w:tc>
          <w:tcPr>
            <w:tcW w:w="4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71,410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37,384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Advanced technologies and other products</w:t>
            </w:r>
          </w:p>
        </w:tc>
        <w:tc>
          <w:tcPr>
            <w:tcW w:w="4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45,340</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780"/>
              <w:spacing w:after="0"/>
              <w:rPr>
                <w:sz w:val="20"/>
                <w:szCs w:val="20"/>
                <w:color w:val="auto"/>
              </w:rPr>
            </w:pPr>
            <w:r>
              <w:rPr>
                <w:rFonts w:ascii="Arial" w:cs="Arial" w:eastAsia="Arial" w:hAnsi="Arial"/>
                <w:sz w:val="18"/>
                <w:szCs w:val="18"/>
                <w:color w:val="auto"/>
              </w:rPr>
              <w:t>Total products</w:t>
            </w:r>
          </w:p>
        </w:tc>
        <w:tc>
          <w:tcPr>
            <w:tcW w:w="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245,563</w:t>
            </w: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169,885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Total defense and advanced technologies revenues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299,673</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80"/>
              <w:spacing w:after="0"/>
              <w:rPr>
                <w:sz w:val="20"/>
                <w:szCs w:val="20"/>
                <w:color w:val="auto"/>
              </w:rPr>
            </w:pPr>
            <w:r>
              <w:rPr>
                <w:rFonts w:ascii="Arial" w:cs="Arial" w:eastAsia="Arial" w:hAnsi="Arial"/>
                <w:sz w:val="18"/>
                <w:szCs w:val="18"/>
                <w:color w:val="auto"/>
              </w:rPr>
              <w:t>Elimination of intersegment revenues</w:t>
            </w:r>
          </w:p>
        </w:tc>
        <w:tc>
          <w:tcPr>
            <w:tcW w:w="400" w:type="dxa"/>
            <w:vAlign w:val="bottom"/>
          </w:tcPr>
          <w:p>
            <w:pPr>
              <w:spacing w:after="0"/>
              <w:rPr>
                <w:sz w:val="19"/>
                <w:szCs w:val="19"/>
                <w:color w:val="auto"/>
              </w:rPr>
            </w:pPr>
          </w:p>
        </w:tc>
        <w:tc>
          <w:tcPr>
            <w:tcW w:w="2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1,126,460</w:t>
            </w:r>
          </w:p>
        </w:tc>
        <w:tc>
          <w:tcPr>
            <w:tcW w:w="3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779,791</w:t>
            </w:r>
          </w:p>
        </w:tc>
        <w:tc>
          <w:tcPr>
            <w:tcW w:w="2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profits (losses):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80"/>
              <w:spacing w:after="0"/>
              <w:rPr>
                <w:sz w:val="20"/>
                <w:szCs w:val="20"/>
                <w:color w:val="auto"/>
              </w:rPr>
            </w:pPr>
            <w:r>
              <w:rPr>
                <w:rFonts w:ascii="Arial" w:cs="Arial" w:eastAsia="Arial" w:hAnsi="Arial"/>
                <w:sz w:val="18"/>
                <w:szCs w:val="18"/>
                <w:color w:val="auto"/>
              </w:rPr>
              <w:t>Communication services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41,939</w:t>
            </w:r>
          </w:p>
        </w:tc>
        <w:tc>
          <w:tcPr>
            <w:tcW w:w="3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(9,943 )</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Defense and advanced technologies</w:t>
            </w: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84,011</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(3,762 )</w:t>
            </w:r>
          </w:p>
        </w:tc>
        <w:tc>
          <w:tcPr>
            <w:tcW w:w="0" w:type="dxa"/>
            <w:vAlign w:val="bottom"/>
          </w:tcPr>
          <w:p>
            <w:pPr>
              <w:spacing w:after="0"/>
              <w:rPr>
                <w:sz w:val="1"/>
                <w:szCs w:val="1"/>
                <w:color w:val="auto"/>
              </w:rPr>
            </w:pPr>
          </w:p>
        </w:tc>
      </w:tr>
      <w:tr>
        <w:trPr>
          <w:trHeight w:val="197"/>
        </w:trPr>
        <w:tc>
          <w:tcPr>
            <w:tcW w:w="6100" w:type="dxa"/>
            <w:vAlign w:val="bottom"/>
          </w:tcPr>
          <w:p>
            <w:pPr>
              <w:ind w:left="280"/>
              <w:spacing w:after="0" w:line="197" w:lineRule="exact"/>
              <w:rPr>
                <w:sz w:val="20"/>
                <w:szCs w:val="20"/>
                <w:color w:val="auto"/>
              </w:rPr>
            </w:pPr>
            <w:r>
              <w:rPr>
                <w:rFonts w:ascii="Arial" w:cs="Arial" w:eastAsia="Arial" w:hAnsi="Arial"/>
                <w:sz w:val="18"/>
                <w:szCs w:val="18"/>
                <w:color w:val="auto"/>
              </w:rPr>
              <w:t>Elimination of intersegment operating</w:t>
            </w:r>
          </w:p>
        </w:tc>
        <w:tc>
          <w:tcPr>
            <w:tcW w:w="400" w:type="dxa"/>
            <w:vAlign w:val="bottom"/>
          </w:tcPr>
          <w:p>
            <w:pPr>
              <w:spacing w:after="0"/>
              <w:rPr>
                <w:sz w:val="17"/>
                <w:szCs w:val="17"/>
                <w:color w:val="auto"/>
              </w:rPr>
            </w:pPr>
          </w:p>
        </w:tc>
        <w:tc>
          <w:tcPr>
            <w:tcW w:w="22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9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100" w:type="dxa"/>
            <w:vAlign w:val="bottom"/>
          </w:tcPr>
          <w:p>
            <w:pPr>
              <w:ind w:left="420"/>
              <w:spacing w:after="0"/>
              <w:rPr>
                <w:sz w:val="20"/>
                <w:szCs w:val="20"/>
                <w:color w:val="auto"/>
              </w:rPr>
            </w:pPr>
            <w:r>
              <w:rPr>
                <w:rFonts w:ascii="Arial" w:cs="Arial" w:eastAsia="Arial" w:hAnsi="Arial"/>
                <w:sz w:val="18"/>
                <w:szCs w:val="18"/>
                <w:color w:val="auto"/>
              </w:rPr>
              <w:t>profits (losses)</w:t>
            </w:r>
          </w:p>
        </w:tc>
        <w:tc>
          <w:tcPr>
            <w:tcW w:w="400" w:type="dxa"/>
            <w:vAlign w:val="bottom"/>
          </w:tcPr>
          <w:p>
            <w:pPr>
              <w:spacing w:after="0"/>
              <w:rPr>
                <w:sz w:val="19"/>
                <w:szCs w:val="19"/>
                <w:color w:val="auto"/>
              </w:rPr>
            </w:pPr>
          </w:p>
        </w:tc>
        <w:tc>
          <w:tcPr>
            <w:tcW w:w="22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10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Segment operating profit (loss) before corporate</w:t>
            </w:r>
          </w:p>
        </w:tc>
        <w:tc>
          <w:tcPr>
            <w:tcW w:w="400" w:type="dxa"/>
            <w:vAlign w:val="bottom"/>
            <w:tcBorders>
              <w:top w:val="single" w:sz="8" w:color="auto"/>
            </w:tcBorders>
            <w:shd w:val="clear" w:color="auto" w:fill="CFF0FC"/>
          </w:tcPr>
          <w:p>
            <w:pPr>
              <w:spacing w:after="0"/>
              <w:rPr>
                <w:sz w:val="16"/>
                <w:szCs w:val="16"/>
                <w:color w:val="auto"/>
              </w:rPr>
            </w:pPr>
          </w:p>
        </w:tc>
        <w:tc>
          <w:tcPr>
            <w:tcW w:w="190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6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and amortization of acquired intangible</w:t>
            </w:r>
          </w:p>
        </w:tc>
        <w:tc>
          <w:tcPr>
            <w:tcW w:w="4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125,950</w:t>
            </w: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(13,705 )</w:t>
            </w:r>
          </w:p>
        </w:tc>
        <w:tc>
          <w:tcPr>
            <w:tcW w:w="0" w:type="dxa"/>
            <w:vAlign w:val="bottom"/>
          </w:tcPr>
          <w:p>
            <w:pPr>
              <w:spacing w:after="0"/>
              <w:rPr>
                <w:sz w:val="1"/>
                <w:szCs w:val="1"/>
                <w:color w:val="auto"/>
              </w:rPr>
            </w:pPr>
          </w:p>
        </w:tc>
      </w:tr>
      <w:tr>
        <w:trPr>
          <w:trHeight w:val="229"/>
        </w:trPr>
        <w:tc>
          <w:tcPr>
            <w:tcW w:w="610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19"/>
                <w:szCs w:val="19"/>
                <w:color w:val="auto"/>
              </w:rPr>
            </w:pPr>
          </w:p>
        </w:tc>
        <w:tc>
          <w:tcPr>
            <w:tcW w:w="2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610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Amortization of acquired intangible</w:t>
            </w:r>
          </w:p>
        </w:tc>
        <w:tc>
          <w:tcPr>
            <w:tcW w:w="400" w:type="dxa"/>
            <w:vAlign w:val="bottom"/>
            <w:shd w:val="clear" w:color="auto" w:fill="CFF0FC"/>
          </w:tcPr>
          <w:p>
            <w:pPr>
              <w:spacing w:after="0"/>
              <w:rPr>
                <w:sz w:val="17"/>
                <w:szCs w:val="17"/>
                <w:color w:val="auto"/>
              </w:rPr>
            </w:pPr>
          </w:p>
        </w:tc>
        <w:tc>
          <w:tcPr>
            <w:tcW w:w="22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(66,215 )</w:t>
            </w:r>
          </w:p>
        </w:tc>
        <w:tc>
          <w:tcPr>
            <w:tcW w:w="600" w:type="dxa"/>
            <w:vAlign w:val="bottom"/>
            <w:shd w:val="clear" w:color="auto" w:fill="CFF0FC"/>
          </w:tcPr>
          <w:p>
            <w:pPr>
              <w:spacing w:after="0"/>
              <w:rPr>
                <w:sz w:val="17"/>
                <w:szCs w:val="17"/>
                <w:color w:val="auto"/>
              </w:rPr>
            </w:pPr>
          </w:p>
        </w:tc>
        <w:tc>
          <w:tcPr>
            <w:tcW w:w="19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(27,811 )</w:t>
            </w:r>
          </w:p>
        </w:tc>
        <w:tc>
          <w:tcPr>
            <w:tcW w:w="0" w:type="dxa"/>
            <w:vAlign w:val="bottom"/>
          </w:tcPr>
          <w:p>
            <w:pPr>
              <w:spacing w:after="0"/>
              <w:rPr>
                <w:sz w:val="1"/>
                <w:szCs w:val="1"/>
                <w:color w:val="auto"/>
              </w:rPr>
            </w:pPr>
          </w:p>
        </w:tc>
      </w:tr>
      <w:tr>
        <w:trPr>
          <w:trHeight w:val="221"/>
        </w:trPr>
        <w:tc>
          <w:tcPr>
            <w:tcW w:w="61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FF0FC"/>
          </w:tcPr>
          <w:p>
            <w:pPr>
              <w:spacing w:after="0"/>
              <w:rPr>
                <w:sz w:val="19"/>
                <w:szCs w:val="19"/>
                <w:color w:val="auto"/>
              </w:rPr>
            </w:pPr>
          </w:p>
        </w:tc>
        <w:tc>
          <w:tcPr>
            <w:tcW w:w="2200" w:type="dxa"/>
            <w:vAlign w:val="bottom"/>
            <w:gridSpan w:val="2"/>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9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59,735</w:t>
            </w:r>
          </w:p>
        </w:tc>
        <w:tc>
          <w:tcPr>
            <w:tcW w:w="3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(41,516 )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-2485390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-2485390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-1876425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-1859280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-1876425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-1859280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-179070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Assets identifiable to segments include accounts receivable, unbilled accounts receivable, inventory, acquired intangible assets and goodwill, which identification is consistent with the information provided to the Company's chief operating decision maker for purposes of evaluating segment performance or allocating resources. Segment assets as of June 30, 2024 and March 31, 2024 were as follows: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557"/>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As of</w:t>
            </w:r>
          </w:p>
        </w:tc>
      </w:tr>
      <w:tr>
        <w:trPr>
          <w:trHeight w:val="185"/>
        </w:trPr>
        <w:tc>
          <w:tcPr>
            <w:tcW w:w="6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183"/>
        </w:trPr>
        <w:tc>
          <w:tcPr>
            <w:tcW w:w="6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Communication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4,752,423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4,819,535</w:t>
            </w:r>
          </w:p>
        </w:tc>
        <w:tc>
          <w:tcPr>
            <w:tcW w:w="100" w:type="dxa"/>
            <w:vAlign w:val="bottom"/>
          </w:tcPr>
          <w:p>
            <w:pPr>
              <w:spacing w:after="0"/>
              <w:rPr>
                <w:sz w:val="19"/>
                <w:szCs w:val="19"/>
                <w:color w:val="auto"/>
              </w:rPr>
            </w:pPr>
          </w:p>
        </w:tc>
      </w:tr>
      <w:tr>
        <w:trPr>
          <w:trHeight w:val="229"/>
        </w:trPr>
        <w:tc>
          <w:tcPr>
            <w:tcW w:w="6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Defense and advanced technologies</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367,759</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segment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5,120,182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5,160,985</w:t>
            </w:r>
          </w:p>
        </w:tc>
        <w:tc>
          <w:tcPr>
            <w:tcW w:w="100" w:type="dxa"/>
            <w:vAlign w:val="bottom"/>
          </w:tcPr>
          <w:p>
            <w:pPr>
              <w:spacing w:after="0"/>
              <w:rPr>
                <w:sz w:val="19"/>
                <w:szCs w:val="19"/>
                <w:color w:val="auto"/>
              </w:rPr>
            </w:pPr>
          </w:p>
        </w:tc>
      </w:tr>
      <w:tr>
        <w:trPr>
          <w:trHeight w:val="230"/>
        </w:trPr>
        <w:tc>
          <w:tcPr>
            <w:tcW w:w="6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Corporate assets</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10,967,687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11,168,379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16,087,869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16,329,364</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-479425</wp:posOffset>
            </wp:positionV>
            <wp:extent cx="59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-179705</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Other acquired intangible assets, net and goodwill included in segment assets as of June 30, 2024 and March 31, 2024 were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Assets, Net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440"/>
              <w:spacing w:after="0" w:line="160" w:lineRule="exact"/>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39"/>
              <w:spacing w:after="0" w:line="160"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19"/>
              <w:spacing w:after="0" w:line="160"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20"/>
              <w:spacing w:after="0" w:line="160" w:lineRule="exact"/>
              <w:rPr>
                <w:sz w:val="20"/>
                <w:szCs w:val="20"/>
                <w:color w:val="auto"/>
              </w:rPr>
            </w:pPr>
            <w:r>
              <w:rPr>
                <w:rFonts w:ascii="Arial" w:cs="Arial" w:eastAsia="Arial" w:hAnsi="Arial"/>
                <w:sz w:val="14"/>
                <w:szCs w:val="14"/>
                <w:b w:val="1"/>
                <w:bCs w:val="1"/>
                <w:color w:val="auto"/>
              </w:rPr>
              <w:t>As of</w:t>
            </w:r>
          </w:p>
        </w:tc>
      </w:tr>
      <w:tr>
        <w:trPr>
          <w:trHeight w:val="185"/>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March 31, 2024</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183"/>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right"/>
              <w:ind w:right="93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Communication services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2,475,492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2,544,315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1,581,631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1,581,937</w:t>
            </w:r>
          </w:p>
        </w:tc>
        <w:tc>
          <w:tcPr>
            <w:tcW w:w="100" w:type="dxa"/>
            <w:vAlign w:val="bottom"/>
            <w:shd w:val="clear" w:color="auto" w:fill="CFF0FC"/>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Defense and advanced technologies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39,826</w:t>
            </w:r>
          </w:p>
        </w:tc>
        <w:tc>
          <w:tcPr>
            <w:tcW w:w="100" w:type="dxa"/>
            <w:vAlign w:val="bottom"/>
          </w:tcPr>
          <w:p>
            <w:pPr>
              <w:spacing w:after="0"/>
              <w:rPr>
                <w:sz w:val="19"/>
                <w:szCs w:val="19"/>
                <w:color w:val="auto"/>
              </w:rPr>
            </w:pPr>
          </w:p>
        </w:tc>
      </w:tr>
      <w:tr>
        <w:trPr>
          <w:trHeight w:val="263"/>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2,475,492</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2,544,467</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1,621,473</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1,621,763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Depreciation and amortization of intangible assets allocated to segments for the three months ended June 30, 2024 and 2023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Communication services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249,133</w:t>
            </w:r>
          </w:p>
        </w:tc>
        <w:tc>
          <w:tcPr>
            <w:tcW w:w="8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Defense and advanced technologies</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15,856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Corporate (1)</w:t>
            </w:r>
          </w:p>
        </w:tc>
        <w:tc>
          <w:tcPr>
            <w:tcW w:w="3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66,215</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5540" w:type="dxa"/>
            <w:vAlign w:val="bottom"/>
            <w:gridSpan w:val="2"/>
          </w:tcPr>
          <w:p>
            <w:pPr>
              <w:spacing w:after="0" w:line="191" w:lineRule="exact"/>
              <w:rPr>
                <w:sz w:val="20"/>
                <w:szCs w:val="20"/>
                <w:color w:val="auto"/>
              </w:rPr>
            </w:pPr>
            <w:r>
              <w:rPr>
                <w:rFonts w:ascii="Arial" w:cs="Arial" w:eastAsia="Arial" w:hAnsi="Arial"/>
                <w:sz w:val="18"/>
                <w:szCs w:val="18"/>
                <w:color w:val="auto"/>
              </w:rPr>
              <w:t>Total depreciation and amortization of</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331,204</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174,579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554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intangible assets</w:t>
            </w:r>
          </w:p>
        </w:tc>
        <w:tc>
          <w:tcPr>
            <w:tcW w:w="34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-350520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520" w:right="40" w:hanging="512"/>
        <w:spacing w:after="0" w:line="271"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amounts include the amortization of acquired intangible assets as they are not considered part of management’s evaluation of segment performance.</w:t>
      </w:r>
    </w:p>
    <w:p>
      <w:pPr>
        <w:spacing w:after="0" w:line="14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Revenues by geographic area for the three months ended June 30, 2024 and 2023 were as follows:</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gridSpan w:val="5"/>
          </w:tcPr>
          <w:p>
            <w:pPr>
              <w:ind w:left="1020"/>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r>
      <w:tr>
        <w:trPr>
          <w:trHeight w:val="183"/>
        </w:trPr>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776,495</w:t>
            </w:r>
          </w:p>
        </w:tc>
        <w:tc>
          <w:tcPr>
            <w:tcW w:w="6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593,162</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349,965</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186,629</w:t>
            </w:r>
          </w:p>
        </w:tc>
        <w:tc>
          <w:tcPr>
            <w:tcW w:w="100" w:type="dxa"/>
            <w:vAlign w:val="bottom"/>
          </w:tcPr>
          <w:p>
            <w:pPr>
              <w:spacing w:after="0"/>
              <w:rPr>
                <w:sz w:val="19"/>
                <w:szCs w:val="19"/>
                <w:color w:val="auto"/>
              </w:rPr>
            </w:pPr>
          </w:p>
        </w:tc>
      </w:tr>
      <w:tr>
        <w:trPr>
          <w:trHeight w:val="26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1,126,460</w:t>
            </w: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779,791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July 2024, subsequent to quarter end, the Company and Inmarsat repurchased $152.2 million in aggregate principal amount of the Company's and Inmarsat's outstanding notes in open market transactions, consisting of approximately $101.7 million of Inmarsat 2026 Notes and $50.5 million of 2025 Notes.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3" w:name="page34"/>
    <w:bookmarkEnd w:id="33"/>
    <w:p>
      <w:pPr>
        <w:ind w:right="2960"/>
        <w:spacing w:after="0" w:line="32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growth and trends in our business or key markets; future economic conditions and performance; the development, customer acceptance and anticipated performance of technologies, products or services; the construction, completion, testing, launch, commencement of service, expected performance and benefits of satellites (including future satellites planned or under construction) and the timing thereof; the extent and impact of anomalies on the ViaSat-3 F1 and Inmarsat-6 (I-6) F2 satellites, the anticipated functionality or performance of such satellites and any potential remedial or mitigating measures that may be undertaken or insurance proceeds that may be recoverable in connection therewith; the expected capacity, coverage, service speeds and other features of our satellites, and the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in-flight connectivity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commencement of service on new satellites; increasing levels of competition in our target markets; our ability to successfully implement our business plan on our anticipated timeline or at all; risks that the Inmarsat Acquisition (as defined below) disrupts current plans and operations or diverts management's attention from our business; the ability to realize anticipated benefits and synergies of the Inmarsat Acquisition and our other acquisitions, including the expectation of enhancements to our products and services, greater revenue or growth opportunities, and the realization of operating efficiencies and cost savings (including the timing and amount thereof);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2024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6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We are an innovative, global provider of communications technologies and services, focused on making connectivity accessible, available and secure for current and future customers worldwide.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34" w:name="page35"/>
    <w:bookmarkEnd w:id="34"/>
    <w:p>
      <w:pPr>
        <w:ind w:right="20"/>
        <w:spacing w:after="0" w:line="247" w:lineRule="auto"/>
        <w:rPr>
          <w:sz w:val="20"/>
          <w:szCs w:val="20"/>
          <w:color w:val="auto"/>
        </w:rPr>
      </w:pPr>
      <w:r>
        <w:rPr>
          <w:rFonts w:ascii="Arial" w:cs="Arial" w:eastAsia="Arial" w:hAnsi="Arial"/>
          <w:sz w:val="18"/>
          <w:szCs w:val="18"/>
          <w:color w:val="auto"/>
        </w:rPr>
        <w:t>assurance products and services. We believe that our diversification strategy — anchored in a broad portfolio of customer-centric products and services and supported by our fleet of broadband and narrowband satellites — 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3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May 2024, certain organizational changes were made that impacted our internal reporting and reportable segments. Established during the first quarter of fiscal year 2025, we conduct our business through two reportable segments: communication services and defense and advanced technologies, which replaced our prior three reportable segments (see Note 11 — Segment Information to our condensed consolidated financial statements for additional information). This new segment reporting structure better reflects our strategy following the Inmarsat Acquisition, diverse global end markets, and certain organizational changes, that allow us to better assess the operational performance of and allocate resources to our multiple business lines. Viasat, Inc. (Viasat) was incorporated in California in 1986, and reincorporated as a Delaware corporation in 1996.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77"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On May 30, 2023, we completed the acquisition of Connect Topco Limited, a private company limited by shares and incorporated in Guernsey (Inmarsat Holdings and, together with its subsidiaries, Inmarsat, and such acquisition, the Inmarsat Acquisition). The assets and results of operations of Inmarsat are included in our communication services segment for the period following the closing of the Inmarsat Acquisition on May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Services</w:t>
      </w:r>
    </w:p>
    <w:p>
      <w:pPr>
        <w:spacing w:after="0" w:line="7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Our communication services segment provides a wide range of broadband and narrowband communications solutions across government and commercial mobility markets, as well as for fixed and residential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(GEO), medium earth orbit (MEO) and low earth orbit (LEO).</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communication services segment:</w:t>
      </w:r>
    </w:p>
    <w:p>
      <w:pPr>
        <w:spacing w:after="0" w:line="104" w:lineRule="exact"/>
        <w:rPr>
          <w:sz w:val="20"/>
          <w:szCs w:val="20"/>
          <w:color w:val="auto"/>
        </w:rPr>
      </w:pPr>
    </w:p>
    <w:p>
      <w:pPr>
        <w:ind w:left="1020" w:right="220" w:hanging="503"/>
        <w:spacing w:after="0" w:line="239"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Aviation, which includes industry-leading IFC services and wireless in-flight entertainment (W-IFE) services for commercial aircraft and private jets, narrowband safety services, and complementary aviation software services (such as cockpit, data safety and surveillance). As of June 30, 2024, we had our IFC systems installed and in service on approximately 3,810 commercial aircraft of which approximately 60 were inactive at quarter end (mostly due to standard aircraft maintenance). We anticipate that approximately 1,460 additional commercial aircraft will be put into service with our IFC systems under existing customer agreements with commercial airlines. However, due to the nature of commercial airline contracts and other factors such as OEM delays, there can be no assurance that anticipated IFC services will be activated on all such additional commercial aircraft.</w:t>
      </w:r>
    </w:p>
    <w:p>
      <w:pPr>
        <w:spacing w:after="0" w:line="78"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(ISR) services and L-band Advanced Communications Element (LACE) terminals.</w:t>
      </w:r>
    </w:p>
    <w:p>
      <w:pPr>
        <w:spacing w:after="0" w:line="50" w:lineRule="exact"/>
        <w:rPr>
          <w:rFonts w:ascii="Times New Roman" w:cs="Times New Roman" w:eastAsia="Times New Roman" w:hAnsi="Times New Roman"/>
          <w:sz w:val="17"/>
          <w:szCs w:val="17"/>
          <w:color w:val="auto"/>
        </w:rPr>
      </w:pPr>
    </w:p>
    <w:p>
      <w:pPr>
        <w:ind w:left="1020" w:right="100" w:hanging="503"/>
        <w:spacing w:after="0" w:line="246"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that we expect to launch later this year.</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Fixed services and other, which include high-speed, high-quality, reliable fixed broadband internet services to businesses and residential users (primarily in the United States as well as in various countries in Europe and Latin America), enterprise connectivity solutions, Internet-of-Things (IoT) and other narrowband services (such as L-band managed services that enable real-time machine-to-machine (M2M) position or high-value asset tracking), energy services, and prepaid internet services that provide innovative, affordable, satellite-based connectivity in communities that have little or no access to the internet. As of June 30, 2024, our U.S. fixed broadband business had approximately 257,000 subscribers with an average monthly revenue per user of $115.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Defense and Advanced Technologies</w:t>
      </w:r>
    </w:p>
    <w:p>
      <w:pPr>
        <w:spacing w:after="0" w:line="63"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Our defense and advanced technologies segment provides a diverse array of resilient, vertically integrated solutions to government and commercial customers, leveraging our core technical competencies in encryption, cyber security, tactical gateways, modems and waveforms. The following are the primary business lines in our defense and advanced technologies segment:</w:t>
      </w:r>
    </w:p>
    <w:p>
      <w:pPr>
        <w:spacing w:after="0" w:line="61" w:lineRule="exact"/>
        <w:rPr>
          <w:sz w:val="20"/>
          <w:szCs w:val="20"/>
          <w:color w:val="auto"/>
        </w:rPr>
      </w:pPr>
    </w:p>
    <w:p>
      <w:pPr>
        <w:ind w:left="1020" w:right="180" w:hanging="503"/>
        <w:spacing w:after="0" w:line="233"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security and cyber defense, which comprise a variety of high-quality networking, cybersecurity and information assurance products and services that provide advanced, high-speed IP-based “Type 1” and High Assurance Internet Protocol Encryption (HAIPE</w:t>
      </w:r>
      <w:r>
        <w:rPr>
          <w:rFonts w:ascii="Arial" w:cs="Arial" w:eastAsia="Arial" w:hAnsi="Arial"/>
          <w:sz w:val="24"/>
          <w:szCs w:val="24"/>
          <w:color w:val="auto"/>
          <w:vertAlign w:val="superscript"/>
        </w:rPr>
        <w:t>®</w:t>
      </w:r>
      <w:r>
        <w:rPr>
          <w:rFonts w:ascii="Arial" w:cs="Arial" w:eastAsia="Arial" w:hAnsi="Arial"/>
          <w:sz w:val="18"/>
          <w:szCs w:val="18"/>
          <w:color w:val="auto"/>
        </w:rPr>
        <w:t>)-compliant encryption solutions that enable military and government users to communicate information securely, and that protect the integrity of data stored on computers and storage devices and include our MOJO expeditionary tactical gateway family of products.</w:t>
      </w:r>
    </w:p>
    <w:p>
      <w:pPr>
        <w:spacing w:after="0" w:line="75" w:lineRule="exact"/>
        <w:rPr>
          <w:rFonts w:ascii="Times New Roman" w:cs="Times New Roman" w:eastAsia="Times New Roman" w:hAnsi="Times New Roman"/>
          <w:sz w:val="18"/>
          <w:szCs w:val="18"/>
          <w:color w:val="auto"/>
        </w:rPr>
      </w:pPr>
    </w:p>
    <w:p>
      <w:pPr>
        <w:ind w:left="1020" w:right="80" w:hanging="503"/>
        <w:spacing w:after="0" w:line="239"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spacing w:after="0" w:line="78"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Tactical networking, including the provision of resilient communications designed for on-the-move or on-the-pause operations in a multi-domain battlespace with friendly force tracking and narrowband solutions. Tactical networking includes the products and services offered by TrellisWare.</w:t>
      </w:r>
    </w:p>
    <w:p>
      <w:pPr>
        <w:spacing w:after="0" w:line="62" w:lineRule="exact"/>
        <w:rPr>
          <w:rFonts w:ascii="Times New Roman" w:cs="Times New Roman" w:eastAsia="Times New Roman" w:hAnsi="Times New Roman"/>
          <w:sz w:val="18"/>
          <w:szCs w:val="18"/>
          <w:color w:val="auto"/>
        </w:rPr>
      </w:pPr>
    </w:p>
    <w:p>
      <w:pPr>
        <w:jc w:val="both"/>
        <w:ind w:left="1020" w:right="24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6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For a summary of factors and trends affecting our results of operations, see Part II, Item 7, "Factors and Trends Affecting our Results of Operations" in our Annual Report on Form 10-K for the year ended March 31,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6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Our communication services segment revenues are primarily derived from aviation services (including IFC services), government satcom services, maritime services (including narrowband and safety of communication capabilities primarily acquired through the Inmarsat Acquisition), fixed broadband services, and energy services, as well as a wide array of advanced satellite and wireless products, networks and terminal solutions that support or enable the provision of fixed and mobile broadband and narrowband services.</w:t>
      </w:r>
    </w:p>
    <w:p>
      <w:pPr>
        <w:spacing w:after="0" w:line="25"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Our defense and advanced technologies segment revenues are primarily derived from our information security and cyber defense, space and mission systems, tactical networking, and advanced technologies and other, products and services, which are provided to government and commercial customers.</w:t>
      </w:r>
    </w:p>
    <w:p>
      <w:pPr>
        <w:spacing w:after="0" w:line="11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revenues are primarily derived from two types of contracts: fixed-price and cost-reimbursement contracts. Fixed-price contracts (which require us to provide products and services under a contract at a specified price) comprised approximately 96% and 93% of our total revenues for the three months ended June 30, 2024 and 2023, respectively, a majority of which are reported in our communication services segment. The remainder of our revenues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which contracts are mainly reported within our defense and advanced technologies segment.</w:t>
      </w:r>
    </w:p>
    <w:p>
      <w:pPr>
        <w:spacing w:after="0" w:line="12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4" w:right="419" w:bottom="1440" w:gutter="0" w:footer="0" w:header="0"/>
        </w:sectPr>
      </w:pPr>
    </w:p>
    <w:bookmarkStart w:id="36" w:name="page37"/>
    <w:bookmarkEnd w:id="36"/>
    <w:p>
      <w:pPr>
        <w:ind w:right="60" w:firstLine="509"/>
        <w:spacing w:after="0" w:line="247" w:lineRule="auto"/>
        <w:rPr>
          <w:sz w:val="20"/>
          <w:szCs w:val="20"/>
          <w:color w:val="auto"/>
        </w:rPr>
      </w:pPr>
      <w:r>
        <w:rPr>
          <w:rFonts w:ascii="Arial" w:cs="Arial" w:eastAsia="Arial" w:hAnsi="Arial"/>
          <w:sz w:val="18"/>
          <w:szCs w:val="18"/>
          <w:color w:val="auto"/>
        </w:rPr>
        <w:t>To date, our ability to grow and maintain our revenues in each of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6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spacing w:after="0" w:line="126"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Basis of Presentation – Leases to our condensed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spacing w:after="0" w:line="12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26"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2024 would change our income (loss) before income taxes by an insignificant amount.</w:t>
      </w:r>
    </w:p>
    <w:p>
      <w:pPr>
        <w:spacing w:after="0" w:line="12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3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1" w:lineRule="exact"/>
        <w:rPr>
          <w:sz w:val="20"/>
          <w:szCs w:val="20"/>
          <w:color w:val="auto"/>
        </w:rPr>
      </w:pPr>
    </w:p>
    <w:p>
      <w:pPr>
        <w:ind w:right="60" w:firstLine="509"/>
        <w:spacing w:after="0" w:line="301" w:lineRule="auto"/>
        <w:rPr>
          <w:sz w:val="20"/>
          <w:szCs w:val="20"/>
          <w:color w:val="auto"/>
        </w:rPr>
      </w:pPr>
      <w:r>
        <w:rPr>
          <w:rFonts w:ascii="Arial" w:cs="Arial" w:eastAsia="Arial" w:hAnsi="Arial"/>
          <w:sz w:val="17"/>
          <w:szCs w:val="17"/>
          <w:color w:val="auto"/>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ind w:firstLine="509"/>
        <w:spacing w:after="0" w:line="239"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2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9"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20"/>
        <w:spacing w:after="0" w:line="242" w:lineRule="auto"/>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5"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20"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6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6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certain of our satellites under construction and satellite programs (discussed in Note 1 — Basis of Presentation – Property, equipment and satellites above), no material impairments were recorded for the three months ended June 30, 2024 and 2023.</w:t>
      </w:r>
    </w:p>
    <w:p>
      <w:pPr>
        <w:spacing w:after="0" w:line="12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2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Based on our qualitative assessment performed during the fourth quarter of fiscal year 2024, we concluded that it was more likely than not that the estimated fair value of each of our reporting units exceeded their related carrying value as of March 31, 2024.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spacing w:after="0" w:line="12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spacing w:after="0" w:line="12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40" w:name="page41"/>
    <w:bookmarkEnd w:id="40"/>
    <w:p>
      <w:pPr>
        <w:ind w:right="60" w:firstLine="509"/>
        <w:spacing w:after="0" w:line="242"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8"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60"/>
        </w:trPr>
        <w:tc>
          <w:tcPr>
            <w:tcW w:w="6880" w:type="dxa"/>
            <w:vAlign w:val="bottom"/>
          </w:tcPr>
          <w:p>
            <w:pPr>
              <w:spacing w:after="0"/>
              <w:rPr>
                <w:sz w:val="13"/>
                <w:szCs w:val="13"/>
                <w:color w:val="auto"/>
              </w:rPr>
            </w:pPr>
          </w:p>
        </w:tc>
        <w:tc>
          <w:tcPr>
            <w:tcW w:w="1080" w:type="dxa"/>
            <w:vAlign w:val="bottom"/>
            <w:tcBorders>
              <w:top w:val="single" w:sz="8" w:color="auto"/>
            </w:tcBorders>
          </w:tcPr>
          <w:p>
            <w:pPr>
              <w:jc w:val="center"/>
              <w:ind w:left="308"/>
              <w:spacing w:after="0" w:line="160" w:lineRule="exact"/>
              <w:rPr>
                <w:sz w:val="20"/>
                <w:szCs w:val="20"/>
                <w:color w:val="auto"/>
              </w:rPr>
            </w:pPr>
            <w:r>
              <w:rPr>
                <w:rFonts w:ascii="Arial" w:cs="Arial" w:eastAsia="Arial" w:hAnsi="Arial"/>
                <w:sz w:val="14"/>
                <w:szCs w:val="14"/>
                <w:b w:val="1"/>
                <w:bCs w:val="1"/>
                <w:color w:val="auto"/>
              </w:rPr>
              <w:t>June 30,</w:t>
            </w: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32"/>
              <w:spacing w:after="0" w:line="160" w:lineRule="exact"/>
              <w:rPr>
                <w:sz w:val="20"/>
                <w:szCs w:val="20"/>
                <w:color w:val="auto"/>
              </w:rPr>
            </w:pPr>
            <w:r>
              <w:rPr>
                <w:rFonts w:ascii="Arial" w:cs="Arial" w:eastAsia="Arial" w:hAnsi="Arial"/>
                <w:sz w:val="14"/>
                <w:szCs w:val="14"/>
                <w:b w:val="1"/>
                <w:bCs w:val="1"/>
                <w:color w:val="auto"/>
              </w:rPr>
              <w:t>June 30,</w:t>
            </w:r>
          </w:p>
        </w:tc>
        <w:tc>
          <w:tcPr>
            <w:tcW w:w="180" w:type="dxa"/>
            <w:vAlign w:val="bottom"/>
            <w:gridSpan w:val="2"/>
          </w:tcPr>
          <w:p>
            <w:pPr>
              <w:spacing w:after="0"/>
              <w:rPr>
                <w:sz w:val="13"/>
                <w:szCs w:val="13"/>
                <w:color w:val="auto"/>
              </w:rPr>
            </w:pPr>
          </w:p>
        </w:tc>
      </w:tr>
      <w:tr>
        <w:trPr>
          <w:trHeight w:val="185"/>
        </w:trPr>
        <w:tc>
          <w:tcPr>
            <w:tcW w:w="688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7960" w:type="dxa"/>
            <w:vAlign w:val="bottom"/>
            <w:gridSpan w:val="2"/>
          </w:tcPr>
          <w:p>
            <w:pPr>
              <w:ind w:left="260"/>
              <w:spacing w:after="0"/>
              <w:rPr>
                <w:sz w:val="20"/>
                <w:szCs w:val="20"/>
                <w:color w:val="auto"/>
              </w:rPr>
            </w:pPr>
            <w:r>
              <w:rPr>
                <w:rFonts w:ascii="Arial" w:cs="Arial" w:eastAsia="Arial" w:hAnsi="Arial"/>
                <w:sz w:val="18"/>
                <w:szCs w:val="18"/>
                <w:color w:val="auto"/>
              </w:rPr>
              <w:t>Product 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Cost of product revenues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960" w:type="dxa"/>
            <w:vAlign w:val="bottom"/>
            <w:gridSpan w:val="2"/>
          </w:tcPr>
          <w:p>
            <w:pPr>
              <w:ind w:left="260"/>
              <w:spacing w:after="0"/>
              <w:rPr>
                <w:sz w:val="20"/>
                <w:szCs w:val="20"/>
                <w:color w:val="auto"/>
              </w:rPr>
            </w:pPr>
            <w:r>
              <w:rPr>
                <w:rFonts w:ascii="Arial" w:cs="Arial" w:eastAsia="Arial" w:hAnsi="Arial"/>
                <w:sz w:val="18"/>
                <w:szCs w:val="18"/>
                <w:color w:val="auto"/>
              </w:rPr>
              <w:t>Cost of service 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960" w:type="dxa"/>
            <w:vAlign w:val="bottom"/>
            <w:gridSpan w:val="2"/>
          </w:tcPr>
          <w:p>
            <w:pPr>
              <w:ind w:left="260"/>
              <w:spacing w:after="0"/>
              <w:rPr>
                <w:sz w:val="20"/>
                <w:szCs w:val="20"/>
                <w:color w:val="auto"/>
              </w:rPr>
            </w:pPr>
            <w:r>
              <w:rPr>
                <w:rFonts w:ascii="Arial" w:cs="Arial" w:eastAsia="Arial" w:hAnsi="Arial"/>
                <w:sz w:val="18"/>
                <w:szCs w:val="18"/>
                <w:color w:val="auto"/>
              </w:rPr>
              <w:t>Independent research and development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0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r>
      <w:tr>
        <w:trPr>
          <w:trHeight w:val="229"/>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(7 )</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r>
      <w:tr>
        <w:trPr>
          <w:trHeight w:val="20"/>
        </w:trPr>
        <w:tc>
          <w:tcPr>
            <w:tcW w:w="68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r>
      <w:tr>
        <w:trPr>
          <w:trHeight w:val="229"/>
        </w:trPr>
        <w:tc>
          <w:tcPr>
            <w:tcW w:w="7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r>
      <w:tr>
        <w:trPr>
          <w:trHeight w:val="230"/>
        </w:trPr>
        <w:tc>
          <w:tcPr>
            <w:tcW w:w="7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(3 )</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-2202180</wp:posOffset>
            </wp:positionV>
            <wp:extent cx="641223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-890905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-591185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1" w:lineRule="exact"/>
        <w:rPr>
          <w:sz w:val="20"/>
          <w:szCs w:val="20"/>
          <w:color w:val="auto"/>
        </w:rPr>
      </w:pPr>
    </w:p>
    <w:p>
      <w:pPr>
        <w:ind w:right="4880"/>
        <w:spacing w:after="0" w:line="365" w:lineRule="auto"/>
        <w:rPr>
          <w:sz w:val="20"/>
          <w:szCs w:val="20"/>
          <w:color w:val="auto"/>
        </w:rPr>
      </w:pPr>
      <w:r>
        <w:rPr>
          <w:rFonts w:ascii="Arial" w:cs="Arial" w:eastAsia="Arial" w:hAnsi="Arial"/>
          <w:sz w:val="18"/>
          <w:szCs w:val="18"/>
          <w:b w:val="1"/>
          <w:bCs w:val="1"/>
          <w:color w:val="auto"/>
        </w:rPr>
        <w:t xml:space="preserve">Three Months Ended June 30, 2024 vs. Three Months Ended June 30, 2023 </w:t>
      </w:r>
      <w:r>
        <w:rPr>
          <w:rFonts w:ascii="Arial" w:cs="Arial" w:eastAsia="Arial" w:hAnsi="Arial"/>
          <w:sz w:val="18"/>
          <w:szCs w:val="18"/>
          <w:i w:val="1"/>
          <w:iCs w:val="1"/>
          <w:color w:val="auto"/>
        </w:rPr>
        <w:t>Revenues</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99"/>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97"/>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7"/>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Product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69.4</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51 %</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1,126.5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346.7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total revenues grew by $346.7 million as a result of a $277.3 million increase in service revenues and a $69.4 million increase in product revenues, including a full quarter of contribution from the Inmarsat Acquisition compared to only one month of contribution in the prior year period. The service revenue increase was driven by increases of $272.8 million in our communication services segment and $4.5 million in our defense and advanced technologies segment. The increase in product revenue was driven primarily by a $75.7 million increase in our defense and advanced technologies segment, partially offset by a $6.3 million decrease in our communication services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99"/>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97"/>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720" w:type="dxa"/>
            <w:vAlign w:val="bottom"/>
            <w:gridSpan w:val="2"/>
          </w:tcPr>
          <w:p>
            <w:pPr>
              <w:jc w:val="center"/>
              <w:ind w:right="6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80" w:type="dxa"/>
            <w:vAlign w:val="bottom"/>
          </w:tcPr>
          <w:p>
            <w:pPr>
              <w:spacing w:after="0"/>
              <w:rPr>
                <w:sz w:val="16"/>
                <w:szCs w:val="16"/>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(2.9 )</w:t>
            </w: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(1 )%</w:t>
            </w:r>
          </w:p>
        </w:tc>
      </w:tr>
      <w:tr>
        <w:trPr>
          <w:trHeight w:val="229"/>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19"/>
                <w:szCs w:val="19"/>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49 %</w:t>
            </w: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cost of revenues</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710.8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165.9</w:t>
            </w:r>
          </w:p>
        </w:tc>
        <w:tc>
          <w:tcPr>
            <w:tcW w:w="180" w:type="dxa"/>
            <w:vAlign w:val="bottom"/>
          </w:tcPr>
          <w:p>
            <w:pPr>
              <w:spacing w:after="0"/>
              <w:rPr>
                <w:sz w:val="19"/>
                <w:szCs w:val="19"/>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30 %</w:t>
            </w:r>
          </w:p>
        </w:tc>
      </w:tr>
      <w:tr>
        <w:trPr>
          <w:trHeight w:val="652"/>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-1344930</wp:posOffset>
            </wp:positionV>
            <wp:extent cx="641223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-1045210</wp:posOffset>
            </wp:positionV>
            <wp:extent cx="641223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60" w:firstLine="509"/>
        <w:spacing w:after="0"/>
        <w:rPr>
          <w:sz w:val="20"/>
          <w:szCs w:val="20"/>
          <w:color w:val="auto"/>
        </w:rPr>
      </w:pPr>
      <w:r>
        <w:rPr>
          <w:rFonts w:ascii="Arial" w:cs="Arial" w:eastAsia="Arial" w:hAnsi="Arial"/>
          <w:sz w:val="18"/>
          <w:szCs w:val="18"/>
          <w:color w:val="auto"/>
        </w:rPr>
        <w:t>Cost of revenues increased by $165.9 million due to an increase of $168.8 million in cost of service revenues, partially offset by a $2.9 million decrease in cost of product revenues. The cost of service revenues increase was primarily due to increased service revenues in our communication services segment, causing a $177.5 million increase in cost of service revenues on a constant margin basis. The increase in cost of service revenues was partially offset by higher margins primarily within our communication services segment. The cost of product revenues decrease relative to product revenue growth was primarily due to the mix of our product revenues. In the current year period, we had a higher percent of intellectual property royalty and licensing revenues that had relatively low costs of product revenues (see Note 9 — Commitments and Contingencies to our condensed consolidated financial statements for more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4"/>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22"/>
              <w:spacing w:after="0" w:line="160"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82"/>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$31.5 million increase in selling, general and administrative (SG&amp;A) expenses was driven primarily by an increase in support costs of $26.8 million, primarily reflected in our communication services segment. The increase in SG&amp;A expenses was also driven by $4.7 million of higher selling costs, primarily reflected in our communication services segment. SG&amp;A expenses consisted primarily of personnel costs and expenses for business development, marketing and sales, bid and proposal, acquisition and transaction related expenses, facilities, finance, contract administration and general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4"/>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22"/>
              <w:spacing w:after="0" w:line="160"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82"/>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Independent 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The $9.6 million increase in independent research and development (IR&amp;D) expenses was mainly the result of increases of $6.0 million in IR&amp;D efforts in our communication services segment (primarily related to mobile broadband satellite communication systems for commercial airline platforms) and $3.6 million in our defense and advanced technologies segment (primarily related to tactical terrestrial networking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6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$38.4 million increase in amortization of acquired intangible assets in the first quarter of fiscal year 2025 compared to the prior year period was primarily related to the amortization of new intangibles acquired as a result of the Inmarsat Acquisition in May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$3.6 million increase in interest income for the three months ended June 30, 2024 compared to the prior year period was primarily due to interest earned on cash acquired as part of the Inmarsat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$49.8 million increase in interest expense for the three months ended June 30, 2024 compared to the prior year period was primarily the result of the effects of increased interest expense arising from our increased level of indebtedness following the closing of the Inmarsat Acquisition on May 30, 2023.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For the three months ended June 30, 2024, we recorded an income tax provision of $1.2 million, resulting in an effective tax rate of negative 5%. The effective tax rate for the period differed from the U.S. statutory rate primarily due to a U.S. valuation allowance and foreign tax rate differences. For the three months ended June 30, 2023, we recorded an income tax benefit of an insignificant amount resulting in an effective tax rate of 1%. The effective tax rate for the period differed from the U.S. statutory rate due primarily to the benefit of federal R&amp;D tax credits offset by expense for non-deductible transaction costs related to the Inmarsat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June 30, 2024 vs. Three Months Ended June 30,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 services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99"/>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97"/>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55 %</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826.8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266.5</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communication services segment revenues increased by $266.5 million due to a $272.8 million increase in service revenues, partially offset by a $6.3 million decrease in product revenues. The increase in segment service revenues for the three months ended June 30, 2024 compared to the prior year period was primarily due to the Inmarsat Acquisition in May 2023. The Inmarsat Acquisition contributed approximately $298.6 million to the increase in service revenues in our communication services segment due to a full quarter of contribution compared to only one month in the prior period. The inclusion of a full quarter of contributions from Inmarsat and growth in aviation services was partially offset by an expected decrease in revenues from fixed services and other compared to the prior year period. We continue to allocate a greater proportion of our bandwidth to our IFC business in preference to our U.S. fixed services business due to bandwidth constraints. The decrease in segment product revenues was primarily driven by a $10.8 million decrease in aviation products, partially offset by a $3.2 million increase in fixed and other products driven by enterprise and energy.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2"/>
          </w:tcPr>
          <w:p>
            <w:pPr>
              <w:spacing w:after="0"/>
              <w:rPr>
                <w:sz w:val="16"/>
                <w:szCs w:val="16"/>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40" w:type="dxa"/>
            <w:vAlign w:val="bottom"/>
            <w:gridSpan w:val="3"/>
          </w:tcPr>
          <w:p>
            <w:pPr>
              <w:jc w:val="center"/>
              <w:ind w:right="540"/>
              <w:spacing w:after="0" w:line="160" w:lineRule="exact"/>
              <w:rPr>
                <w:sz w:val="20"/>
                <w:szCs w:val="20"/>
                <w:color w:val="auto"/>
              </w:rPr>
            </w:pPr>
            <w:r>
              <w:rPr>
                <w:rFonts w:ascii="Arial" w:cs="Arial" w:eastAsia="Arial" w:hAnsi="Arial"/>
                <w:sz w:val="14"/>
                <w:szCs w:val="14"/>
                <w:b w:val="1"/>
                <w:bCs w:val="1"/>
                <w:color w:val="auto"/>
              </w:rPr>
              <w:t>June 30,</w:t>
            </w:r>
          </w:p>
        </w:tc>
        <w:tc>
          <w:tcPr>
            <w:tcW w:w="900" w:type="dxa"/>
            <w:vAlign w:val="bottom"/>
          </w:tcPr>
          <w:p>
            <w:pPr>
              <w:jc w:val="center"/>
              <w:ind w:right="44"/>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(9.9 )  $</w:t>
            </w: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522 %</w:t>
            </w:r>
          </w:p>
        </w:tc>
      </w:tr>
      <w:tr>
        <w:trPr>
          <w:trHeight w:val="239"/>
        </w:trPr>
        <w:tc>
          <w:tcPr>
            <w:tcW w:w="51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(2 )%</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41"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The change in our communication services segment operating loss to an operating profit was primarily due to increased earnings contributions of $92.2 million, mainly due to an increase in revenues from the Inmarsat Acquisition in May 2023 and improved margins from aviation and government satcom as our aviation services continued to scale. The increase in earnings contributions was partially offset by higher SG&amp;A costs of $34.3 million, primarily related to a full quarter of Inmarsat SG&amp;A costs in the current year period compared to one month of SG&amp;A costs in the prior year period, and higher IR&amp;D costs of $6.0 million (primarily related to mobile broadband satellite communication systems for commercial airline platforms).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advanced technologies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99"/>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197"/>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7"/>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720" w:type="dxa"/>
            <w:vAlign w:val="bottom"/>
            <w:gridSpan w:val="2"/>
          </w:tcPr>
          <w:p>
            <w:pPr>
              <w:jc w:val="center"/>
              <w:ind w:right="6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80" w:type="dxa"/>
            <w:vAlign w:val="bottom"/>
          </w:tcPr>
          <w:p>
            <w:pPr>
              <w:spacing w:after="0"/>
              <w:rPr>
                <w:sz w:val="16"/>
                <w:szCs w:val="16"/>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Segment product revenues</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75.7</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45 %</w:t>
            </w:r>
          </w:p>
        </w:tc>
      </w:tr>
      <w:tr>
        <w:trPr>
          <w:trHeight w:val="229"/>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9 %</w:t>
            </w: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segment revenues</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80.1</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37 %</w:t>
            </w:r>
          </w:p>
        </w:tc>
      </w:tr>
      <w:tr>
        <w:trPr>
          <w:trHeight w:val="652"/>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-1344930</wp:posOffset>
            </wp:positionV>
            <wp:extent cx="641223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-1045210</wp:posOffset>
            </wp:positionV>
            <wp:extent cx="641223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43" w:name="page44"/>
    <w:bookmarkEnd w:id="43"/>
    <w:p>
      <w:pPr>
        <w:ind w:right="140" w:firstLine="509"/>
        <w:spacing w:after="0"/>
        <w:rPr>
          <w:sz w:val="20"/>
          <w:szCs w:val="20"/>
          <w:color w:val="auto"/>
        </w:rPr>
      </w:pPr>
      <w:r>
        <w:rPr>
          <w:rFonts w:ascii="Arial" w:cs="Arial" w:eastAsia="Arial" w:hAnsi="Arial"/>
          <w:sz w:val="18"/>
          <w:szCs w:val="18"/>
          <w:color w:val="auto"/>
        </w:rPr>
        <w:t>Our defense and advanced technologies segment revenues increased by $80.1 million due to a $75.7 million increase in product revenues and a $4.5 million increase in service revenues. The increase in product revenues was primarily the result of $41.7 million of contributions from certain licensing agreements in advanced technologies and other (see Note 9 — Commitments and Contingencies to our condensed consolidated financial statements for more information). The increase in product revenues was also driven by an increase in tactical networking products due to an increase of $37.3 million in tactical terrestrial networking products, partially offset by a decrease of $3.5 million in government satellite communication systems. The increase in service revenues was primarily driven by increases of $2.3 million in tactical terrestrial networking services and $2.1 million in space and mission systems.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2"/>
          </w:tcPr>
          <w:p>
            <w:pPr>
              <w:spacing w:after="0"/>
              <w:rPr>
                <w:sz w:val="16"/>
                <w:szCs w:val="16"/>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40" w:type="dxa"/>
            <w:vAlign w:val="bottom"/>
            <w:gridSpan w:val="3"/>
          </w:tcPr>
          <w:p>
            <w:pPr>
              <w:jc w:val="center"/>
              <w:ind w:right="540"/>
              <w:spacing w:after="0" w:line="160" w:lineRule="exact"/>
              <w:rPr>
                <w:sz w:val="20"/>
                <w:szCs w:val="20"/>
                <w:color w:val="auto"/>
              </w:rPr>
            </w:pPr>
            <w:r>
              <w:rPr>
                <w:rFonts w:ascii="Arial" w:cs="Arial" w:eastAsia="Arial" w:hAnsi="Arial"/>
                <w:sz w:val="14"/>
                <w:szCs w:val="14"/>
                <w:b w:val="1"/>
                <w:bCs w:val="1"/>
                <w:color w:val="auto"/>
              </w:rPr>
              <w:t>June 30,</w:t>
            </w:r>
          </w:p>
        </w:tc>
        <w:tc>
          <w:tcPr>
            <w:tcW w:w="880" w:type="dxa"/>
            <w:vAlign w:val="bottom"/>
          </w:tcPr>
          <w:p>
            <w:pPr>
              <w:jc w:val="center"/>
              <w:ind w:right="64"/>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(3.8 )  $</w:t>
            </w:r>
          </w:p>
        </w:tc>
        <w:tc>
          <w:tcPr>
            <w:tcW w:w="880" w:type="dxa"/>
            <w:vAlign w:val="bottom"/>
          </w:tcPr>
          <w:p>
            <w:pPr>
              <w:jc w:val="right"/>
              <w:spacing w:after="0"/>
              <w:rPr>
                <w:sz w:val="20"/>
                <w:szCs w:val="20"/>
                <w:color w:val="auto"/>
              </w:rPr>
            </w:pPr>
            <w:r>
              <w:rPr>
                <w:rFonts w:ascii="Arial" w:cs="Arial" w:eastAsia="Arial" w:hAnsi="Arial"/>
                <w:sz w:val="18"/>
                <w:szCs w:val="18"/>
                <w:color w:val="auto"/>
              </w:rPr>
              <w:t>87.8</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2333 %</w:t>
            </w:r>
          </w:p>
        </w:tc>
      </w:tr>
      <w:tr>
        <w:trPr>
          <w:trHeight w:val="239"/>
        </w:trPr>
        <w:tc>
          <w:tcPr>
            <w:tcW w:w="52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28 %</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1"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The change in our defense and advanced technologies segment operating loss to an operating profit was primarily due to increased earnings contributions of $88.6 million driven by revenue flow through related to contributions from certain licensing agreements in advanced technologies and other (see Note 9 — Commitments and Contingencies to our condensed consolidated financial statements for more information) as well as earnings contributions from tactical terrestrial networking products in tactical networking. Additionally, the change to operating profit was impacted by lower SG&amp;A costs of $2.8 million, partially offset by an increase in IR&amp;D expenses of $3.6 million (primarily related to tactical terrestrial networking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firm and funded backlog as of June 30, 2024 is reflected in the table below.</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r>
      <w:tr>
        <w:trPr>
          <w:trHeight w:val="185"/>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2024</w:t>
            </w:r>
          </w:p>
        </w:tc>
      </w:tr>
      <w:tr>
        <w:trPr>
          <w:trHeight w:val="155"/>
        </w:trPr>
        <w:tc>
          <w:tcPr>
            <w:tcW w:w="48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5"/>
              </w:rPr>
              <w:t>(In millions)</w:t>
            </w:r>
          </w:p>
        </w:tc>
        <w:tc>
          <w:tcPr>
            <w:tcW w:w="60" w:type="dxa"/>
            <w:vAlign w:val="bottom"/>
          </w:tcPr>
          <w:p>
            <w:pPr>
              <w:spacing w:after="0"/>
              <w:rPr>
                <w:sz w:val="13"/>
                <w:szCs w:val="13"/>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Communication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2,927.8</w:t>
            </w:r>
          </w:p>
        </w:tc>
        <w:tc>
          <w:tcPr>
            <w:tcW w:w="60" w:type="dxa"/>
            <w:vAlign w:val="bottom"/>
          </w:tcPr>
          <w:p>
            <w:pPr>
              <w:spacing w:after="0"/>
              <w:rPr>
                <w:sz w:val="19"/>
                <w:szCs w:val="19"/>
                <w:color w:val="auto"/>
              </w:rPr>
            </w:pPr>
          </w:p>
        </w:tc>
      </w:tr>
      <w:tr>
        <w:trPr>
          <w:trHeight w:val="230"/>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Defense and advanced technologies</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3,639.6</w:t>
            </w:r>
          </w:p>
        </w:tc>
        <w:tc>
          <w:tcPr>
            <w:tcW w:w="6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Funded backlog</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Communication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2,921.5</w:t>
            </w:r>
          </w:p>
        </w:tc>
        <w:tc>
          <w:tcPr>
            <w:tcW w:w="60" w:type="dxa"/>
            <w:vAlign w:val="bottom"/>
          </w:tcPr>
          <w:p>
            <w:pPr>
              <w:spacing w:after="0"/>
              <w:rPr>
                <w:sz w:val="19"/>
                <w:szCs w:val="19"/>
                <w:color w:val="auto"/>
              </w:rPr>
            </w:pPr>
          </w:p>
        </w:tc>
      </w:tr>
      <w:tr>
        <w:trPr>
          <w:trHeight w:val="230"/>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Defense and advanced technologies</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3,502.8</w:t>
            </w:r>
          </w:p>
        </w:tc>
        <w:tc>
          <w:tcPr>
            <w:tcW w:w="6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-796290</wp:posOffset>
            </wp:positionV>
            <wp:extent cx="342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-179070</wp:posOffset>
            </wp:positionV>
            <wp:extent cx="34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firm backlog does not include contract options. As of June 30, 2024, a little less than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June 30, 2024, our IFC systems were installed and in service on approximately 3,810 commercial aircraft of which approximately 60 were inactive at quarter end (mostly due to standard aircraft maintenance). We anticipate that approximately 1,460 additional commercial aircraft will be put into service with our IFC systems under existing customer agreements with commercial airlines. Due to the nature of commercial airline contracts and other factors such as OEM delays, there can be no assurance that all anticipated purchase orders and requests will be placed or that anticipated IFC services will be activated on all such additional commercial aircraft.</w:t>
      </w:r>
    </w:p>
    <w:p>
      <w:pPr>
        <w:spacing w:after="0" w:line="126"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Our total new awards which exclude future revenue under recurring consumer commitment arrangements were approximately $1.2 billion and $803.0 million for the three months ended June 30, 2024 and 2023, respectively.</w:t>
      </w:r>
    </w:p>
    <w:p>
      <w:pPr>
        <w:spacing w:after="0" w:line="100"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44" w:name="page45"/>
    <w:bookmarkEnd w:id="44"/>
    <w:p>
      <w:pPr>
        <w:ind w:right="20" w:firstLine="509"/>
        <w:spacing w:after="0" w:line="242"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June 30, 2024, we had $1.8 billion in cash and cash equivalents, $2.2 billion in working capital, no outstanding borrowings and borrowing availability of $588.3 million under our $647.5 million revolving credit facility (the Viasat Revolving Credit Facility), and no outstanding borrowings and borrowing availability of $550.0 million under Inmarsat's $550.0 million revolving line of credit (the Inmarsat Revolving Credit Facility, and together with the Viasat Revolving Credit Facility, the Revolving Credit Facilities). At March 31, 2024, we had $1.9 billion in cash and cash equivalents, $2.2 billion in working capital, no outstanding borrowings and borrowing availability of $591.5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spacing w:after="0" w:line="12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The general cash needs of our communication services and defense and advanced technologies segments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spacing w:after="0" w:line="61" w:lineRule="exact"/>
        <w:rPr>
          <w:sz w:val="20"/>
          <w:szCs w:val="20"/>
          <w:color w:val="auto"/>
        </w:rPr>
      </w:pPr>
    </w:p>
    <w:p>
      <w:pPr>
        <w:ind w:left="1020" w:right="120" w:hanging="503"/>
        <w:spacing w:after="0" w:line="24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cash needs of our communication services segment tend to be driven by the timing and amount of capital expenditures (e.g., payments under satellite construction and launch contracts and investments in ground infrastructure roll-out), IR&amp;D expenditures, investments in joint ventures, strategic partnering arrangements and network expansion activities, investments to obtain Supplemental Type Certificates to enable the retrofit installation of our IFC and W-IFE equipment and investments in platforms and software to support services and entry into new markets, as well as the quality of customer, type of contract, mix of contracts in backlog and payment terms, and timing and amount of recoveries under satellite insurance claims.</w:t>
      </w:r>
    </w:p>
    <w:p>
      <w:pPr>
        <w:spacing w:after="0" w:line="69" w:lineRule="exact"/>
        <w:rPr>
          <w:rFonts w:ascii="Times New Roman" w:cs="Times New Roman" w:eastAsia="Times New Roman" w:hAnsi="Times New Roman"/>
          <w:sz w:val="18"/>
          <w:szCs w:val="18"/>
          <w:color w:val="auto"/>
        </w:rPr>
      </w:pPr>
    </w:p>
    <w:p>
      <w:pPr>
        <w:ind w:left="1020" w:right="120" w:hanging="503"/>
        <w:spacing w:after="0" w:line="243"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our defense and advanced technologies segment, the primary factors determining cash needs tend to be the type and mix of contracts in backlog (e.g., product or service, development or production) and timing of payments (including restrictions on the timing of cash payments under U.S. Government procurement regulations), contract duration and program performance. For example, if a program is performing well and meeting its contractual requirements, then its cash flow requirements are usually lower.</w:t>
      </w:r>
    </w:p>
    <w:p>
      <w:pPr>
        <w:spacing w:after="0" w:line="126"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Additionally, we will continue to evaluate other possible acquisitions of, or investments in complementary businesses, products and technologies which may require the use of cash or additional financing.</w:t>
      </w:r>
    </w:p>
    <w:p>
      <w:pPr>
        <w:spacing w:after="0" w:line="10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sale of Link-16 tactical data link business that was completed in January 2023 for approximately $1.96 billion in cash, as well as divestitures of non-core assets or businesses.</w:t>
      </w:r>
    </w:p>
    <w:p>
      <w:pPr>
        <w:spacing w:after="0" w:line="126"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We may, from time to time, seek to retire, prepay or repurchase our outstanding debt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In July 2024, subsequent to quarter end, we repurchased $152.2 million in aggregate principal amount of our outstanding notes in open market transactions, consisting of approximately $101.7 million of Inmarsat 2026 Notes and $50.5 million of 2025 Notes.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jc w:val="both"/>
        <w:ind w:right="180" w:firstLine="749"/>
        <w:spacing w:after="0" w:line="253" w:lineRule="auto"/>
        <w:rPr>
          <w:sz w:val="20"/>
          <w:szCs w:val="20"/>
          <w:color w:val="auto"/>
        </w:rPr>
      </w:pPr>
      <w:r>
        <w:rPr>
          <w:rFonts w:ascii="Arial" w:cs="Arial" w:eastAsia="Arial" w:hAnsi="Arial"/>
          <w:sz w:val="18"/>
          <w:szCs w:val="18"/>
          <w:color w:val="auto"/>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6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Cash provided by operating activities for the first three months of fiscal year 2025 was $151.1 million compared to $103.7 million in the prior year period. This $47.4 million increase was driven by our operating results (net income (loss) adjusted for depreciation, amortization and other non-cash charges) which resulted in $ 252.9 million of higher cash provided by operating activities year-over-year, partially offset by a $205.5 million year-over-year increase in cash used to fund net operating assets. The increase in cash used to fund net operating assets during the first three months of fiscal year 2025 when compared to the prior year period was primarily due to the timing of deferred revenue recognized under certain long-term contracts in our defense and advanced technologies segment and under certain long-term contracts acquired through the Inmarsat Acquisition in our communication services segment. Cash paid for income taxes, net, during the first three months of fiscal year 2025 and 2024 were $32.4 million and $3.8 million, respectively. Cash paid for interest (net of amounts capitalized) during the first three months of fiscal year 2025 and 2024 were $116.4 million and $11.5 million, respectively.</w:t>
      </w:r>
    </w:p>
    <w:p>
      <w:pPr>
        <w:spacing w:after="0" w:line="12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Cash used in investing activities for the first three months of fiscal year 2025 was approximately $221.5 million compared to $769.5 million in the prior year period. This $548.0 million decrease in cash used in investing activities year-over-year reflects $342.6 million in cash (net of cash acquired) used for the Inmarsat Acquisition in the first quarter of fiscal year 2024, $79.5 million of cash receipts related to satellite insurance claim proceeds received during the first quarter of fiscal year 2025, and a decrease in cash used for capital expenditures of approximately $73.9 million.</w:t>
      </w:r>
    </w:p>
    <w:p>
      <w:pPr>
        <w:spacing w:after="0" w:line="12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Cash used in financing activities for the first three months of fiscal year 2025 was approximately $22.5 million compared to cash provided by financing activities of $1.3 billion for the prior year period. Cash used in financing activities for the first three months of fiscal year 2025 was primarily comprised of debt repayments of approximately $ 19.5 million. Cash provided by financing activities in the first three months of fiscal year 2024 was primarily comprised of proceeds from debt borrowings of $1.3 billion in the first quarter of fiscal year 2024. See Note 7 — Senior Notes and Other Long-Term Debt for further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complementary fleet of 21 in service or operational satellites spans the Ka-, L- and S- bands, with 11 Ka-band satellites, eight L-band satellites (three of which are contingency L-band satellites that are operational but not currently in service), an S-band satellite that supports the European Aviation Network to provide IFC services to commercial airlines in Europe, and an I-6 class hybrid Ka-/L-band satellite (the I-6 F1 satellite). Subsequent to the quarter end, in late July 2024, the ViaSat-3 F1 satellite completed in-orbit testing and was integrated into our existing satellite fleet covering the Americas. Furthermore, we have ten additional geostationary (GEO) and highly-elliptical earth orbit (HEO) satellites under development: two additional high -capacity Ka-band GEO satellites (ViaSat-3 F2 and ViaSat-3 F3), three additional adaptive Ka-band GEO satellites (GX 7, GX 8 and GX 9), two Ka-band HEO satellite payloads intended to provide polar coverage (GX 10a and GX 10b) and three Inmarsat-8 L-band GEO safety service satellites. Our deep satellite fleet enables us to provide a wide array of high-quality broadband and narrowband services with near global coverage (including strong oceanic coverage) with greater redundancy and resiliency.</w:t>
      </w:r>
    </w:p>
    <w:p>
      <w:pPr>
        <w:spacing w:after="0" w:line="126" w:lineRule="exact"/>
        <w:rPr>
          <w:sz w:val="20"/>
          <w:szCs w:val="20"/>
          <w:color w:val="auto"/>
        </w:rPr>
      </w:pPr>
    </w:p>
    <w:p>
      <w:pPr>
        <w:ind w:right="180" w:firstLine="559"/>
        <w:spacing w:after="0" w:line="244" w:lineRule="auto"/>
        <w:rPr>
          <w:sz w:val="20"/>
          <w:szCs w:val="20"/>
          <w:color w:val="auto"/>
        </w:rPr>
      </w:pPr>
      <w:r>
        <w:rPr>
          <w:rFonts w:ascii="Arial" w:cs="Arial" w:eastAsia="Arial" w:hAnsi="Arial"/>
          <w:sz w:val="18"/>
          <w:szCs w:val="18"/>
          <w:color w:val="auto"/>
        </w:rPr>
        <w:t>We launched the first of our third-generation ViaSat-3 class satellites, ViaSat-3 F1, into orbit on April 30, 2023. On July 12, 2023, we reported a reflector deployment issue that materially impacted the performance of the ViaSat-3 F1 satellite, and on August 24, 2023, we reported the I-6 F2 satellite suffered a power subsystem anomaly during its orbit raising phase, and concluded that the satellite would not operate as intended (see Note 1 — Basis of Presentation – Property, equipment and satellites to our condensed consolidated financial statements for more information).</w:t>
      </w:r>
    </w:p>
    <w:p>
      <w:pPr>
        <w:spacing w:after="0" w:line="12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included in our Annual Report on Form 10-K for the year ended March 31, 2024 for information regarding our future minimum payments under our satellite construction contracts and other satellite-related purchase commitments (including satellite performance incentive obligations) for the next five fiscal years and thereafter, as well as purchase commitments including satellite-related agreements under the contractual obligations table below.. The total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jc w:val="both"/>
        <w:ind w:right="280"/>
        <w:spacing w:after="0" w:line="275" w:lineRule="auto"/>
        <w:rPr>
          <w:sz w:val="20"/>
          <w:szCs w:val="20"/>
          <w:color w:val="auto"/>
        </w:rPr>
      </w:pPr>
      <w:r>
        <w:rPr>
          <w:rFonts w:ascii="Arial" w:cs="Arial" w:eastAsia="Arial" w:hAnsi="Arial"/>
          <w:sz w:val="17"/>
          <w:szCs w:val="17"/>
          <w:color w:val="auto"/>
        </w:rPr>
        <w:t>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9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connection with the launch of any new satellite and the commencement of service on the satellite, we expect to incur additional operating costs that negatively impact our financial results. For example, when ViaSat-2 was placed in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service on new satellites, such as the capacity constraints we experienced during fiscal years 2023 and 2024.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2024, the aggregate principal amount of our total outstanding indebtedness was $7.5 billion, which was comprised of</w:t>
      </w:r>
    </w:p>
    <w:p>
      <w:pPr>
        <w:spacing w:after="0" w:line="14" w:lineRule="exact"/>
        <w:rPr>
          <w:sz w:val="20"/>
          <w:szCs w:val="20"/>
          <w:color w:val="auto"/>
        </w:rPr>
      </w:pPr>
    </w:p>
    <w:p>
      <w:pPr>
        <w:ind w:right="20" w:firstLine="8"/>
        <w:spacing w:after="0" w:line="236"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$700.0 million in aggregate principal amount of Viasat's 5.625% Senior Notes due 2025, $600.0 million in aggregate principal amount of Viasat's 5.625% Senior Secured Notes due 2027, $400.0 million in aggregate principal amount of Viasat's 6.500% Senior Notes due 2028, $733.4 million in aggregate principal amount of Viasat's 7.500% Senior Notes due 2031 (the 2031 Notes) and $2.08 billion in aggregate principal amount of Inmarsat's 6.750% Senior Secured Notes due 2026, (2) $686.0 million in principal amount of outstanding borrowings under Viasat's $700.0 million senior secured term loan facility (the 2022 Term Loan Facility), $612.1 million in principal amount of outstanding borrowings under Viasat's $616.7 million senior secured term loan facility (the 2023 Term Loan Facility), $1.6 billion in principal amount of outstanding borrowings under Inmarsat's $1.6 billion senior secured term loan facilities (the Inmarsat Term Loan Facilities), no outstanding borrowings under the Revolving Credit Facilities, and $29.5 million in principal amount of outstanding borrowings under Viasat's direct loan facility with the Export-Import Bank of the United States (the Ex-Im Credit Facility), and (3) $23.7 million of finance lease obligations. For information regarding our outstanding indebtedness, refer to Note 7 — Senior Notes and Other Long-Term Debt to our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6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For a discussion of our capital expenditures and IR&amp;D investments, see Part II, Item 7, “Liquidity and Capital Resources – Capital Expenditures and IR&amp;D Investments” in our Annual Report on Form 10-K for the year ended March 31, 2024, as well as Note 4 — Acquisition, related to the Inmarsat Acquisition, and Note 1 — Basis of Presentation – Property, equipment and satellites, related to satellite impairment, to our condensed consolidated financial statements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Next 12 months</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7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118,653</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842,282</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Senior notes and other long-term debt (1) (2)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635,696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9,234,699</w:t>
            </w:r>
          </w:p>
        </w:tc>
        <w:tc>
          <w:tcPr>
            <w:tcW w:w="100" w:type="dxa"/>
            <w:vAlign w:val="bottom"/>
          </w:tcPr>
          <w:p>
            <w:pPr>
              <w:spacing w:after="0"/>
              <w:rPr>
                <w:sz w:val="19"/>
                <w:szCs w:val="19"/>
                <w:color w:val="auto"/>
              </w:rPr>
            </w:pPr>
          </w:p>
        </w:tc>
      </w:tr>
      <w:tr>
        <w:trPr>
          <w:trHeight w:val="229"/>
        </w:trPr>
        <w:tc>
          <w:tcPr>
            <w:tcW w:w="7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Purchase commitments including satellite-related agreements</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1,107,124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1,050,159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1,861,473</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11,127,140</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500" w:type="dxa"/>
            <w:vAlign w:val="bottom"/>
            <w:tcBorders>
              <w:bottom w:val="single" w:sz="8" w:color="auto"/>
            </w:tcBorders>
          </w:tcPr>
          <w:p>
            <w:pPr>
              <w:spacing w:after="0"/>
              <w:rPr>
                <w:sz w:val="6"/>
                <w:szCs w:val="6"/>
                <w:color w:val="auto"/>
              </w:rPr>
            </w:pPr>
          </w:p>
        </w:tc>
        <w:tc>
          <w:tcPr>
            <w:tcW w:w="6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-248285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ind w:left="520" w:right="200" w:hanging="512"/>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June 30, 2024 until the applicable maturity date, net of interest rate cap contracts (maturing in February 2025) set up to hedge the variable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520"/>
        <w:spacing w:after="0" w:line="245" w:lineRule="auto"/>
        <w:rPr>
          <w:sz w:val="20"/>
          <w:szCs w:val="20"/>
          <w:color w:val="auto"/>
        </w:rPr>
      </w:pPr>
      <w:r>
        <w:rPr>
          <w:rFonts w:ascii="Arial" w:cs="Arial" w:eastAsia="Arial" w:hAnsi="Arial"/>
          <w:sz w:val="18"/>
          <w:szCs w:val="18"/>
          <w:color w:val="auto"/>
        </w:rPr>
        <w:t>interest rates under the Inmarsat Term Loan Facilities. The interest rate cap contracts provide protection from Compound SOFR rates over 2% and covered the total nominal amount of the Inmarsat Term Loan Facilities of $1.6 billion.</w:t>
      </w: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2024, subsequent to quarter end, in an open market transaction, we repurchased $152.2 million in aggregate principal amount of our outstanding notes in open market transactions, consisting of approximately $101.7 million of Inmarsat 2026 Notes and $50.5 million of 2025 Notes (see Note 12 — Subsequent Events to our condensed consolidated financial statements for additional information).</w:t>
      </w:r>
    </w:p>
    <w:p>
      <w:pPr>
        <w:spacing w:after="0" w:line="15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spacing w:after="0" w:line="126"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Our condensed consolidated balance sheets included $2.4 billion and $2.5 billion of “other liabilities” as of June 30, 2024 and March 31, 2024, respectively, which primarily consisted of deferred income taxes and the long-term portion of deferred revenues. These remaining liabilities have been excluded from the above table as the timing and/or the amount of any cash payment is uncertain.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6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We had no material off-balance sheet arrangements at June 30, 2024 as defined in Regulation S-K Item 303(b) other than as discussed under “Contractual Obligations” above or disclosed in the notes to our condensed consolidated financial statements included in this report or in our Annual Report on Form 10-K for the year ended March 31,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3"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58" w:right="459" w:bottom="1440" w:gutter="0" w:footer="0" w:header="0"/>
        </w:sectPr>
      </w:pPr>
    </w:p>
    <w:bookmarkStart w:id="48" w:name="page49"/>
    <w:bookmarkEnd w:id="48"/>
    <w:p>
      <w:pPr>
        <w:ind w:right="5520"/>
        <w:spacing w:after="0" w:line="31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60" w:firstLine="509"/>
        <w:spacing w:after="0" w:line="257" w:lineRule="auto"/>
        <w:rPr>
          <w:sz w:val="20"/>
          <w:szCs w:val="20"/>
          <w:color w:val="auto"/>
        </w:rPr>
      </w:pPr>
      <w:r>
        <w:rPr>
          <w:rFonts w:ascii="Arial" w:cs="Arial" w:eastAsia="Arial" w:hAnsi="Arial"/>
          <w:sz w:val="17"/>
          <w:szCs w:val="17"/>
          <w:color w:val="auto"/>
        </w:rPr>
        <w:t>Our financial instruments consist of cash and cash equivalents, restricted cash, accounts receivable, accounts payable and short-term and long-term obligations (including Viasat’s and Inmarsat’s senior secured credit facilities (collectively, the Credit Facilities) and our senior unsecured and senior secured notes (collectively, the Notes)), and interest rate cap contracts.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p>
    <w:p>
      <w:pPr>
        <w:spacing w:after="0" w:line="11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qualified money-market securities.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13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Our primary interest rate under our variable rate Credit Facilities is the forward-looking term SOFR rate plus an applicable margin. As of June 30, 2024, the effective interest rate on our outstanding borrowings under the 2022 Term Loan Facility was 10.38%, and under the 2023 Term Loan Facility was 10.92%. As of June 30, 2024, the weighted average effective interest rate under the Inmarsat Term Loan Facilities was approximately 9.48%. As of June 30, 2024, the effective interest rate that would have been applied to any new SOFR-based borrowings under the Viasat Revolving Credit Facility was approximately 7.64%, and under the Inmarsat Revolving Credit Facility was approximately 8.33%. As of June 30, 2024, we had no outstanding borrowings under our Revolving Credit Facilities. Accordingly, assuming the outstanding balance under the 2022 Term Loan Facility, the 2023 Term Loan Facility and the Inmarsat Term Loan Facilities remained constant over a year and we continued to have no outstanding borrowings under the Revolving Credit Facilities, a 10% increase in the interest rates would increase interest incurred, prior to effects of capitalized interest but taking into account Inmarsat's interest rate cap contracts with respect to the Inmarsat Term Loan Facilities, by approximately $18.1 million over a 12-month period.</w:t>
      </w:r>
    </w:p>
    <w:p>
      <w:pPr>
        <w:spacing w:after="0" w:line="126"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have entered into interest rate cap contracts to hedge the variable interest rates under the Inmarsat Term Loan Facilities. The interest rate cap contracts provide protection from Compound SOFR rates over 2% and covered the total nominal amount of the Inmarsat Term Loan Facilities of $1.6 billion. As of June 30, 2024, a 100 basis point increase or decrease in interest rates would increase or decrease the carrying and fair values of the interest rate cap contract by approximately $10.8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6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and $5.5 million for the three months ended June 30, 2024 and 2023,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2024, the end of the period covered by this report. Based upon the foregoing, our Chief Executive Officer and Chief Financial Officer concluded that our disclosure controls and procedures were effective at a reasonable assurance level as of June 30, 2024.</w:t>
      </w:r>
    </w:p>
    <w:p>
      <w:pPr>
        <w:spacing w:after="0" w:line="120"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2024, which factors could materially affect our business, financial condition, liquidity or future results. There have been no material changes to the risk factors described in the "Risk Factors" section in our Annual Report on Form 10-K for the fiscal year ended March 31, 2024 and such Quarterly Report on Form 10-Q.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On June 1, 2024, John Stenbit, a member of our board of directors, adopted a Rule 10b5-1 trading arrangement that is intended to satisfy the affirmative defense conditions of Rule 10b5 -1(c) for the sale of up to 5,000 shares of our common stock (to be acquired upon the exercise of options if certain price thresholds are met) from August 31, 2024 until September 5, 2024.</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5"/>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900" w:type="dxa"/>
            <w:vAlign w:val="bottom"/>
            <w:gridSpan w:val="11"/>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2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34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0000FF"/>
              </w:rPr>
              <w:t>Viasat, Inc. 1996 Equity Participation Plan</w:t>
            </w: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Performance-based Restricted Stock Unit</w:t>
            </w:r>
          </w:p>
        </w:tc>
        <w:tc>
          <w:tcPr>
            <w:tcW w:w="940" w:type="dxa"/>
            <w:vAlign w:val="bottom"/>
            <w:gridSpan w:val="9"/>
          </w:tcPr>
          <w:p>
            <w:pPr>
              <w:spacing w:after="0" w:line="182" w:lineRule="exact"/>
              <w:rPr>
                <w:sz w:val="20"/>
                <w:szCs w:val="20"/>
                <w:color w:val="auto"/>
              </w:rPr>
            </w:pPr>
            <w:r>
              <w:rPr>
                <w:rFonts w:ascii="Arial" w:cs="Arial" w:eastAsia="Arial" w:hAnsi="Arial"/>
                <w:sz w:val="18"/>
                <w:szCs w:val="18"/>
                <w:color w:val="0000FF"/>
              </w:rPr>
              <w:t>Award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Agreement — Financial Performance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0000FF"/>
              </w:rPr>
              <w:t>Viasat, Inc. 1996 Equity Participation Plan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Performance-based Restricted Stock Unit</w:t>
            </w:r>
          </w:p>
        </w:tc>
        <w:tc>
          <w:tcPr>
            <w:tcW w:w="940" w:type="dxa"/>
            <w:vAlign w:val="bottom"/>
            <w:gridSpan w:val="9"/>
          </w:tcPr>
          <w:p>
            <w:pPr>
              <w:spacing w:after="0" w:line="182" w:lineRule="exact"/>
              <w:rPr>
                <w:sz w:val="20"/>
                <w:szCs w:val="20"/>
                <w:color w:val="auto"/>
              </w:rPr>
            </w:pPr>
            <w:r>
              <w:rPr>
                <w:rFonts w:ascii="Arial" w:cs="Arial" w:eastAsia="Arial" w:hAnsi="Arial"/>
                <w:sz w:val="18"/>
                <w:szCs w:val="18"/>
                <w:color w:val="0000FF"/>
              </w:rPr>
              <w:t>Award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Agreement — Relative Total Shareholder Return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280" w:type="dxa"/>
            <w:vAlign w:val="bottom"/>
            <w:tcBorders>
              <w:top w:val="single" w:sz="8" w:color="0000FF"/>
            </w:tcBorders>
            <w:gridSpan w:val="6"/>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20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0000FF"/>
              </w:rPr>
              <w:t>Certifications Pursuant to 18 U.S.C. Section 1350, as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Adopted Pursuant to Section 906 of the Sarbanes-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Oxley Act of 2002</w:t>
            </w:r>
          </w:p>
        </w:tc>
        <w:tc>
          <w:tcPr>
            <w:tcW w:w="3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080" w:type="dxa"/>
            <w:vAlign w:val="bottom"/>
          </w:tcPr>
          <w:p>
            <w:pPr>
              <w:jc w:val="cente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2"/>
          </w:tcPr>
          <w:p>
            <w:pPr>
              <w:spacing w:after="0" w:line="202" w:lineRule="exact"/>
              <w:rPr>
                <w:sz w:val="20"/>
                <w:szCs w:val="20"/>
                <w:color w:val="auto"/>
              </w:rPr>
            </w:pPr>
            <w:r>
              <w:rPr>
                <w:rFonts w:ascii="Arial" w:cs="Arial" w:eastAsia="Arial" w:hAnsi="Arial"/>
                <w:sz w:val="18"/>
                <w:szCs w:val="18"/>
                <w:color w:val="auto"/>
              </w:rPr>
              <w:t>document does not appear in the Interactive Data File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2"/>
          </w:tcPr>
          <w:p>
            <w:pPr>
              <w:spacing w:after="0" w:line="202" w:lineRule="exact"/>
              <w:rPr>
                <w:sz w:val="20"/>
                <w:szCs w:val="20"/>
                <w:color w:val="auto"/>
              </w:rPr>
            </w:pPr>
            <w:r>
              <w:rPr>
                <w:rFonts w:ascii="Arial" w:cs="Arial" w:eastAsia="Arial" w:hAnsi="Arial"/>
                <w:sz w:val="18"/>
                <w:szCs w:val="18"/>
                <w:color w:val="auto"/>
              </w:rPr>
              <w:t>as its XBRL tags are embedded within the inline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080" w:type="dxa"/>
            <w:vAlign w:val="bottom"/>
          </w:tcPr>
          <w:p>
            <w:pPr>
              <w:jc w:val="cente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with</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auto"/>
              </w:rPr>
              <w:t>Embedded Linkbases Document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auto"/>
              </w:rPr>
              <w:t>Cover Page (formatted as inline XBRL and contained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2"/>
          </w:tcPr>
          <w:p>
            <w:pPr>
              <w:spacing w:after="0"/>
              <w:rPr>
                <w:sz w:val="20"/>
                <w:szCs w:val="20"/>
                <w:color w:val="auto"/>
              </w:rPr>
            </w:pPr>
            <w:r>
              <w:rPr>
                <w:rFonts w:ascii="Arial" w:cs="Arial" w:eastAsia="Arial" w:hAnsi="Arial"/>
                <w:sz w:val="18"/>
                <w:szCs w:val="18"/>
                <w:color w:val="auto"/>
              </w:rPr>
              <w:t>in Exhibit 101)</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0" w:firstLine="8"/>
        <w:spacing w:after="0" w:line="247"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 w:lineRule="exact"/>
        <w:rPr>
          <w:sz w:val="20"/>
          <w:szCs w:val="20"/>
          <w:color w:val="auto"/>
        </w:rPr>
      </w:pPr>
    </w:p>
    <w:p>
      <w:pPr>
        <w:ind w:left="5520" w:right="5520" w:hanging="5512"/>
        <w:spacing w:after="0" w:line="403" w:lineRule="auto"/>
        <w:tabs>
          <w:tab w:leader="none" w:pos="19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Indicates management contract, compensatory plan or arrangement.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1" w:name="page52"/>
    <w:bookmarkEnd w:id="51"/>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VIASAT, INC.</w:t>
      </w:r>
    </w:p>
    <w:p>
      <w:pPr>
        <w:spacing w:after="0" w:line="25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August 9, 2024</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17780</wp:posOffset>
            </wp:positionV>
            <wp:extent cx="3488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Mark Dankberg</w:t>
      </w:r>
    </w:p>
    <w:p>
      <w:pPr>
        <w:spacing w:after="0" w:line="3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of the Board and 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17780</wp:posOffset>
            </wp:positionV>
            <wp:extent cx="3488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Shawn Duffy</w:t>
      </w:r>
    </w:p>
    <w:p>
      <w:pPr>
        <w:spacing w:after="0" w:line="3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3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58" w:right="7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VIASAT, INC.</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1996 EQUITY PARTICIPATION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 AWARD AGREEMENT –</w:t>
      </w: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154305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b w:val="1"/>
          <w:bCs w:val="1"/>
          <w:color w:val="auto"/>
        </w:rPr>
        <w:t>Target Number of PSUs:</w:t>
      </w:r>
      <w:r>
        <w:rPr>
          <w:sz w:val="20"/>
          <w:szCs w:val="20"/>
          <w:color w:val="auto"/>
        </w:rPr>
        <w:tab/>
      </w:r>
      <w:r>
        <w:rPr>
          <w:rFonts w:ascii="Times New Roman" w:cs="Times New Roman" w:eastAsia="Times New Roman" w:hAnsi="Times New Roman"/>
          <w:sz w:val="19"/>
          <w:szCs w:val="19"/>
          <w:color w:val="auto"/>
        </w:rPr>
        <w:t>Performance-Based Restricted Stock Units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-8255</wp:posOffset>
            </wp:positionV>
            <wp:extent cx="4025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36" w:lineRule="exact"/>
        <w:rPr>
          <w:sz w:val="20"/>
          <w:szCs w:val="20"/>
          <w:color w:val="auto"/>
        </w:rPr>
      </w:pPr>
    </w:p>
    <w:p>
      <w:pPr>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Maximum Number of PSUs:</w:t>
      </w:r>
      <w:r>
        <w:rPr>
          <w:sz w:val="20"/>
          <w:szCs w:val="20"/>
          <w:color w:val="auto"/>
        </w:rPr>
        <w:tab/>
      </w:r>
      <w:r>
        <w:rPr>
          <w:rFonts w:ascii="Times New Roman" w:cs="Times New Roman" w:eastAsia="Times New Roman" w:hAnsi="Times New Roman"/>
          <w:sz w:val="19"/>
          <w:szCs w:val="19"/>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-8255</wp:posOffset>
            </wp:positionV>
            <wp:extent cx="4470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170815</wp:posOffset>
            </wp:positionV>
            <wp:extent cx="7132320" cy="1482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ACCEPTANCE OF PSU AWARD:</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signing where indicated above, you agree to be bound by the terms and conditions of this Performance-Based Restricted Stock Unit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1996 Equity Participation Plan of Viasat, Inc.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You acknowledge that you have reviewed and fully understand all of the provisions of this Agreement and the Plan, and have had the opportunity to obtain advice of counsel prior to accepting the grant of PSUs pursuant to this Agreement. You hereby agree to accept as binding, conclusive and final all decisions or interpretations of the Compensation and Human Resources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967740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260" w:right="4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PSU AWARD:</w:t>
      </w:r>
    </w:p>
    <w:p>
      <w:pPr>
        <w:spacing w:after="0" w:line="233" w:lineRule="exact"/>
        <w:rPr>
          <w:sz w:val="20"/>
          <w:szCs w:val="20"/>
          <w:color w:val="auto"/>
        </w:rPr>
      </w:pPr>
    </w:p>
    <w:p>
      <w:pPr>
        <w:jc w:val="both"/>
        <w:ind w:firstLine="8"/>
        <w:spacing w:after="0" w:line="242" w:lineRule="auto"/>
        <w:tabs>
          <w:tab w:leader="none" w:pos="509"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Effective on the Grant Date, you have been granted the number of PSUs indicated above providing you the right to receive Common Stock of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accordance with the provisions of this Agreement and the provisions of the Plan.</w:t>
      </w:r>
    </w:p>
    <w:p>
      <w:pPr>
        <w:spacing w:after="0" w:line="199"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Forfeiture Upon Termination</w:t>
      </w:r>
      <w:r>
        <w:rPr>
          <w:rFonts w:ascii="Times New Roman" w:cs="Times New Roman" w:eastAsia="Times New Roman" w:hAnsi="Times New Roman"/>
          <w:sz w:val="20"/>
          <w:szCs w:val="20"/>
          <w:color w:val="auto"/>
        </w:rPr>
        <w:t>. Except as provided in the Vesting Schedule (as defined below), until vested, the PSUs will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cs="Times New Roman" w:eastAsia="Times New Roman" w:hAnsi="Times New Roman"/>
          <w:sz w:val="20"/>
          <w:szCs w:val="20"/>
          <w:b w:val="1"/>
          <w:bCs w:val="1"/>
          <w:i w:val="1"/>
          <w:iCs w:val="1"/>
          <w:color w:val="auto"/>
        </w:rPr>
        <w:t>Termination of Employment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Until vested and issued upon settlement, neither the PSUs nor any right or interest therein is transferable by you except by will or the laws of descent and distribution. Until Common Stock is issued upon settlement of the PSUs, you will not be deemed for any purpose to be, or have rights as, a Company shareholder by virtue of this award. You are not entitled to vote any shares of Common Stock by virtue of this award unless and until such shares of Common Stock have been issued to you upon settlement of the PSUs.</w:t>
      </w:r>
    </w:p>
    <w:p>
      <w:pPr>
        <w:spacing w:after="0" w:line="200"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The PSUs will vest in accordance with the “Vesting Schedule”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firstLine="8"/>
        <w:spacing w:after="0" w:line="242" w:lineRule="auto"/>
        <w:tabs>
          <w:tab w:leader="none" w:pos="509"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Within ten days following the vesting of the PSUs in accordance with the Vesting Schedule, you will be issued shares of Common Stock equal to the number of vested PSUs in settlement of the PSUs (subject to the withholding requirements described in Section 6 below, as applicable).</w:t>
      </w:r>
    </w:p>
    <w:p>
      <w:pPr>
        <w:spacing w:after="0" w:line="199"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jc w:val="both"/>
        <w:ind w:firstLine="757"/>
        <w:spacing w:after="0" w:line="245" w:lineRule="auto"/>
        <w:tabs>
          <w:tab w:leader="none" w:pos="1018" w:val="left"/>
        </w:tabs>
        <w:numPr>
          <w:ilvl w:val="1"/>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PSUs and/or receipt of the shares of Common Stock upon settlement of the PSUs. At any time not less than five business days before any such tax withholding obligation arises, you may satisfy your tax obligation, in whole or in part, by either:</w:t>
      </w:r>
    </w:p>
    <w:p>
      <w:pPr>
        <w:jc w:val="both"/>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electing to have the Company withhold from your salary or other cash compensation payable to you or shares of Common Stock otherwise to be delivered upon settlement of the PSUs with a Fair Market Value equal to the minimum amount of the tax withholding obligation, or (ii) paying the amount of the tax withholding obligation directly to the Company in cash. </w:t>
      </w:r>
      <w:r>
        <w:rPr>
          <w:rFonts w:ascii="Times New Roman" w:cs="Times New Roman" w:eastAsia="Times New Roman" w:hAnsi="Times New Roman"/>
          <w:sz w:val="20"/>
          <w:szCs w:val="20"/>
          <w:b w:val="1"/>
          <w:bCs w:val="1"/>
          <w:color w:val="auto"/>
        </w:rPr>
        <w:t>Unless you choose to satisfy your tax 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 in accordance with subsection (ii) above, your tax withholding obligation will be automatically satisfied in accordance with subsection (i) above. The Committee or the Board will have the right to disapprove an election to pay your tax withholding obligation under subsection (ii) in its sole discretion.</w:t>
      </w:r>
    </w:p>
    <w:p>
      <w:pPr>
        <w:spacing w:after="0" w:line="187" w:lineRule="exact"/>
        <w:rPr>
          <w:rFonts w:ascii="Times New Roman" w:cs="Times New Roman" w:eastAsia="Times New Roman" w:hAnsi="Times New Roman"/>
          <w:sz w:val="20"/>
          <w:szCs w:val="20"/>
          <w:u w:val="single" w:color="auto"/>
          <w:color w:val="auto"/>
        </w:rPr>
      </w:pPr>
    </w:p>
    <w:p>
      <w:pPr>
        <w:jc w:val="both"/>
        <w:ind w:firstLine="757"/>
        <w:spacing w:after="0" w:line="243" w:lineRule="auto"/>
        <w:tabs>
          <w:tab w:leader="none" w:pos="1018" w:val="left"/>
        </w:tabs>
        <w:numPr>
          <w:ilvl w:val="1"/>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In the event your tax withholding obligation will be satisfied under subsection (i) of Section 6(a)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PSUs as the Company determines to be appropriate to generate cash proceeds sufficient to satisfy your tax withholding obligation. Your acceptance of this PSU award constitutes your instruction and authorization to the Company and such brokerage firm to complete the transactions described in the previous sentence, as applicable</w:t>
      </w:r>
      <w:r>
        <w:rPr>
          <w:rFonts w:ascii="Times New Roman" w:cs="Times New Roman" w:eastAsia="Times New Roman" w:hAnsi="Times New Roman"/>
          <w:sz w:val="20"/>
          <w:szCs w:val="20"/>
          <w:color w:val="auto"/>
        </w:rPr>
        <w:t>. Such shares will be sold on the day the tax withholding obligation arises or as soon thereafter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practicable. The shares may be sold as part of a block trade with other participants of the Plan in which all participants receive an average price. You will be responsible for all broker’s fees and other costs 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4" w:name="page55"/>
    <w:bookmarkEnd w:id="54"/>
    <w:p>
      <w:pPr>
        <w:jc w:val="both"/>
        <w:spacing w:after="0" w:line="246" w:lineRule="auto"/>
        <w:rPr>
          <w:sz w:val="20"/>
          <w:szCs w:val="20"/>
          <w:color w:val="auto"/>
        </w:rPr>
      </w:pPr>
      <w:r>
        <w:rPr>
          <w:rFonts w:ascii="Times New Roman" w:cs="Times New Roman" w:eastAsia="Times New Roman" w:hAnsi="Times New Roman"/>
          <w:sz w:val="20"/>
          <w:szCs w:val="20"/>
          <w:color w:val="auto"/>
        </w:rPr>
        <w:t>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p>
    <w:p>
      <w:pPr>
        <w:spacing w:after="0" w:line="185" w:lineRule="exact"/>
        <w:rPr>
          <w:sz w:val="20"/>
          <w:szCs w:val="20"/>
          <w:color w:val="auto"/>
        </w:rPr>
      </w:pPr>
    </w:p>
    <w:p>
      <w:pPr>
        <w:jc w:val="both"/>
        <w:ind w:firstLine="757"/>
        <w:spacing w:after="0" w:line="254" w:lineRule="auto"/>
        <w:tabs>
          <w:tab w:leader="none" w:pos="1018" w:val="left"/>
        </w:tabs>
        <w:numPr>
          <w:ilvl w:val="1"/>
          <w:numId w:val="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Company may refuse to issue any Common Stock in settlement of your PSUs to you until your tax withholding obligations are satisfied. To the maximum extent permitted by law, the Company has the right to retain without notice from shares issuable under the PSUs or from salary payable to you, shares or cash having a value sufficient to satisfy your tax withholding obligation.</w:t>
      </w:r>
    </w:p>
    <w:p>
      <w:pPr>
        <w:spacing w:after="0" w:line="187" w:lineRule="exact"/>
        <w:rPr>
          <w:rFonts w:ascii="Times New Roman" w:cs="Times New Roman" w:eastAsia="Times New Roman" w:hAnsi="Times New Roman"/>
          <w:sz w:val="20"/>
          <w:szCs w:val="20"/>
          <w:u w:val="single" w:color="auto"/>
          <w:color w:val="auto"/>
        </w:rPr>
      </w:pPr>
    </w:p>
    <w:p>
      <w:pPr>
        <w:jc w:val="both"/>
        <w:ind w:firstLine="8"/>
        <w:spacing w:after="0" w:line="242" w:lineRule="auto"/>
        <w:tabs>
          <w:tab w:leader="none" w:pos="509"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No Effect on Employment</w:t>
      </w:r>
      <w:r>
        <w:rPr>
          <w:rFonts w:ascii="Times New Roman" w:cs="Times New Roman" w:eastAsia="Times New Roman" w:hAnsi="Times New Roman"/>
          <w:sz w:val="20"/>
          <w:szCs w:val="20"/>
          <w:color w:val="auto"/>
        </w:rPr>
        <w:t>. Nothing in the Plan or this Agreement will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99" w:lineRule="exact"/>
        <w:rPr>
          <w:rFonts w:ascii="Times New Roman" w:cs="Times New Roman" w:eastAsia="Times New Roman" w:hAnsi="Times New Roman"/>
          <w:sz w:val="22"/>
          <w:szCs w:val="22"/>
          <w:u w:val="single" w:color="auto"/>
          <w:color w:val="auto"/>
        </w:rPr>
      </w:pPr>
    </w:p>
    <w:p>
      <w:pPr>
        <w:jc w:val="both"/>
        <w:ind w:firstLine="8"/>
        <w:spacing w:after="0"/>
        <w:tabs>
          <w:tab w:leader="none" w:pos="509"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PSU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PSUs under the Plan is a one-time benefit and does not create any contractual or other right to receive an award of PSUs or benefits in lieu of PSUs in the future. Future awards of PSUs, if any, will be at the sole discretion of the Company, including, but not limited to, the timing of the award, the number of shares and vesting provisions. By execution of this Agreement, you consent to the provisions of the Plan and this Agreement. Defined terms used herein will have the meaning set forth in the Plan, unless otherwise defined herein.</w:t>
      </w:r>
    </w:p>
    <w:p>
      <w:pPr>
        <w:spacing w:after="0" w:line="203"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will be required in connection with such amendment, termination or revocation.</w:t>
      </w:r>
    </w:p>
    <w:p>
      <w:pPr>
        <w:spacing w:after="0" w:line="200" w:lineRule="exact"/>
        <w:rPr>
          <w:rFonts w:ascii="Times New Roman" w:cs="Times New Roman" w:eastAsia="Times New Roman" w:hAnsi="Times New Roman"/>
          <w:sz w:val="22"/>
          <w:szCs w:val="22"/>
          <w:u w:val="single" w:color="auto"/>
          <w:color w:val="auto"/>
        </w:rPr>
      </w:pPr>
    </w:p>
    <w:p>
      <w:pPr>
        <w:jc w:val="both"/>
        <w:ind w:firstLine="8"/>
        <w:spacing w:after="0"/>
        <w:tabs>
          <w:tab w:leader="none" w:pos="509"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applicable, this Agreement and the PSUs will be interpreted in accordance with Section 409A of the Code and Department of Treasury regulations and other interpretive guidance issued thereunder. This PSU award is not intended to constitute “nonqualified deferred compensation” within the meaning of Section 409A of the Code and the Department of Treasury regulations and other interpretive guidance issued thereunder under the “short-term deferral” exception set forth in Treasury Regulation Section 1.409A-1(b)(4) (and, accordingly, the shares of Common Stock issuable hereunder shall be distributed to you within the time period required under such “short-term deferral” exception). For purposes of Section 409A of the Code (including, without limitation, for purposes of Treasury Regulation Section 1.409A-2(b)(2)(iii)), each payment that you may be eligible to receive under this Agreement will be treated as a separate and distinct payment.</w:t>
      </w:r>
    </w:p>
    <w:p>
      <w:pPr>
        <w:spacing w:after="0" w:line="202"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ind w:right="20" w:firstLine="757"/>
        <w:spacing w:after="0" w:line="269" w:lineRule="auto"/>
        <w:tabs>
          <w:tab w:leader="none" w:pos="1018" w:val="left"/>
        </w:tabs>
        <w:numPr>
          <w:ilvl w:val="1"/>
          <w:numId w:val="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PSU grant and the provisions of this Agreement are governed by, and subject to, the laws of the State of California, without regard to the conflict of law provisions, as provided in the Plan.</w:t>
      </w:r>
    </w:p>
    <w:p>
      <w:pPr>
        <w:spacing w:after="0" w:line="159"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018" w:val="left"/>
        </w:tabs>
        <w:numPr>
          <w:ilvl w:val="1"/>
          <w:numId w:val="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jc w:val="both"/>
        <w:ind w:left="-8" w:firstLine="8"/>
        <w:spacing w:after="0" w:line="241" w:lineRule="auto"/>
        <w:tabs>
          <w:tab w:leader="none" w:pos="501"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rFonts w:ascii="Times New Roman" w:cs="Times New Roman" w:eastAsia="Times New Roman" w:hAnsi="Times New Roman"/>
          <w:sz w:val="22"/>
          <w:szCs w:val="22"/>
          <w:u w:val="single" w:color="auto"/>
          <w:color w:val="auto"/>
        </w:rPr>
      </w:pPr>
    </w:p>
    <w:p>
      <w:pPr>
        <w:ind w:left="-8" w:right="20" w:firstLine="8"/>
        <w:spacing w:after="0" w:line="245" w:lineRule="auto"/>
        <w:tabs>
          <w:tab w:leader="none" w:pos="501"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will nevertheless be binding and enforceable.</w:t>
      </w:r>
    </w:p>
    <w:p>
      <w:pPr>
        <w:spacing w:after="0" w:line="195" w:lineRule="exact"/>
        <w:rPr>
          <w:rFonts w:ascii="Times New Roman" w:cs="Times New Roman" w:eastAsia="Times New Roman" w:hAnsi="Times New Roman"/>
          <w:sz w:val="22"/>
          <w:szCs w:val="22"/>
          <w:u w:val="single" w:color="auto"/>
          <w:color w:val="auto"/>
        </w:rPr>
      </w:pPr>
    </w:p>
    <w:p>
      <w:pPr>
        <w:jc w:val="both"/>
        <w:ind w:left="-8" w:firstLine="8"/>
        <w:spacing w:after="0" w:line="241" w:lineRule="auto"/>
        <w:tabs>
          <w:tab w:leader="none" w:pos="501"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your participation in the Plan, on the PSUs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rFonts w:ascii="Times New Roman" w:cs="Times New Roman" w:eastAsia="Times New Roman" w:hAnsi="Times New Roman"/>
          <w:sz w:val="22"/>
          <w:szCs w:val="22"/>
          <w:u w:val="single" w:color="auto"/>
          <w:color w:val="auto"/>
        </w:rPr>
      </w:pPr>
    </w:p>
    <w:p>
      <w:pPr>
        <w:ind w:left="-8" w:right="20" w:firstLine="8"/>
        <w:spacing w:after="0" w:line="245" w:lineRule="auto"/>
        <w:tabs>
          <w:tab w:leader="none" w:pos="501" w:val="left"/>
        </w:tabs>
        <w:numPr>
          <w:ilvl w:val="0"/>
          <w:numId w:val="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You acknowledge that a waiver by the Company of breach of any provision of this Agreement will not operate or be construed as a waiver of any other provision of this Agreement, or of any subsequent breach by you or any other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64" w:right="33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EXHIBIT A: VESTING SCHEDULE OF PSU AWARD</w:t>
      </w:r>
    </w:p>
    <w:p>
      <w:pPr>
        <w:spacing w:after="0" w:line="215" w:lineRule="exact"/>
        <w:rPr>
          <w:sz w:val="20"/>
          <w:szCs w:val="20"/>
          <w:color w:val="auto"/>
        </w:rPr>
      </w:pPr>
    </w:p>
    <w:p>
      <w:pPr>
        <w:ind w:right="20" w:firstLine="749"/>
        <w:spacing w:after="0" w:line="275" w:lineRule="auto"/>
        <w:rPr>
          <w:sz w:val="20"/>
          <w:szCs w:val="20"/>
          <w:color w:val="auto"/>
        </w:rPr>
      </w:pPr>
      <w:r>
        <w:rPr>
          <w:rFonts w:ascii="Times New Roman" w:cs="Times New Roman" w:eastAsia="Times New Roman" w:hAnsi="Times New Roman"/>
          <w:sz w:val="20"/>
          <w:szCs w:val="20"/>
          <w:color w:val="auto"/>
        </w:rPr>
        <w:t xml:space="preserve">Capitalized terms used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not defined in Section 4 below </w:t>
      </w:r>
      <w:r>
        <w:rPr>
          <w:rFonts w:ascii="Times New Roman" w:cs="Times New Roman" w:eastAsia="Times New Roman" w:hAnsi="Times New Roman"/>
          <w:sz w:val="21"/>
          <w:szCs w:val="21"/>
          <w:color w:val="auto"/>
        </w:rPr>
        <w:t>will</w:t>
      </w:r>
      <w:r>
        <w:rPr>
          <w:rFonts w:ascii="Times New Roman" w:cs="Times New Roman" w:eastAsia="Times New Roman" w:hAnsi="Times New Roman"/>
          <w:sz w:val="20"/>
          <w:szCs w:val="20"/>
          <w:color w:val="auto"/>
        </w:rPr>
        <w:t xml:space="preserve"> have the meanings given them in the Agreement to which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attached.</w:t>
      </w:r>
    </w:p>
    <w:p>
      <w:pPr>
        <w:spacing w:after="0" w:line="149" w:lineRule="exact"/>
        <w:rPr>
          <w:sz w:val="20"/>
          <w:szCs w:val="20"/>
          <w:color w:val="auto"/>
        </w:rPr>
      </w:pPr>
    </w:p>
    <w:p>
      <w:pPr>
        <w:jc w:val="both"/>
        <w:ind w:firstLine="757"/>
        <w:spacing w:after="0" w:line="250" w:lineRule="auto"/>
        <w:tabs>
          <w:tab w:leader="none" w:pos="1018" w:val="left"/>
        </w:tabs>
        <w:numPr>
          <w:ilvl w:val="0"/>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Performance Vesting</w:t>
      </w:r>
      <w:r>
        <w:rPr>
          <w:rFonts w:ascii="Times New Roman" w:cs="Times New Roman" w:eastAsia="Times New Roman" w:hAnsi="Times New Roman"/>
          <w:sz w:val="20"/>
          <w:szCs w:val="20"/>
          <w:color w:val="auto"/>
        </w:rPr>
        <w:t>. Subject to Section 2 below, such number of PSUs will be considered “</w:t>
      </w:r>
      <w:r>
        <w:rPr>
          <w:rFonts w:ascii="Times New Roman" w:cs="Times New Roman" w:eastAsia="Times New Roman" w:hAnsi="Times New Roman"/>
          <w:sz w:val="20"/>
          <w:szCs w:val="20"/>
          <w:b w:val="1"/>
          <w:bCs w:val="1"/>
          <w:i w:val="1"/>
          <w:iCs w:val="1"/>
          <w:color w:val="auto"/>
        </w:rPr>
        <w:t>Vesting Eligible PSUs</w:t>
      </w:r>
      <w:r>
        <w:rPr>
          <w:rFonts w:ascii="Times New Roman" w:cs="Times New Roman" w:eastAsia="Times New Roman" w:hAnsi="Times New Roman"/>
          <w:sz w:val="20"/>
          <w:szCs w:val="20"/>
          <w:color w:val="auto"/>
        </w:rPr>
        <w:t>” based on the Company’s CapEx, Free Cash Flow and Revenue performance for the Performance Period as determined under Section 1(a) below. Subject to Section 2 below, the Vesting Eligible PSUs will be eligible to vest as provided in Section 1(b), subject to your continued employment or service with the Company or a Subsidiary through the applicable “</w:t>
      </w:r>
      <w:r>
        <w:rPr>
          <w:rFonts w:ascii="Times New Roman" w:cs="Times New Roman" w:eastAsia="Times New Roman" w:hAnsi="Times New Roman"/>
          <w:sz w:val="20"/>
          <w:szCs w:val="20"/>
          <w:b w:val="1"/>
          <w:bCs w:val="1"/>
          <w:i w:val="1"/>
          <w:iCs w:val="1"/>
          <w:color w:val="auto"/>
        </w:rPr>
        <w:t>Vesting Date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Determination of Vesting Eligible Shares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2254"/>
        <w:spacing w:after="0" w:line="254" w:lineRule="auto"/>
        <w:tabs>
          <w:tab w:leader="none" w:pos="2546" w:val="left"/>
        </w:tabs>
        <w:numPr>
          <w:ilvl w:val="2"/>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Measurement Date Occurs On March 31, [insert grant year + 1]</w:t>
      </w:r>
      <w:r>
        <w:rPr>
          <w:rFonts w:ascii="Times New Roman" w:cs="Times New Roman" w:eastAsia="Times New Roman" w:hAnsi="Times New Roman"/>
          <w:sz w:val="20"/>
          <w:szCs w:val="20"/>
          <w:color w:val="auto"/>
        </w:rPr>
        <w:t>. In the event the Measurement Date is March 31, [insert grant year + 1], such number of PSUs will become “</w:t>
      </w:r>
      <w:r>
        <w:rPr>
          <w:rFonts w:ascii="Times New Roman" w:cs="Times New Roman" w:eastAsia="Times New Roman" w:hAnsi="Times New Roman"/>
          <w:sz w:val="20"/>
          <w:szCs w:val="20"/>
          <w:b w:val="1"/>
          <w:bCs w:val="1"/>
          <w:i w:val="1"/>
          <w:iCs w:val="1"/>
          <w:color w:val="auto"/>
        </w:rPr>
        <w:t>Vesting Eligible PSUs</w:t>
      </w:r>
      <w:r>
        <w:rPr>
          <w:rFonts w:ascii="Times New Roman" w:cs="Times New Roman" w:eastAsia="Times New Roman" w:hAnsi="Times New Roman"/>
          <w:sz w:val="20"/>
          <w:szCs w:val="20"/>
          <w:color w:val="auto"/>
        </w:rPr>
        <w:t>” on the Certification Date as is equal to the sum of the following:</w:t>
      </w:r>
    </w:p>
    <w:p>
      <w:pPr>
        <w:spacing w:after="0" w:line="174" w:lineRule="exact"/>
        <w:rPr>
          <w:rFonts w:ascii="Times New Roman" w:cs="Times New Roman" w:eastAsia="Times New Roman" w:hAnsi="Times New Roman"/>
          <w:sz w:val="20"/>
          <w:szCs w:val="20"/>
          <w:u w:val="single" w:color="auto"/>
          <w:color w:val="auto"/>
        </w:rPr>
      </w:pPr>
    </w:p>
    <w:p>
      <w:pPr>
        <w:jc w:val="both"/>
        <w:ind w:firstLine="3003"/>
        <w:spacing w:after="0" w:line="254" w:lineRule="auto"/>
        <w:tabs>
          <w:tab w:leader="none" w:pos="3564" w:val="left"/>
        </w:tabs>
        <w:numPr>
          <w:ilvl w:val="3"/>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PSUs determined by multiplying (i) the “Target Number of PSUs” subject to this Agreement, by (ii) thirty-three and one-third percent (33 1/3%), by (iii) the CapEx Performance Multiplier determined as of the Measurement Date (rounded to the nearest whole share); plus</w:t>
      </w:r>
    </w:p>
    <w:p>
      <w:pPr>
        <w:spacing w:after="0" w:line="174" w:lineRule="exact"/>
        <w:rPr>
          <w:rFonts w:ascii="Times New Roman" w:cs="Times New Roman" w:eastAsia="Times New Roman" w:hAnsi="Times New Roman"/>
          <w:sz w:val="20"/>
          <w:szCs w:val="20"/>
          <w:color w:val="auto"/>
        </w:rPr>
      </w:pPr>
    </w:p>
    <w:p>
      <w:pPr>
        <w:jc w:val="both"/>
        <w:ind w:firstLine="3003"/>
        <w:spacing w:after="0" w:line="254" w:lineRule="auto"/>
        <w:tabs>
          <w:tab w:leader="none" w:pos="3564" w:val="left"/>
        </w:tabs>
        <w:numPr>
          <w:ilvl w:val="3"/>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PSUs determined by multiplying (i) the “Target Number of PSUs” subject to this Agreement, by (ii) thirty-three and one-third percent (33 1/3%), by (iii) the Free Cash Flow Performance Multiplier determined as of the Measurement Date (rounded to the nearest whole share); plus</w:t>
      </w:r>
    </w:p>
    <w:p>
      <w:pPr>
        <w:spacing w:after="0" w:line="174" w:lineRule="exact"/>
        <w:rPr>
          <w:rFonts w:ascii="Times New Roman" w:cs="Times New Roman" w:eastAsia="Times New Roman" w:hAnsi="Times New Roman"/>
          <w:sz w:val="20"/>
          <w:szCs w:val="20"/>
          <w:color w:val="auto"/>
        </w:rPr>
      </w:pPr>
    </w:p>
    <w:p>
      <w:pPr>
        <w:jc w:val="both"/>
        <w:ind w:firstLine="3003"/>
        <w:spacing w:after="0" w:line="254" w:lineRule="auto"/>
        <w:tabs>
          <w:tab w:leader="none" w:pos="3674" w:val="left"/>
        </w:tabs>
        <w:numPr>
          <w:ilvl w:val="3"/>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PSUs determined by multiplying (i) the “Target Number of PSUs” subject to this Agreement, by (ii) thirty-three and one-third percent (33 1/3%), by (iii) the Revenue Performance Multiplier determined as of the Measurement Date (rounded to the nearest whole share).</w:t>
      </w:r>
    </w:p>
    <w:p>
      <w:pPr>
        <w:spacing w:after="0" w:line="174"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46" w:val="left"/>
        </w:tabs>
        <w:numPr>
          <w:ilvl w:val="2"/>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Measurement Date Occurs As a Result of Change in Control</w:t>
      </w:r>
      <w:r>
        <w:rPr>
          <w:rFonts w:ascii="Times New Roman" w:cs="Times New Roman" w:eastAsia="Times New Roman" w:hAnsi="Times New Roman"/>
          <w:sz w:val="20"/>
          <w:szCs w:val="20"/>
          <w:color w:val="auto"/>
        </w:rPr>
        <w:t>. Notwithstanding Section 1(a)(i) above, in the event of a Change in Control prior to March 31, [insert grant year + 1], such number of PSUs will become “</w:t>
      </w:r>
      <w:r>
        <w:rPr>
          <w:rFonts w:ascii="Times New Roman" w:cs="Times New Roman" w:eastAsia="Times New Roman" w:hAnsi="Times New Roman"/>
          <w:sz w:val="20"/>
          <w:szCs w:val="20"/>
          <w:b w:val="1"/>
          <w:bCs w:val="1"/>
          <w:i w:val="1"/>
          <w:iCs w:val="1"/>
          <w:color w:val="auto"/>
        </w:rPr>
        <w:t>Vesting Eligible PSUs</w:t>
      </w:r>
      <w:r>
        <w:rPr>
          <w:rFonts w:ascii="Times New Roman" w:cs="Times New Roman" w:eastAsia="Times New Roman" w:hAnsi="Times New Roman"/>
          <w:sz w:val="20"/>
          <w:szCs w:val="20"/>
          <w:color w:val="auto"/>
        </w:rPr>
        <w:t>” on the date of such Change in Control as is equal to (A) the “Target Number of PSUs” subject to this Agreement, multiplied by (B) the greater of (1) one hundred percent (100%) or (2) the number of Vesting Eligible PSUs determined as of the date of the Change in Control in accordance with Section 1(a)(i) above as of the Measurement Date based on the Company’s CapEx, Free Cash Flow and Revenue performance for the Performance Period through the date of such Change in Control (with the performance goals for each of CapEx, Free Cash Flow and Revenue prorated to reflect the portion of the Performance Period that has elapsed prior to the date of such Change in Control and achievement measured against such prorated goals), as determined by the Committee and certified prior to such Change in Control. Subject to Section 2 below, the “</w:t>
      </w:r>
      <w:r>
        <w:rPr>
          <w:rFonts w:ascii="Times New Roman" w:cs="Times New Roman" w:eastAsia="Times New Roman" w:hAnsi="Times New Roman"/>
          <w:sz w:val="20"/>
          <w:szCs w:val="20"/>
          <w:b w:val="1"/>
          <w:bCs w:val="1"/>
          <w:i w:val="1"/>
          <w:iCs w:val="1"/>
          <w:color w:val="auto"/>
        </w:rPr>
        <w:t>Vesting Eligible PSUs</w:t>
      </w:r>
      <w:r>
        <w:rPr>
          <w:rFonts w:ascii="Times New Roman" w:cs="Times New Roman" w:eastAsia="Times New Roman" w:hAnsi="Times New Roman"/>
          <w:sz w:val="20"/>
          <w:szCs w:val="20"/>
          <w:color w:val="auto"/>
        </w:rPr>
        <w:t>” will remain eligible to vest following such Change in Control in three substantially equal installments on the Vesting Dates pursuant to Section 1(b), subject to your continued employment or service with the Company or a Subsidiary (or any successor thereof) through each such date.</w:t>
      </w:r>
    </w:p>
    <w:p>
      <w:pPr>
        <w:spacing w:after="0" w:line="189" w:lineRule="exact"/>
        <w:rPr>
          <w:rFonts w:ascii="Times New Roman" w:cs="Times New Roman" w:eastAsia="Times New Roman" w:hAnsi="Times New Roman"/>
          <w:sz w:val="20"/>
          <w:szCs w:val="20"/>
          <w:u w:val="single" w:color="auto"/>
          <w:color w:val="auto"/>
        </w:rPr>
      </w:pPr>
    </w:p>
    <w:p>
      <w:pPr>
        <w:jc w:val="both"/>
        <w:ind w:right="20" w:firstLine="1505"/>
        <w:spacing w:after="0" w:line="254" w:lineRule="auto"/>
        <w:tabs>
          <w:tab w:leader="none" w:pos="2036" w:val="left"/>
        </w:tabs>
        <w:numPr>
          <w:ilvl w:val="1"/>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Time-Vesting</w:t>
      </w:r>
      <w:r>
        <w:rPr>
          <w:rFonts w:ascii="Times New Roman" w:cs="Times New Roman" w:eastAsia="Times New Roman" w:hAnsi="Times New Roman"/>
          <w:sz w:val="20"/>
          <w:szCs w:val="20"/>
          <w:color w:val="auto"/>
        </w:rPr>
        <w:t>. The Vesting Eligible PSUs determined under Section 1(a) will vest in three substantially equal installments on each of the first three anniversaries of the Grant Date (each a “</w:t>
      </w:r>
      <w:r>
        <w:rPr>
          <w:rFonts w:ascii="Times New Roman" w:cs="Times New Roman" w:eastAsia="Times New Roman" w:hAnsi="Times New Roman"/>
          <w:sz w:val="20"/>
          <w:szCs w:val="20"/>
          <w:b w:val="1"/>
          <w:bCs w:val="1"/>
          <w:i w:val="1"/>
          <w:iCs w:val="1"/>
          <w:color w:val="auto"/>
        </w:rPr>
        <w:t>Vesting Date</w:t>
      </w:r>
      <w:r>
        <w:rPr>
          <w:rFonts w:ascii="Times New Roman" w:cs="Times New Roman" w:eastAsia="Times New Roman" w:hAnsi="Times New Roman"/>
          <w:sz w:val="20"/>
          <w:szCs w:val="20"/>
          <w:color w:val="auto"/>
        </w:rPr>
        <w:t>”), subject to your continued employment or service with the Company or a Subsidiary through each such date.</w:t>
      </w:r>
    </w:p>
    <w:p>
      <w:pPr>
        <w:spacing w:after="0" w:line="174"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Termination of Employment</w:t>
      </w:r>
      <w:r>
        <w:rPr>
          <w:rFonts w:ascii="Times New Roman" w:cs="Times New Roman" w:eastAsia="Times New Roman" w:hAnsi="Times New Roman"/>
          <w:sz w:val="20"/>
          <w:szCs w:val="20"/>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7" w:name="page58"/>
    <w:bookmarkEnd w:id="57"/>
    <w:p>
      <w:pPr>
        <w:spacing w:after="0" w:line="41" w:lineRule="exact"/>
        <w:rPr>
          <w:sz w:val="20"/>
          <w:szCs w:val="20"/>
          <w:color w:val="auto"/>
        </w:rPr>
      </w:pPr>
    </w:p>
    <w:p>
      <w:pPr>
        <w:ind w:left="2040" w:hanging="535"/>
        <w:spacing w:after="0"/>
        <w:tabs>
          <w:tab w:leader="none" w:pos="2040" w:val="left"/>
        </w:tabs>
        <w:numPr>
          <w:ilvl w:val="0"/>
          <w:numId w:val="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Termination Due to Death or Permanent Disability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2254"/>
        <w:spacing w:after="0" w:line="254" w:lineRule="auto"/>
        <w:tabs>
          <w:tab w:leader="none" w:pos="2546"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your Termination of Employment as a result of your death or Permanent Disability prior to March 31, [insert grant year + 1] and prior to a Change in Control, you will remain eligible to vest in the Vesting Eligible PSUs (as determined pursuant to Section 1) on the Certification Date.</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546"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your Termination of Employment as a result of your death or Permanent Disability on or after the Measurement Date but prior to the final Vesting Date, you will vest in the remaining unvested Vesting Eligible PSUs on the date of your Termination of Employment (or, if later, the Certification Date).</w:t>
      </w:r>
    </w:p>
    <w:p>
      <w:pPr>
        <w:spacing w:after="0" w:line="174" w:lineRule="exact"/>
        <w:rPr>
          <w:rFonts w:ascii="Times New Roman" w:cs="Times New Roman" w:eastAsia="Times New Roman" w:hAnsi="Times New Roman"/>
          <w:sz w:val="20"/>
          <w:szCs w:val="20"/>
          <w:color w:val="auto"/>
        </w:rPr>
      </w:pPr>
    </w:p>
    <w:p>
      <w:pPr>
        <w:ind w:left="2040" w:hanging="445"/>
        <w:spacing w:after="0"/>
        <w:tabs>
          <w:tab w:leader="none" w:pos="2040" w:val="left"/>
        </w:tabs>
        <w:numPr>
          <w:ilvl w:val="1"/>
          <w:numId w:val="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Other Terminations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2254"/>
        <w:spacing w:after="0" w:line="244" w:lineRule="auto"/>
        <w:tabs>
          <w:tab w:leader="none" w:pos="2546" w:val="left"/>
        </w:tabs>
        <w:numPr>
          <w:ilvl w:val="2"/>
          <w:numId w:val="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the event of your Termination of Employment for any reason other than your death or Permanent Disability prior to March 31, [insert grant year + 1] and prior to a Change in Control, any unvested PSUs will be forfeited;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PSUs will be subject to any time-based accelerated vesting as may be provided in any employment or severance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between you and the Company, and in the event any such time-based accelerated vesting applies, you will remain eligible to vest on the Certification Date in such portion of the Vesting Eligible PSUs (as determined pursuant to Section 1) as would have otherwise vested on the Vesting Date(s) under Section 1(b) during any time period covered by such time-based accelerated vesting had you remained in continuous employment or service during such time period.</w:t>
      </w:r>
    </w:p>
    <w:p>
      <w:pPr>
        <w:spacing w:after="0" w:line="185" w:lineRule="exact"/>
        <w:rPr>
          <w:rFonts w:ascii="Times New Roman" w:cs="Times New Roman" w:eastAsia="Times New Roman" w:hAnsi="Times New Roman"/>
          <w:sz w:val="20"/>
          <w:szCs w:val="20"/>
          <w:u w:val="single" w:color="auto"/>
          <w:color w:val="auto"/>
        </w:rPr>
      </w:pPr>
    </w:p>
    <w:p>
      <w:pPr>
        <w:jc w:val="both"/>
        <w:ind w:firstLine="2254"/>
        <w:spacing w:after="0" w:line="246" w:lineRule="auto"/>
        <w:tabs>
          <w:tab w:leader="none" w:pos="2546" w:val="left"/>
        </w:tabs>
        <w:numPr>
          <w:ilvl w:val="2"/>
          <w:numId w:val="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the event of your Termination of Employment for any reason other than your death or Permanent Disability on or after the Measurement Date but prior to the final Vesting Date, any unvested PSUs will be forfeited;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Vesting Eligible PSUs will be subject to any time-based accelerated vesting as may be provided in any employment or severance agreement between you and the Company (and any such unvested Vesting Eligible PSUs that vest on an accelerated basis will vest on the date of your Termination of Employment (or, if later, the Certification Date)).</w:t>
      </w:r>
    </w:p>
    <w:p>
      <w:pPr>
        <w:spacing w:after="0" w:line="185"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Notwithstanding the foregoing, to the extent any such agreement between you and the Company provides for accelerated vesting upon your termination without “cause” or resignation for “good reason” (each as defined in any such agreement), such accelerated vesting will only apply to the extent (i) your termination without “cause” occurs on or after the Grant Date, or (ii) the circumstances giving rise to “good reason” first occur on or after the Grant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will only apply to the extent a “change in control” occurs on or after the Grant Date and will not apply to any “change in control” that occurred prior to the Grant Date (including, without limitation, the consummation of the transactions contemplated by that certain Share Purchase Agreement relating to Connect Topco Limited, between the Investor Sellers, the Management Sellers, the Optionholder Sellers, and the Company, dated November 8, 2021). Any employment, services, severance, change in control or other compensation agreement between you and the Company is hereby amended to be consistent with the foregoing.</w:t>
      </w:r>
    </w:p>
    <w:p>
      <w:pPr>
        <w:spacing w:after="0" w:line="190" w:lineRule="exact"/>
        <w:rPr>
          <w:sz w:val="20"/>
          <w:szCs w:val="20"/>
          <w:color w:val="auto"/>
        </w:rPr>
      </w:pPr>
    </w:p>
    <w:p>
      <w:pPr>
        <w:jc w:val="both"/>
        <w:ind w:firstLine="757"/>
        <w:spacing w:after="0" w:line="246" w:lineRule="auto"/>
        <w:tabs>
          <w:tab w:leader="none" w:pos="1018" w:val="left"/>
        </w:tabs>
        <w:numPr>
          <w:ilvl w:val="0"/>
          <w:numId w:val="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Subject to Section 2 above, any portion of this PSU award that does not vest (or remain eligible to vest) as a result of your Termination of Employment or as a result of less than the “Maximum Number of PSUs” subject to this award becoming Vesting Eligible PSUs on the Certification Date will automatically and without further action be cancelled and forfeited by you on the date of your Termination of Employment or the Certification Date, as applicable, and you will have no further right or interest in or with respect to such portion of this PSU award. In no event will more than the “Maximum</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 xml:space="preserve">Number of PSUs” subject to this award vest and become exercisable pursuant to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800" w:hanging="396"/>
        <w:spacing w:after="0"/>
        <w:tabs>
          <w:tab w:leader="none" w:pos="8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following terms will have the meanings given below:</w:t>
      </w:r>
    </w:p>
    <w:p>
      <w:pPr>
        <w:spacing w:after="0" w:line="211"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CapEx</w:t>
      </w:r>
      <w:r>
        <w:rPr>
          <w:rFonts w:ascii="Times New Roman" w:cs="Times New Roman" w:eastAsia="Times New Roman" w:hAnsi="Times New Roman"/>
          <w:sz w:val="20"/>
          <w:szCs w:val="20"/>
          <w:color w:val="auto"/>
        </w:rPr>
        <w:t xml:space="preserve"> is defined as capital expenditure as reported in the Company’s year-end financial statements, excluding material effect of currency fluctuations, including the effect of acquisitions and divestitures, other material non-recurring events, or material changes in GAAP.</w:t>
      </w:r>
    </w:p>
    <w:p>
      <w:pPr>
        <w:spacing w:after="0" w:line="182"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CapEx Performance Multiplier</w:t>
      </w:r>
      <w:r>
        <w:rPr>
          <w:rFonts w:ascii="Times New Roman" w:cs="Times New Roman" w:eastAsia="Times New Roman" w:hAnsi="Times New Roman"/>
          <w:sz w:val="20"/>
          <w:szCs w:val="20"/>
          <w:color w:val="auto"/>
        </w:rPr>
        <w:t>” means, for the Performance Period, the performance multiplier determined pursuant to the chart below based on the Company’s CapEx for the Performance Period. If the Company achieves CapEx that falls between the foregoing levels, the CapEx Performance Multiplier will be determined by linear interpolation between the applicable levels.</w:t>
      </w:r>
    </w:p>
    <w:p>
      <w:pPr>
        <w:spacing w:after="0" w:line="186" w:lineRule="exact"/>
        <w:rPr>
          <w:sz w:val="20"/>
          <w:szCs w:val="20"/>
          <w:color w:val="auto"/>
        </w:rPr>
      </w:pPr>
    </w:p>
    <w:tbl>
      <w:tblPr>
        <w:tblLayout w:type="fixed"/>
        <w:tblInd w:w="210" w:type="dxa"/>
        <w:tblCellMar>
          <w:top w:w="0" w:type="dxa"/>
          <w:left w:w="0" w:type="dxa"/>
          <w:bottom w:w="0" w:type="dxa"/>
          <w:right w:w="0" w:type="dxa"/>
        </w:tblCellMar>
      </w:tblPr>
      <w:tr>
        <w:trPr>
          <w:trHeight w:val="495"/>
        </w:trPr>
        <w:tc>
          <w:tcPr>
            <w:tcW w:w="6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CapEx for the Performance Period (millions)</w:t>
            </w:r>
          </w:p>
        </w:tc>
        <w:tc>
          <w:tcPr>
            <w:tcW w:w="4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CapEx Performance Multiplier</w:t>
            </w:r>
          </w:p>
        </w:tc>
      </w:tr>
      <w:tr>
        <w:trPr>
          <w:trHeight w:val="254"/>
        </w:trPr>
        <w:tc>
          <w:tcPr>
            <w:tcW w:w="6620" w:type="dxa"/>
            <w:vAlign w:val="bottom"/>
            <w:tcBorders>
              <w:left w:val="single" w:sz="8" w:color="auto"/>
              <w:bottom w:val="single" w:sz="8" w:color="auto"/>
              <w:right w:val="single" w:sz="8" w:color="auto"/>
            </w:tcBorders>
          </w:tcPr>
          <w:p>
            <w:pPr>
              <w:spacing w:after="0"/>
              <w:rPr>
                <w:sz w:val="22"/>
                <w:szCs w:val="22"/>
                <w:color w:val="auto"/>
              </w:rPr>
            </w:pPr>
          </w:p>
        </w:tc>
        <w:tc>
          <w:tcPr>
            <w:tcW w:w="4300" w:type="dxa"/>
            <w:vAlign w:val="bottom"/>
            <w:tcBorders>
              <w:bottom w:val="single" w:sz="8" w:color="auto"/>
              <w:right w:val="single" w:sz="8" w:color="auto"/>
            </w:tcBorders>
          </w:tcPr>
          <w:p>
            <w:pPr>
              <w:spacing w:after="0"/>
              <w:rPr>
                <w:sz w:val="22"/>
                <w:szCs w:val="22"/>
                <w:color w:val="auto"/>
              </w:rPr>
            </w:pPr>
          </w:p>
        </w:tc>
      </w:tr>
      <w:tr>
        <w:trPr>
          <w:trHeight w:val="233"/>
        </w:trPr>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At or below $[____]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r>
      <w:tr>
        <w:trPr>
          <w:trHeight w:val="250"/>
        </w:trPr>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6620" w:type="dxa"/>
            <w:vAlign w:val="bottom"/>
            <w:tcBorders>
              <w:bottom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20"/>
                <w:szCs w:val="20"/>
                <w:color w:val="auto"/>
              </w:rPr>
              <w:t>At or above $[____]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189" w:lineRule="exact"/>
        <w:rPr>
          <w:sz w:val="20"/>
          <w:szCs w:val="20"/>
          <w:color w:val="auto"/>
        </w:rPr>
      </w:pPr>
    </w:p>
    <w:p>
      <w:pPr>
        <w:jc w:val="both"/>
        <w:ind w:firstLine="1505"/>
        <w:spacing w:after="0" w:line="250" w:lineRule="auto"/>
        <w:tabs>
          <w:tab w:leader="none" w:pos="203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Certification Date</w:t>
      </w:r>
      <w:r>
        <w:rPr>
          <w:rFonts w:ascii="Times New Roman" w:cs="Times New Roman" w:eastAsia="Times New Roman" w:hAnsi="Times New Roman"/>
          <w:sz w:val="20"/>
          <w:szCs w:val="20"/>
          <w:color w:val="auto"/>
        </w:rPr>
        <w:t xml:space="preserve">” means the date on which the Committee certifies the CapEx Performance Multiplier, the Revenue Performance Multiplier and the Free Cash Flow Multiplier for the Performance Period, which certification will occur within sixty days following the Measurement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event the Measurement Date is the date of a Change in Control, the Certification Date will be the date of such Change in Control.</w:t>
      </w:r>
    </w:p>
    <w:p>
      <w:pPr>
        <w:spacing w:after="0" w:line="17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 occurring on or after the Grant Date:</w:t>
      </w:r>
    </w:p>
    <w:p>
      <w:pPr>
        <w:spacing w:after="0" w:line="219" w:lineRule="exact"/>
        <w:rPr>
          <w:rFonts w:ascii="Times New Roman" w:cs="Times New Roman" w:eastAsia="Times New Roman" w:hAnsi="Times New Roman"/>
          <w:sz w:val="20"/>
          <w:szCs w:val="20"/>
          <w:color w:val="auto"/>
        </w:rPr>
      </w:pPr>
    </w:p>
    <w:p>
      <w:pPr>
        <w:jc w:val="both"/>
        <w:ind w:firstLine="2254"/>
        <w:spacing w:after="0" w:line="244" w:lineRule="auto"/>
        <w:tabs>
          <w:tab w:leader="none" w:pos="264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p>
    <w:p>
      <w:pPr>
        <w:spacing w:after="0" w:line="181" w:lineRule="exact"/>
        <w:rPr>
          <w:rFonts w:ascii="Times New Roman" w:cs="Times New Roman" w:eastAsia="Times New Roman" w:hAnsi="Times New Roman"/>
          <w:sz w:val="20"/>
          <w:szCs w:val="20"/>
          <w:color w:val="auto"/>
        </w:rPr>
      </w:pPr>
    </w:p>
    <w:p>
      <w:pPr>
        <w:jc w:val="both"/>
        <w:ind w:firstLine="2254"/>
        <w:spacing w:after="0" w:line="244" w:lineRule="auto"/>
        <w:tabs>
          <w:tab w:leader="none" w:pos="264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individuals who, as of the Grant Date are members of the Board (the “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xml:space="preserve">”), cease for any reason to constitute at least two-thirds of the members of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cs="Times New Roman" w:eastAsia="Times New Roman" w:hAnsi="Times New Roman"/>
          <w:sz w:val="20"/>
          <w:szCs w:val="20"/>
          <w:b w:val="1"/>
          <w:bCs w:val="1"/>
          <w:i w:val="1"/>
          <w:iCs w:val="1"/>
          <w:color w:val="auto"/>
        </w:rPr>
        <w:t>Proxy Contest</w:t>
      </w:r>
      <w:r>
        <w:rPr>
          <w:rFonts w:ascii="Times New Roman" w:cs="Times New Roman" w:eastAsia="Times New Roman" w:hAnsi="Times New Roman"/>
          <w:sz w:val="20"/>
          <w:szCs w:val="20"/>
          <w:color w:val="auto"/>
        </w:rPr>
        <w:t>”) including by reason of any agreement intended to avoid or settle any Election Contest or Proxy Contest; or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ind w:right="60" w:firstLine="2254"/>
        <w:spacing w:after="0" w:line="249" w:lineRule="auto"/>
        <w:tabs>
          <w:tab w:leader="none" w:pos="264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9" w:lineRule="exact"/>
        <w:rPr>
          <w:rFonts w:ascii="Times New Roman" w:cs="Times New Roman" w:eastAsia="Times New Roman" w:hAnsi="Times New Roman"/>
          <w:sz w:val="20"/>
          <w:szCs w:val="20"/>
          <w:color w:val="auto"/>
        </w:rPr>
      </w:pPr>
    </w:p>
    <w:p>
      <w:pPr>
        <w:jc w:val="both"/>
        <w:ind w:firstLine="2297"/>
        <w:spacing w:after="0" w:line="246" w:lineRule="auto"/>
        <w:tabs>
          <w:tab w:leader="none" w:pos="308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84" w:lineRule="exact"/>
        <w:rPr>
          <w:rFonts w:ascii="Times New Roman" w:cs="Times New Roman" w:eastAsia="Times New Roman" w:hAnsi="Times New Roman"/>
          <w:sz w:val="20"/>
          <w:szCs w:val="20"/>
          <w:color w:val="auto"/>
        </w:rPr>
      </w:pPr>
    </w:p>
    <w:p>
      <w:pPr>
        <w:ind w:right="60" w:firstLine="2297"/>
        <w:spacing w:after="0" w:line="249" w:lineRule="auto"/>
        <w:tabs>
          <w:tab w:leader="none" w:pos="268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forty percent (40%) or more of the combined voting power of the Successor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person or group shall be treated for purposes of this Section 4(c)(iii)(B) as beneficially owning 40% or more of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ind w:right="60" w:firstLine="1187"/>
        <w:spacing w:after="0" w:line="254" w:lineRule="auto"/>
        <w:rPr>
          <w:sz w:val="20"/>
          <w:szCs w:val="20"/>
          <w:color w:val="auto"/>
        </w:rPr>
      </w:pPr>
      <w:r>
        <w:rPr>
          <w:rFonts w:ascii="Times New Roman" w:cs="Times New Roman" w:eastAsia="Times New Roman" w:hAnsi="Times New Roman"/>
          <w:sz w:val="20"/>
          <w:szCs w:val="20"/>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0" w:lineRule="exact"/>
        <w:rPr>
          <w:sz w:val="20"/>
          <w:szCs w:val="20"/>
          <w:color w:val="auto"/>
        </w:rPr>
      </w:pPr>
    </w:p>
    <w:p>
      <w:pPr>
        <w:jc w:val="both"/>
        <w:ind w:right="60" w:firstLine="1505"/>
        <w:spacing w:after="0" w:line="250" w:lineRule="auto"/>
        <w:tabs>
          <w:tab w:leader="none" w:pos="20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Free Cash Flow</w:t>
      </w:r>
      <w:r>
        <w:rPr>
          <w:rFonts w:ascii="Times New Roman" w:cs="Times New Roman" w:eastAsia="Times New Roman" w:hAnsi="Times New Roman"/>
          <w:sz w:val="20"/>
          <w:szCs w:val="20"/>
          <w:color w:val="auto"/>
        </w:rPr>
        <w:t>” means the Company’s free cash flow as reported in the Company’s annual financial statements for the year-end financial statements, excluding material effect of currency fluctuations, including the effect of acquisitions and divestitures, or material changes in GAAP or taxes, financing activities, ViaSat-3 insurance claims, or other material nonrecurring events based on the actual results.</w:t>
      </w:r>
    </w:p>
    <w:p>
      <w:pPr>
        <w:spacing w:after="0" w:line="189" w:lineRule="exact"/>
        <w:rPr>
          <w:rFonts w:ascii="Times New Roman" w:cs="Times New Roman" w:eastAsia="Times New Roman" w:hAnsi="Times New Roman"/>
          <w:sz w:val="20"/>
          <w:szCs w:val="20"/>
          <w:color w:val="auto"/>
        </w:rPr>
      </w:pPr>
    </w:p>
    <w:p>
      <w:pPr>
        <w:jc w:val="both"/>
        <w:ind w:right="60" w:firstLine="1505"/>
        <w:spacing w:after="0" w:line="250" w:lineRule="auto"/>
        <w:tabs>
          <w:tab w:leader="none" w:pos="20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Free Cash Flow Performance Multiplier</w:t>
      </w:r>
      <w:r>
        <w:rPr>
          <w:rFonts w:ascii="Times New Roman" w:cs="Times New Roman" w:eastAsia="Times New Roman" w:hAnsi="Times New Roman"/>
          <w:sz w:val="20"/>
          <w:szCs w:val="20"/>
          <w:color w:val="auto"/>
        </w:rPr>
        <w:t>” means, for the Performance Period, the performance multiplier determined pursuant to the chart below based on the Company’s Free Cash Flow for the Performance Period. If the Company achieves Free Cash Flow that falls between the foregoing levels, the Free Cash Flow Performance Multiplier will be determined by linear interpolation between the applicable levels.</w:t>
      </w:r>
    </w:p>
    <w:p>
      <w:pPr>
        <w:spacing w:after="0" w:line="193" w:lineRule="exact"/>
        <w:rPr>
          <w:sz w:val="20"/>
          <w:szCs w:val="20"/>
          <w:color w:val="auto"/>
        </w:rPr>
      </w:pPr>
    </w:p>
    <w:tbl>
      <w:tblPr>
        <w:tblLayout w:type="fixed"/>
        <w:tblInd w:w="210" w:type="dxa"/>
        <w:tblCellMar>
          <w:top w:w="0" w:type="dxa"/>
          <w:left w:w="0" w:type="dxa"/>
          <w:bottom w:w="0" w:type="dxa"/>
          <w:right w:w="0" w:type="dxa"/>
        </w:tblCellMar>
      </w:tblPr>
      <w:tr>
        <w:trPr>
          <w:trHeight w:val="509"/>
        </w:trPr>
        <w:tc>
          <w:tcPr>
            <w:tcW w:w="6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Free Cash Flow for the Performance Period (millions)</w:t>
            </w:r>
          </w:p>
        </w:tc>
        <w:tc>
          <w:tcPr>
            <w:tcW w:w="4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Free Cash Flow Performance Multiplier</w:t>
            </w:r>
          </w:p>
        </w:tc>
      </w:tr>
      <w:tr>
        <w:trPr>
          <w:trHeight w:val="240"/>
        </w:trPr>
        <w:tc>
          <w:tcPr>
            <w:tcW w:w="6620" w:type="dxa"/>
            <w:vAlign w:val="bottom"/>
            <w:tcBorders>
              <w:left w:val="single" w:sz="8" w:color="auto"/>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spacing w:after="0"/>
              <w:rPr>
                <w:sz w:val="20"/>
                <w:szCs w:val="20"/>
                <w:color w:val="auto"/>
              </w:rPr>
            </w:pPr>
          </w:p>
        </w:tc>
      </w:tr>
      <w:tr>
        <w:trPr>
          <w:trHeight w:val="233"/>
        </w:trPr>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At or above $[____]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r>
      <w:tr>
        <w:trPr>
          <w:trHeight w:val="250"/>
        </w:trPr>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At or below $[____]</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189" w:lineRule="exact"/>
        <w:rPr>
          <w:sz w:val="20"/>
          <w:szCs w:val="20"/>
          <w:color w:val="auto"/>
        </w:rPr>
      </w:pPr>
    </w:p>
    <w:p>
      <w:pPr>
        <w:ind w:right="60" w:firstLine="1505"/>
        <w:spacing w:after="0" w:line="273" w:lineRule="auto"/>
        <w:tabs>
          <w:tab w:leader="none" w:pos="203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Measurement Date</w:t>
      </w:r>
      <w:r>
        <w:rPr>
          <w:rFonts w:ascii="Times New Roman" w:cs="Times New Roman" w:eastAsia="Times New Roman" w:hAnsi="Times New Roman"/>
          <w:sz w:val="20"/>
          <w:szCs w:val="20"/>
          <w:color w:val="auto"/>
        </w:rPr>
        <w:t>” means the first to occur of (a) March 31, [insert grant year + 1], or (b) the date on which a Change in Control occurs.</w:t>
      </w:r>
    </w:p>
    <w:p>
      <w:pPr>
        <w:spacing w:after="0" w:line="16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xml:space="preserve">” means the period beginning on April 1, </w:t>
      </w:r>
      <w:r>
        <w:rPr>
          <w:rFonts w:ascii="Times New Roman" w:cs="Times New Roman" w:eastAsia="Times New Roman" w:hAnsi="Times New Roman"/>
          <w:sz w:val="21"/>
          <w:szCs w:val="21"/>
          <w:color w:val="auto"/>
        </w:rPr>
        <w:t>[insert grant year]</w:t>
      </w:r>
      <w:r>
        <w:rPr>
          <w:rFonts w:ascii="Times New Roman" w:cs="Times New Roman" w:eastAsia="Times New Roman" w:hAnsi="Times New Roman"/>
          <w:sz w:val="20"/>
          <w:szCs w:val="20"/>
          <w:color w:val="auto"/>
        </w:rPr>
        <w:t xml:space="preserve"> and ending on the Measurement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189" w:lineRule="exact"/>
        <w:rPr>
          <w:rFonts w:ascii="Times New Roman" w:cs="Times New Roman" w:eastAsia="Times New Roman" w:hAnsi="Times New Roman"/>
          <w:sz w:val="20"/>
          <w:szCs w:val="20"/>
          <w:color w:val="auto"/>
        </w:rPr>
      </w:pPr>
    </w:p>
    <w:p>
      <w:pPr>
        <w:ind w:right="60" w:firstLine="1505"/>
        <w:spacing w:after="0" w:line="273" w:lineRule="auto"/>
        <w:tabs>
          <w:tab w:leader="none" w:pos="203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Permanent Disability</w:t>
      </w:r>
      <w:r>
        <w:rPr>
          <w:rFonts w:ascii="Times New Roman" w:cs="Times New Roman" w:eastAsia="Times New Roman" w:hAnsi="Times New Roman"/>
          <w:sz w:val="20"/>
          <w:szCs w:val="20"/>
          <w:color w:val="auto"/>
        </w:rPr>
        <w:t>” means that you are unable to perform your duties by reason of any medically determined physical or mental impairment which can be expected to result in death</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1" w:right="279" w:bottom="1440" w:gutter="0" w:footer="0" w:header="0"/>
        </w:sectPr>
      </w:pPr>
    </w:p>
    <w:bookmarkStart w:id="60" w:name="page61"/>
    <w:bookmarkEnd w:id="60"/>
    <w:p>
      <w:pPr>
        <w:spacing w:after="0" w:line="269" w:lineRule="auto"/>
        <w:rPr>
          <w:sz w:val="20"/>
          <w:szCs w:val="20"/>
          <w:color w:val="auto"/>
        </w:rPr>
      </w:pPr>
      <w:r>
        <w:rPr>
          <w:rFonts w:ascii="Times New Roman" w:cs="Times New Roman" w:eastAsia="Times New Roman" w:hAnsi="Times New Roman"/>
          <w:sz w:val="20"/>
          <w:szCs w:val="20"/>
          <w:color w:val="auto"/>
        </w:rPr>
        <w:t>or which has lasted or is expected to last for a continuous period of at least twelve (12) months, as reasonably determined by the Committee, in its discretion.</w:t>
      </w:r>
    </w:p>
    <w:p>
      <w:pPr>
        <w:spacing w:after="0" w:line="169" w:lineRule="exact"/>
        <w:rPr>
          <w:sz w:val="20"/>
          <w:szCs w:val="20"/>
          <w:color w:val="auto"/>
        </w:rPr>
      </w:pPr>
    </w:p>
    <w:p>
      <w:pPr>
        <w:jc w:val="both"/>
        <w:ind w:firstLine="1505"/>
        <w:spacing w:after="0" w:line="256" w:lineRule="auto"/>
        <w:tabs>
          <w:tab w:leader="none" w:pos="203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 means the Company’s revenue recorded on the year-end financial statements, excluding material effect of currency fluctuations, including the effect of acquisitions and divestitures, or other material non-recurring events, including material changes in GAAP.</w:t>
      </w:r>
    </w:p>
    <w:p>
      <w:pPr>
        <w:spacing w:after="0" w:line="182" w:lineRule="exact"/>
        <w:rPr>
          <w:rFonts w:ascii="Times New Roman" w:cs="Times New Roman" w:eastAsia="Times New Roman" w:hAnsi="Times New Roman"/>
          <w:sz w:val="20"/>
          <w:szCs w:val="20"/>
          <w:color w:val="auto"/>
        </w:rPr>
      </w:pPr>
    </w:p>
    <w:p>
      <w:pPr>
        <w:jc w:val="both"/>
        <w:ind w:firstLine="1505"/>
        <w:spacing w:after="0" w:line="276" w:lineRule="auto"/>
        <w:tabs>
          <w:tab w:leader="none" w:pos="203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Revenue Performance Multiplier</w:t>
      </w:r>
      <w:r>
        <w:rPr>
          <w:rFonts w:ascii="Times New Roman" w:cs="Times New Roman" w:eastAsia="Times New Roman" w:hAnsi="Times New Roman"/>
          <w:sz w:val="19"/>
          <w:szCs w:val="19"/>
          <w:color w:val="auto"/>
        </w:rPr>
        <w:t>” means, for the Performance Period, the performance multiplier determined pursuant to the chart below based on the Company’s Revenue for the Performance Period. If the Company achieves Revenue that falls between the foregoing levels, the Revenue Performance Multiplier will be determined by linear interpolation between the applicable levels.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515"/>
        </w:trPr>
        <w:tc>
          <w:tcPr>
            <w:tcW w:w="240" w:type="dxa"/>
            <w:vAlign w:val="bottom"/>
            <w:tcBorders>
              <w:right w:val="single" w:sz="8" w:color="auto"/>
            </w:tcBorders>
          </w:tcPr>
          <w:p>
            <w:pPr>
              <w:spacing w:after="0"/>
              <w:rPr>
                <w:sz w:val="24"/>
                <w:szCs w:val="24"/>
                <w:color w:val="auto"/>
              </w:rPr>
            </w:pPr>
          </w:p>
        </w:tc>
        <w:tc>
          <w:tcPr>
            <w:tcW w:w="4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Revenue </w:t>
            </w:r>
            <w:r>
              <w:rPr>
                <w:rFonts w:ascii="Times New Roman" w:cs="Times New Roman" w:eastAsia="Times New Roman" w:hAnsi="Times New Roman"/>
                <w:sz w:val="19"/>
                <w:szCs w:val="19"/>
                <w:b w:val="1"/>
                <w:bCs w:val="1"/>
                <w:color w:val="auto"/>
              </w:rPr>
              <w:t>for the Performance Period (millions)</w:t>
            </w:r>
          </w:p>
        </w:tc>
        <w:tc>
          <w:tcPr>
            <w:tcW w:w="1880" w:type="dxa"/>
            <w:vAlign w:val="bottom"/>
            <w:tcBorders>
              <w:top w:val="single" w:sz="8" w:color="auto"/>
              <w:right w:val="single" w:sz="8" w:color="auto"/>
            </w:tcBorders>
          </w:tcPr>
          <w:p>
            <w:pPr>
              <w:spacing w:after="0"/>
              <w:rPr>
                <w:sz w:val="24"/>
                <w:szCs w:val="24"/>
                <w:color w:val="auto"/>
              </w:rPr>
            </w:pPr>
          </w:p>
        </w:tc>
        <w:tc>
          <w:tcPr>
            <w:tcW w:w="4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Revenue </w:t>
            </w:r>
            <w:r>
              <w:rPr>
                <w:rFonts w:ascii="Times New Roman" w:cs="Times New Roman" w:eastAsia="Times New Roman" w:hAnsi="Times New Roman"/>
                <w:sz w:val="19"/>
                <w:szCs w:val="19"/>
                <w:b w:val="1"/>
                <w:bCs w:val="1"/>
                <w:color w:val="auto"/>
              </w:rPr>
              <w:t>Performance Multiplier</w:t>
            </w:r>
          </w:p>
        </w:tc>
        <w:tc>
          <w:tcPr>
            <w:tcW w:w="120" w:type="dxa"/>
            <w:vAlign w:val="bottom"/>
          </w:tcPr>
          <w:p>
            <w:pPr>
              <w:spacing w:after="0"/>
              <w:rPr>
                <w:sz w:val="24"/>
                <w:szCs w:val="24"/>
                <w:color w:val="auto"/>
              </w:rPr>
            </w:pPr>
          </w:p>
        </w:tc>
      </w:tr>
      <w:tr>
        <w:trPr>
          <w:trHeight w:val="248"/>
        </w:trPr>
        <w:tc>
          <w:tcPr>
            <w:tcW w:w="240" w:type="dxa"/>
            <w:vAlign w:val="bottom"/>
            <w:tcBorders>
              <w:right w:val="single" w:sz="8" w:color="auto"/>
            </w:tcBorders>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3"/>
        </w:trPr>
        <w:tc>
          <w:tcPr>
            <w:tcW w:w="240" w:type="dxa"/>
            <w:vAlign w:val="bottom"/>
            <w:tcBorders>
              <w:right w:val="single" w:sz="8" w:color="auto"/>
            </w:tcBorders>
          </w:tcPr>
          <w:p>
            <w:pPr>
              <w:spacing w:after="0"/>
              <w:rPr>
                <w:sz w:val="20"/>
                <w:szCs w:val="20"/>
                <w:color w:val="auto"/>
              </w:rPr>
            </w:pPr>
          </w:p>
        </w:tc>
        <w:tc>
          <w:tcPr>
            <w:tcW w:w="4720" w:type="dxa"/>
            <w:vAlign w:val="bottom"/>
            <w:tcBorders>
              <w:bottom w:val="single" w:sz="8" w:color="auto"/>
            </w:tcBorders>
          </w:tcPr>
          <w:p>
            <w:pPr>
              <w:jc w:val="center"/>
              <w:ind w:left="1659"/>
              <w:spacing w:after="0"/>
              <w:rPr>
                <w:sz w:val="20"/>
                <w:szCs w:val="20"/>
                <w:color w:val="auto"/>
              </w:rPr>
            </w:pPr>
            <w:r>
              <w:rPr>
                <w:rFonts w:ascii="Times New Roman" w:cs="Times New Roman" w:eastAsia="Times New Roman" w:hAnsi="Times New Roman"/>
                <w:sz w:val="20"/>
                <w:szCs w:val="20"/>
                <w:color w:val="auto"/>
                <w:w w:val="98"/>
              </w:rPr>
              <w:t>At or above $[____]</w:t>
            </w:r>
          </w:p>
        </w:tc>
        <w:tc>
          <w:tcPr>
            <w:tcW w:w="1880" w:type="dxa"/>
            <w:vAlign w:val="bottom"/>
            <w:tcBorders>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c>
          <w:tcPr>
            <w:tcW w:w="120" w:type="dxa"/>
            <w:vAlign w:val="bottom"/>
          </w:tcPr>
          <w:p>
            <w:pPr>
              <w:spacing w:after="0"/>
              <w:rPr>
                <w:sz w:val="20"/>
                <w:szCs w:val="20"/>
                <w:color w:val="auto"/>
              </w:rPr>
            </w:pPr>
          </w:p>
        </w:tc>
      </w:tr>
      <w:tr>
        <w:trPr>
          <w:trHeight w:val="250"/>
        </w:trPr>
        <w:tc>
          <w:tcPr>
            <w:tcW w:w="240" w:type="dxa"/>
            <w:vAlign w:val="bottom"/>
            <w:tcBorders>
              <w:right w:val="single" w:sz="8" w:color="auto"/>
            </w:tcBorders>
          </w:tcPr>
          <w:p>
            <w:pPr>
              <w:spacing w:after="0"/>
              <w:rPr>
                <w:sz w:val="21"/>
                <w:szCs w:val="21"/>
                <w:color w:val="auto"/>
              </w:rPr>
            </w:pPr>
          </w:p>
        </w:tc>
        <w:tc>
          <w:tcPr>
            <w:tcW w:w="4720" w:type="dxa"/>
            <w:vAlign w:val="bottom"/>
            <w:tcBorders>
              <w:bottom w:val="single" w:sz="8" w:color="auto"/>
            </w:tcBorders>
          </w:tcPr>
          <w:p>
            <w:pPr>
              <w:jc w:val="center"/>
              <w:ind w:left="1719"/>
              <w:spacing w:after="0"/>
              <w:rPr>
                <w:sz w:val="20"/>
                <w:szCs w:val="20"/>
                <w:color w:val="auto"/>
              </w:rPr>
            </w:pPr>
            <w:r>
              <w:rPr>
                <w:rFonts w:ascii="Times New Roman" w:cs="Times New Roman" w:eastAsia="Times New Roman" w:hAnsi="Times New Roman"/>
                <w:sz w:val="20"/>
                <w:szCs w:val="20"/>
                <w:color w:val="auto"/>
                <w:w w:val="97"/>
              </w:rPr>
              <w:t>$[____]</w:t>
            </w:r>
          </w:p>
        </w:tc>
        <w:tc>
          <w:tcPr>
            <w:tcW w:w="188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20" w:type="dxa"/>
            <w:vAlign w:val="bottom"/>
          </w:tcPr>
          <w:p>
            <w:pPr>
              <w:spacing w:after="0"/>
              <w:rPr>
                <w:sz w:val="21"/>
                <w:szCs w:val="21"/>
                <w:color w:val="auto"/>
              </w:rPr>
            </w:pPr>
          </w:p>
        </w:tc>
      </w:tr>
      <w:tr>
        <w:trPr>
          <w:trHeight w:val="250"/>
        </w:trPr>
        <w:tc>
          <w:tcPr>
            <w:tcW w:w="240" w:type="dxa"/>
            <w:vAlign w:val="bottom"/>
            <w:tcBorders>
              <w:right w:val="single" w:sz="8" w:color="auto"/>
            </w:tcBorders>
          </w:tcPr>
          <w:p>
            <w:pPr>
              <w:spacing w:after="0"/>
              <w:rPr>
                <w:sz w:val="21"/>
                <w:szCs w:val="21"/>
                <w:color w:val="auto"/>
              </w:rPr>
            </w:pPr>
          </w:p>
        </w:tc>
        <w:tc>
          <w:tcPr>
            <w:tcW w:w="4720" w:type="dxa"/>
            <w:vAlign w:val="bottom"/>
            <w:tcBorders>
              <w:bottom w:val="single" w:sz="8" w:color="auto"/>
            </w:tcBorders>
          </w:tcPr>
          <w:p>
            <w:pPr>
              <w:jc w:val="center"/>
              <w:ind w:left="1719"/>
              <w:spacing w:after="0"/>
              <w:rPr>
                <w:sz w:val="20"/>
                <w:szCs w:val="20"/>
                <w:color w:val="auto"/>
              </w:rPr>
            </w:pPr>
            <w:r>
              <w:rPr>
                <w:rFonts w:ascii="Times New Roman" w:cs="Times New Roman" w:eastAsia="Times New Roman" w:hAnsi="Times New Roman"/>
                <w:sz w:val="20"/>
                <w:szCs w:val="20"/>
                <w:color w:val="auto"/>
                <w:w w:val="97"/>
              </w:rPr>
              <w:t>$[____]</w:t>
            </w:r>
          </w:p>
        </w:tc>
        <w:tc>
          <w:tcPr>
            <w:tcW w:w="188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0" w:type="dxa"/>
            <w:vAlign w:val="bottom"/>
          </w:tcPr>
          <w:p>
            <w:pPr>
              <w:spacing w:after="0"/>
              <w:rPr>
                <w:sz w:val="21"/>
                <w:szCs w:val="21"/>
                <w:color w:val="auto"/>
              </w:rPr>
            </w:pPr>
          </w:p>
        </w:tc>
      </w:tr>
      <w:tr>
        <w:trPr>
          <w:trHeight w:val="250"/>
        </w:trPr>
        <w:tc>
          <w:tcPr>
            <w:tcW w:w="240" w:type="dxa"/>
            <w:vAlign w:val="bottom"/>
            <w:tcBorders>
              <w:right w:val="single" w:sz="8" w:color="auto"/>
            </w:tcBorders>
          </w:tcPr>
          <w:p>
            <w:pPr>
              <w:spacing w:after="0"/>
              <w:rPr>
                <w:sz w:val="21"/>
                <w:szCs w:val="21"/>
                <w:color w:val="auto"/>
              </w:rPr>
            </w:pPr>
          </w:p>
        </w:tc>
        <w:tc>
          <w:tcPr>
            <w:tcW w:w="4720" w:type="dxa"/>
            <w:vAlign w:val="bottom"/>
            <w:tcBorders>
              <w:bottom w:val="single" w:sz="8" w:color="auto"/>
            </w:tcBorders>
          </w:tcPr>
          <w:p>
            <w:pPr>
              <w:jc w:val="center"/>
              <w:ind w:left="1719"/>
              <w:spacing w:after="0"/>
              <w:rPr>
                <w:sz w:val="20"/>
                <w:szCs w:val="20"/>
                <w:color w:val="auto"/>
              </w:rPr>
            </w:pPr>
            <w:r>
              <w:rPr>
                <w:rFonts w:ascii="Times New Roman" w:cs="Times New Roman" w:eastAsia="Times New Roman" w:hAnsi="Times New Roman"/>
                <w:sz w:val="20"/>
                <w:szCs w:val="20"/>
                <w:color w:val="auto"/>
                <w:w w:val="98"/>
              </w:rPr>
              <w:t>At or below $[____]</w:t>
            </w:r>
          </w:p>
        </w:tc>
        <w:tc>
          <w:tcPr>
            <w:tcW w:w="188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20" w:type="dxa"/>
            <w:vAlign w:val="bottom"/>
          </w:tcPr>
          <w:p>
            <w:pPr>
              <w:spacing w:after="0"/>
              <w:rPr>
                <w:sz w:val="21"/>
                <w:szCs w:val="21"/>
                <w:color w:val="auto"/>
              </w:rPr>
            </w:pPr>
          </w:p>
        </w:tc>
      </w:tr>
      <w:tr>
        <w:trPr>
          <w:trHeight w:val="539"/>
        </w:trPr>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8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rPr>
              <w:t>9</w:t>
            </w: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7"/>
        </w:trPr>
        <w:tc>
          <w:tcPr>
            <w:tcW w:w="2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VIASAT, INC.</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1996 EQUITY PARTICIPATION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 AWARD AGREEMENT –</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154305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b w:val="1"/>
          <w:bCs w:val="1"/>
          <w:color w:val="auto"/>
        </w:rPr>
        <w:t>Target Number of PSUs:</w:t>
      </w:r>
      <w:r>
        <w:rPr>
          <w:sz w:val="20"/>
          <w:szCs w:val="20"/>
          <w:color w:val="auto"/>
        </w:rPr>
        <w:tab/>
      </w:r>
      <w:r>
        <w:rPr>
          <w:rFonts w:ascii="Times New Roman" w:cs="Times New Roman" w:eastAsia="Times New Roman" w:hAnsi="Times New Roman"/>
          <w:sz w:val="19"/>
          <w:szCs w:val="19"/>
          <w:color w:val="auto"/>
        </w:rPr>
        <w:t>Performance-Based Restricted Stock Units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-8255</wp:posOffset>
            </wp:positionV>
            <wp:extent cx="4025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36" w:lineRule="exact"/>
        <w:rPr>
          <w:sz w:val="20"/>
          <w:szCs w:val="20"/>
          <w:color w:val="auto"/>
        </w:rPr>
      </w:pPr>
    </w:p>
    <w:p>
      <w:pPr>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Maximum Number of PSUs:</w:t>
      </w:r>
      <w:r>
        <w:rPr>
          <w:sz w:val="20"/>
          <w:szCs w:val="20"/>
          <w:color w:val="auto"/>
        </w:rPr>
        <w:tab/>
      </w:r>
      <w:r>
        <w:rPr>
          <w:rFonts w:ascii="Times New Roman" w:cs="Times New Roman" w:eastAsia="Times New Roman" w:hAnsi="Times New Roman"/>
          <w:sz w:val="19"/>
          <w:szCs w:val="19"/>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-8255</wp:posOffset>
            </wp:positionV>
            <wp:extent cx="4470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4704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170815</wp:posOffset>
            </wp:positionV>
            <wp:extent cx="7132320" cy="1482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ACCEPTANCE OF PSU AWARD:</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signing where indicated above, you agree to be bound by the terms and conditions of this Performance-Based Restricted Stock Unit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1996 Equity Participation Plan of Viasat, Inc.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You acknowledge that you have reviewed and fully understand all of the provisions of this Agreement and the Plan, and have had the opportunity to obtain advice of counsel prior to accepting the grant of PSUs pursuant to this Agreement. You hereby agree to accept as binding, conclusive and final all decisions or interpretations of the Compensation and Human Resources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967740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260" w:right="4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PSU AWARD:</w:t>
      </w:r>
    </w:p>
    <w:p>
      <w:pPr>
        <w:spacing w:after="0" w:line="233" w:lineRule="exact"/>
        <w:rPr>
          <w:sz w:val="20"/>
          <w:szCs w:val="20"/>
          <w:color w:val="auto"/>
        </w:rPr>
      </w:pPr>
    </w:p>
    <w:p>
      <w:pPr>
        <w:jc w:val="both"/>
        <w:ind w:firstLine="8"/>
        <w:spacing w:after="0" w:line="242" w:lineRule="auto"/>
        <w:tabs>
          <w:tab w:leader="none" w:pos="509"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Effective on the Grant Date, you have been granted the number of PSUs indicated above providing you the right to receive Common Stock of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accordance with the provisions of this Agreement and the provisions of the Plan.</w:t>
      </w:r>
    </w:p>
    <w:p>
      <w:pPr>
        <w:spacing w:after="0" w:line="199"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Forfeiture Upon Termination</w:t>
      </w:r>
      <w:r>
        <w:rPr>
          <w:rFonts w:ascii="Times New Roman" w:cs="Times New Roman" w:eastAsia="Times New Roman" w:hAnsi="Times New Roman"/>
          <w:sz w:val="20"/>
          <w:szCs w:val="20"/>
          <w:color w:val="auto"/>
        </w:rPr>
        <w:t>. Except as provided in the Vesting Schedule (as defined below), until vested, the PSUs will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cs="Times New Roman" w:eastAsia="Times New Roman" w:hAnsi="Times New Roman"/>
          <w:sz w:val="20"/>
          <w:szCs w:val="20"/>
          <w:b w:val="1"/>
          <w:bCs w:val="1"/>
          <w:i w:val="1"/>
          <w:iCs w:val="1"/>
          <w:color w:val="auto"/>
        </w:rPr>
        <w:t>Termination of Employment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Until vested and issued upon settlement, neither the PSUs nor any right or interest therein is transferable by you except by will or the laws of descent and distribution. Until Common Stock is issued upon settlement of the PSUs, you will not be deemed for any purpose to be, or have rights as, a Company shareholder by virtue of this award. You are not entitled to vote any shares of Common Stock by virtue of this award unless and until such shares of Common Stock have been issued to you upon settlement of the PSUs.</w:t>
      </w:r>
    </w:p>
    <w:p>
      <w:pPr>
        <w:spacing w:after="0" w:line="200"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The PSUs will vest in accordance with the “Vesting Schedule”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You will be issued shares of Common Stock equal to the number of vested PSUs in settlement of the PSUs (subject to the withholding requirements described in Section 6 below, as applicable) (a) if the Measurement Date occurs on May 31, [insert grant year + 3], within ten days following the Certification Date, or (b) if the Measurement Date occurs as a result of a Change in Control, within ten days following the vesting of the PSUs in accordance with the Vesting Schedule.</w:t>
      </w:r>
    </w:p>
    <w:p>
      <w:pPr>
        <w:spacing w:after="0" w:line="200"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jc w:val="both"/>
        <w:ind w:firstLine="757"/>
        <w:spacing w:after="0" w:line="245" w:lineRule="auto"/>
        <w:tabs>
          <w:tab w:leader="none" w:pos="1018" w:val="left"/>
        </w:tabs>
        <w:numPr>
          <w:ilvl w:val="1"/>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PSUs and/or receipt of the shares of Common Stock upon settlement of the PSUs. At any time not less than five business days before any such tax withholding obligation arises, you may satisfy your tax obligation, in whole or in part, by either:</w:t>
      </w:r>
    </w:p>
    <w:p>
      <w:pPr>
        <w:jc w:val="both"/>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electing to have the Company withhold from your salary or other cash compensation payable to you or shares of Common Stock otherwise to be delivered upon settlement of the PSUs with a Fair Market Value equal to the minimum amount of the tax withholding obligation, or (ii) paying the amount of the tax withholding obligation directly to the Company in cash. </w:t>
      </w:r>
      <w:r>
        <w:rPr>
          <w:rFonts w:ascii="Times New Roman" w:cs="Times New Roman" w:eastAsia="Times New Roman" w:hAnsi="Times New Roman"/>
          <w:sz w:val="20"/>
          <w:szCs w:val="20"/>
          <w:b w:val="1"/>
          <w:bCs w:val="1"/>
          <w:color w:val="auto"/>
        </w:rPr>
        <w:t>Unless you choose to satisfy your tax 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 in accordance with subsection (ii) above, your tax withholding obligation will be automatically satisfied in accordance with subsection (i) above. The Committee or the Board will have the right to disapprove an election to pay your tax withholding obligation under subsection (ii) in its sole discretion.</w:t>
      </w:r>
    </w:p>
    <w:p>
      <w:pPr>
        <w:spacing w:after="0" w:line="187" w:lineRule="exact"/>
        <w:rPr>
          <w:rFonts w:ascii="Times New Roman" w:cs="Times New Roman" w:eastAsia="Times New Roman" w:hAnsi="Times New Roman"/>
          <w:sz w:val="20"/>
          <w:szCs w:val="20"/>
          <w:u w:val="single" w:color="auto"/>
          <w:color w:val="auto"/>
        </w:rPr>
      </w:pPr>
    </w:p>
    <w:p>
      <w:pPr>
        <w:jc w:val="both"/>
        <w:ind w:firstLine="757"/>
        <w:spacing w:after="0" w:line="245" w:lineRule="auto"/>
        <w:tabs>
          <w:tab w:leader="none" w:pos="1018" w:val="left"/>
        </w:tabs>
        <w:numPr>
          <w:ilvl w:val="1"/>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In the event your tax withholding obligation will be satisfied under subsection (i) of Section 6(a)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PSUs as the Company determines to be appropriate to generate cash proceeds sufficient to satisfy your tax withholding obligation. Your acceptance of this PSU award constitutes your instruction and authorization to the Company and such brokerage firm to complete the transactions described in the previous sentence, as applicable</w:t>
      </w:r>
      <w:r>
        <w:rPr>
          <w:rFonts w:ascii="Times New Roman" w:cs="Times New Roman" w:eastAsia="Times New Roman" w:hAnsi="Times New Roman"/>
          <w:sz w:val="20"/>
          <w:szCs w:val="20"/>
          <w:color w:val="auto"/>
        </w:rPr>
        <w:t>. Such shares will be sold on the day the tax withholding obligation arises or as soon thereafter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63" w:name="page64"/>
    <w:bookmarkEnd w:id="63"/>
    <w:p>
      <w:pPr>
        <w:jc w:val="both"/>
        <w:spacing w:after="0" w:line="245" w:lineRule="auto"/>
        <w:rPr>
          <w:sz w:val="20"/>
          <w:szCs w:val="20"/>
          <w:color w:val="auto"/>
        </w:rPr>
      </w:pPr>
      <w:r>
        <w:rPr>
          <w:rFonts w:ascii="Times New Roman" w:cs="Times New Roman" w:eastAsia="Times New Roman" w:hAnsi="Times New Roman"/>
          <w:sz w:val="20"/>
          <w:szCs w:val="20"/>
          <w:color w:val="auto"/>
        </w:rPr>
        <w:t>as practicable. The shares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p>
    <w:p>
      <w:pPr>
        <w:spacing w:after="0" w:line="184" w:lineRule="exact"/>
        <w:rPr>
          <w:sz w:val="20"/>
          <w:szCs w:val="20"/>
          <w:color w:val="auto"/>
        </w:rPr>
      </w:pPr>
    </w:p>
    <w:p>
      <w:pPr>
        <w:jc w:val="both"/>
        <w:ind w:firstLine="757"/>
        <w:spacing w:after="0" w:line="254" w:lineRule="auto"/>
        <w:tabs>
          <w:tab w:leader="none" w:pos="1018" w:val="left"/>
        </w:tabs>
        <w:numPr>
          <w:ilvl w:val="1"/>
          <w:numId w:val="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Company may refuse to issue any Common Stock in settlement of your PSUs to you until your tax withholding obligations are satisfied. To the maximum extent permitted by law, the Company has the right to retain without notice from shares issuable under the PSUs or from salary payable to you, shares or cash having a value sufficient to satisfy your tax withholding obligation.</w:t>
      </w:r>
    </w:p>
    <w:p>
      <w:pPr>
        <w:spacing w:after="0" w:line="187" w:lineRule="exact"/>
        <w:rPr>
          <w:rFonts w:ascii="Times New Roman" w:cs="Times New Roman" w:eastAsia="Times New Roman" w:hAnsi="Times New Roman"/>
          <w:sz w:val="20"/>
          <w:szCs w:val="20"/>
          <w:u w:val="single" w:color="auto"/>
          <w:color w:val="auto"/>
        </w:rPr>
      </w:pPr>
    </w:p>
    <w:p>
      <w:pPr>
        <w:jc w:val="both"/>
        <w:ind w:firstLine="8"/>
        <w:spacing w:after="0" w:line="242" w:lineRule="auto"/>
        <w:tabs>
          <w:tab w:leader="none" w:pos="509"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No Effect on Employment</w:t>
      </w:r>
      <w:r>
        <w:rPr>
          <w:rFonts w:ascii="Times New Roman" w:cs="Times New Roman" w:eastAsia="Times New Roman" w:hAnsi="Times New Roman"/>
          <w:sz w:val="20"/>
          <w:szCs w:val="20"/>
          <w:color w:val="auto"/>
        </w:rPr>
        <w:t>. Nothing in the Plan or this Agreement will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99" w:lineRule="exact"/>
        <w:rPr>
          <w:rFonts w:ascii="Times New Roman" w:cs="Times New Roman" w:eastAsia="Times New Roman" w:hAnsi="Times New Roman"/>
          <w:sz w:val="22"/>
          <w:szCs w:val="22"/>
          <w:u w:val="single" w:color="auto"/>
          <w:color w:val="auto"/>
        </w:rPr>
      </w:pPr>
    </w:p>
    <w:p>
      <w:pPr>
        <w:jc w:val="both"/>
        <w:ind w:firstLine="8"/>
        <w:spacing w:after="0"/>
        <w:tabs>
          <w:tab w:leader="none" w:pos="509"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PSU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PSUs under the Plan is a one-time benefit and does not create any contractual or other right to receive an award of PSUs or benefits in lieu of PSUs in the future. Future awards of PSUs, if any, will be at the sole discretion of the Company, including, but not limited to, the timing of the award, the number of shares and vesting provisions. By execution of this Agreement, you consent to the provisions of the Plan and this Agreement. Defined terms used herein will have the meaning set forth in the Plan, unless otherwise defined herein.</w:t>
      </w:r>
    </w:p>
    <w:p>
      <w:pPr>
        <w:spacing w:after="0" w:line="203"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will be required in connection with such amendment, termination or revocation.</w:t>
      </w:r>
    </w:p>
    <w:p>
      <w:pPr>
        <w:spacing w:after="0" w:line="200" w:lineRule="exact"/>
        <w:rPr>
          <w:rFonts w:ascii="Times New Roman" w:cs="Times New Roman" w:eastAsia="Times New Roman" w:hAnsi="Times New Roman"/>
          <w:sz w:val="22"/>
          <w:szCs w:val="22"/>
          <w:u w:val="single" w:color="auto"/>
          <w:color w:val="auto"/>
        </w:rPr>
      </w:pPr>
    </w:p>
    <w:p>
      <w:pPr>
        <w:jc w:val="both"/>
        <w:ind w:firstLine="8"/>
        <w:spacing w:after="0"/>
        <w:tabs>
          <w:tab w:leader="none" w:pos="509"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applicable, this Agreement and the PSUs will be interpreted in accordance with Section 409A of the Code and Department of Treasury regulations and other interpretive guidance issued thereunder. This PSU award is not intended to constitute “nonqualified deferred compensation” within the meaning of Section 409A of the Code and the Department of Treasury regulations and other interpretive guidance issued thereunder under the “short-term deferral” exception set forth in Treasury Regulation Section 1.409A-1(b)(4) (and, accordingly, the shares of Common Stock issuable hereunder shall be distributed to you within the time period required under such “short-term deferral” exception). For purposes of Section 409A of the Code (including, without limitation, for purposes of Treasury Regulation Section 1.409A-2(b)(2)(iii)), each payment that you may be eligible to receive under this Agreement will be treated as a separate and distinct payment.</w:t>
      </w:r>
    </w:p>
    <w:p>
      <w:pPr>
        <w:spacing w:after="0" w:line="202"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ind w:right="20" w:firstLine="757"/>
        <w:spacing w:after="0" w:line="269" w:lineRule="auto"/>
        <w:tabs>
          <w:tab w:leader="none" w:pos="1018" w:val="left"/>
        </w:tabs>
        <w:numPr>
          <w:ilvl w:val="1"/>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PSU grant and the provisions of this Agreement are governed by, and subject to, the laws of the State of California, without regard to the conflict of law provisions, as provided in the Plan.</w:t>
      </w:r>
    </w:p>
    <w:p>
      <w:pPr>
        <w:spacing w:after="0" w:line="159" w:lineRule="exact"/>
        <w:rPr>
          <w:rFonts w:ascii="Times New Roman" w:cs="Times New Roman" w:eastAsia="Times New Roman" w:hAnsi="Times New Roman"/>
          <w:sz w:val="20"/>
          <w:szCs w:val="20"/>
          <w:u w:val="single" w:color="auto"/>
          <w:color w:val="auto"/>
        </w:rPr>
      </w:pPr>
    </w:p>
    <w:p>
      <w:pPr>
        <w:ind w:firstLine="757"/>
        <w:spacing w:after="0" w:line="269" w:lineRule="auto"/>
        <w:tabs>
          <w:tab w:leader="none" w:pos="1018" w:val="left"/>
        </w:tabs>
        <w:numPr>
          <w:ilvl w:val="1"/>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For purposes of any action, lawsuit or other proceedings brought to enforce this Agreement, relating to it, or arising from it, the parties hereby submit to and consent to the sole and exclusive jurisdiction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4" w:name="page65"/>
    <w:bookmarkEnd w:id="64"/>
    <w:p>
      <w:pPr>
        <w:spacing w:after="0" w:line="269" w:lineRule="auto"/>
        <w:rPr>
          <w:sz w:val="20"/>
          <w:szCs w:val="20"/>
          <w:color w:val="auto"/>
        </w:rPr>
      </w:pPr>
      <w:r>
        <w:rPr>
          <w:rFonts w:ascii="Times New Roman" w:cs="Times New Roman" w:eastAsia="Times New Roman" w:hAnsi="Times New Roman"/>
          <w:sz w:val="20"/>
          <w:szCs w:val="20"/>
          <w:color w:val="auto"/>
        </w:rPr>
        <w:t>of the courts of San Diego County, California, or the federal courts for the United States for the Southern District of California, and no other courts, where this grant is made and/or to be performed.</w:t>
      </w:r>
    </w:p>
    <w:p>
      <w:pPr>
        <w:spacing w:after="0" w:line="173" w:lineRule="exact"/>
        <w:rPr>
          <w:sz w:val="20"/>
          <w:szCs w:val="20"/>
          <w:color w:val="auto"/>
        </w:rPr>
      </w:pPr>
    </w:p>
    <w:p>
      <w:pPr>
        <w:jc w:val="both"/>
        <w:ind w:firstLine="8"/>
        <w:spacing w:after="0" w:line="241" w:lineRule="auto"/>
        <w:tabs>
          <w:tab w:leader="none" w:pos="509"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rFonts w:ascii="Times New Roman" w:cs="Times New Roman" w:eastAsia="Times New Roman" w:hAnsi="Times New Roman"/>
          <w:sz w:val="22"/>
          <w:szCs w:val="22"/>
          <w:u w:val="single" w:color="auto"/>
          <w:color w:val="auto"/>
        </w:rPr>
      </w:pPr>
    </w:p>
    <w:p>
      <w:pPr>
        <w:ind w:right="20" w:firstLine="8"/>
        <w:spacing w:after="0" w:line="245" w:lineRule="auto"/>
        <w:tabs>
          <w:tab w:leader="none" w:pos="509"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will nevertheless be binding and enforceable.</w:t>
      </w:r>
    </w:p>
    <w:p>
      <w:pPr>
        <w:spacing w:after="0" w:line="195"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your participation in the Plan, on the PSUs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rFonts w:ascii="Times New Roman" w:cs="Times New Roman" w:eastAsia="Times New Roman" w:hAnsi="Times New Roman"/>
          <w:sz w:val="22"/>
          <w:szCs w:val="22"/>
          <w:u w:val="single" w:color="auto"/>
          <w:color w:val="auto"/>
        </w:rPr>
      </w:pPr>
    </w:p>
    <w:p>
      <w:pPr>
        <w:ind w:right="20" w:firstLine="8"/>
        <w:spacing w:after="0" w:line="245" w:lineRule="auto"/>
        <w:tabs>
          <w:tab w:leader="none" w:pos="509"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You acknowledge that a waiver by the Company of breach of any provision of this Agreement will not operate or be construed as a waiver of any other provision of this Agreement, or of any subsequent breach by you or any other Grantee.</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EXHIBIT A: VESTING SCHEDULE OF PSU AWARD</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Capitalized terms used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not defined in Section 4 below will have the meanings given them in the Agreement to which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attached.</w:t>
      </w:r>
    </w:p>
    <w:p>
      <w:pPr>
        <w:spacing w:after="0" w:line="159" w:lineRule="exact"/>
        <w:rPr>
          <w:sz w:val="20"/>
          <w:szCs w:val="20"/>
          <w:color w:val="auto"/>
        </w:rPr>
      </w:pPr>
    </w:p>
    <w:p>
      <w:pPr>
        <w:ind w:firstLine="757"/>
        <w:spacing w:after="0" w:line="269" w:lineRule="auto"/>
        <w:tabs>
          <w:tab w:leader="none" w:pos="1018" w:val="left"/>
        </w:tabs>
        <w:numPr>
          <w:ilvl w:val="0"/>
          <w:numId w:val="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Performance Vesting</w:t>
      </w:r>
      <w:r>
        <w:rPr>
          <w:rFonts w:ascii="Times New Roman" w:cs="Times New Roman" w:eastAsia="Times New Roman" w:hAnsi="Times New Roman"/>
          <w:sz w:val="20"/>
          <w:szCs w:val="20"/>
          <w:color w:val="auto"/>
        </w:rPr>
        <w:t>. Subject to Section 2 below, you will be eligible to vest in the PSUs based on the Company’s Relative TSR Ranking for the Performance Period as follows:</w:t>
      </w:r>
    </w:p>
    <w:p>
      <w:pPr>
        <w:spacing w:after="0" w:line="159" w:lineRule="exact"/>
        <w:rPr>
          <w:rFonts w:ascii="Times New Roman" w:cs="Times New Roman" w:eastAsia="Times New Roman" w:hAnsi="Times New Roman"/>
          <w:sz w:val="20"/>
          <w:szCs w:val="20"/>
          <w:u w:val="single" w:color="auto"/>
          <w:color w:val="auto"/>
        </w:rPr>
      </w:pPr>
    </w:p>
    <w:p>
      <w:pPr>
        <w:jc w:val="both"/>
        <w:ind w:firstLine="1153"/>
        <w:spacing w:after="0" w:line="249" w:lineRule="auto"/>
        <w:tabs>
          <w:tab w:leader="none" w:pos="156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Measurement Date Occurs On May 31, [insert grant year + 3]</w:t>
      </w:r>
      <w:r>
        <w:rPr>
          <w:rFonts w:ascii="Times New Roman" w:cs="Times New Roman" w:eastAsia="Times New Roman" w:hAnsi="Times New Roman"/>
          <w:sz w:val="20"/>
          <w:szCs w:val="20"/>
          <w:color w:val="auto"/>
        </w:rPr>
        <w:t>. In the event the Measurement Date is May 31, [insert grant year + 3], you will vest in such number of PSUs on the Certification Date as is determined by multiplying (i) the “Target Number of PSUs” subject to this Agreement, by (ii) the TSR Performance Multiplier determined as of the Measurement Date (rounded to the nearest whole share), subject to your continued employment or service with the Company or a Subsidiary through the Measurement Date.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Measurement Date Occurs As a Result of Change in Control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901"/>
        <w:spacing w:after="0" w:line="245" w:lineRule="auto"/>
        <w:tabs>
          <w:tab w:leader="none" w:pos="2289" w:val="left"/>
        </w:tabs>
        <w:numPr>
          <w:ilvl w:val="3"/>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1(a) above, in the event of a Change in Control prior to May 31, [insert grant year + 3], such number of PSUs will become “</w:t>
      </w:r>
      <w:r>
        <w:rPr>
          <w:rFonts w:ascii="Times New Roman" w:cs="Times New Roman" w:eastAsia="Times New Roman" w:hAnsi="Times New Roman"/>
          <w:sz w:val="20"/>
          <w:szCs w:val="20"/>
          <w:b w:val="1"/>
          <w:bCs w:val="1"/>
          <w:i w:val="1"/>
          <w:iCs w:val="1"/>
          <w:color w:val="auto"/>
        </w:rPr>
        <w:t>Vesting Eligible PSUs</w:t>
      </w:r>
      <w:r>
        <w:rPr>
          <w:rFonts w:ascii="Times New Roman" w:cs="Times New Roman" w:eastAsia="Times New Roman" w:hAnsi="Times New Roman"/>
          <w:sz w:val="20"/>
          <w:szCs w:val="20"/>
          <w:color w:val="auto"/>
        </w:rPr>
        <w:t>” on the date of such Change in Control as is determined by multiplying (A) the “Target Number of PSUs” subject to this Agreement, multiplied by (B) the greater of (1) one hundred percent (100%) or (2) the TSR Performance Multiplier as of the Measurement Date, as determined by the Committee prior to such Change in Control. Subject to Section 2 below, the “Vesting Eligible PSUs” will remain eligible to vest following such Change in Control on May 31, [insert grant year + 3], subject to your continued employment or service with the Company or a Subsidiary (or any successor thereof) through such date.</w:t>
      </w:r>
    </w:p>
    <w:p>
      <w:pPr>
        <w:spacing w:after="0" w:line="197" w:lineRule="exact"/>
        <w:rPr>
          <w:rFonts w:ascii="Times New Roman" w:cs="Times New Roman" w:eastAsia="Times New Roman" w:hAnsi="Times New Roman"/>
          <w:sz w:val="20"/>
          <w:szCs w:val="20"/>
          <w:color w:val="auto"/>
        </w:rPr>
      </w:pPr>
    </w:p>
    <w:p>
      <w:pPr>
        <w:jc w:val="both"/>
        <w:ind w:firstLine="1901"/>
        <w:spacing w:after="0" w:line="249" w:lineRule="auto"/>
        <w:tabs>
          <w:tab w:leader="none" w:pos="2289" w:val="left"/>
        </w:tabs>
        <w:numPr>
          <w:ilvl w:val="3"/>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on or after May 31, [insert grant year + 3], if the Certification Date has not yet occurred prior to the date of such Change in Control, such number of PSUs will vest as of the date of the Change in Control as is determined by multiplying equal to (A) the “Target Number of PSUs” subject to this Agreement, multiplied by (B) the TSR Performance Multiplier as of the Measurement Date.</w:t>
      </w:r>
    </w:p>
    <w:p>
      <w:pPr>
        <w:spacing w:after="0" w:line="12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Termination of Employment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2"/>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Termination Due to Death or Permanent Disability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2254"/>
        <w:spacing w:after="0" w:line="254" w:lineRule="auto"/>
        <w:tabs>
          <w:tab w:leader="none" w:pos="2546" w:val="left"/>
        </w:tabs>
        <w:numPr>
          <w:ilvl w:val="4"/>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your Termination of Employment as a result of your death or Permanent Disability prior to May 31, [insert grant year + 3] and prior to a Change in Control, you will remain eligible to vest on the Certification Date in such portion of the PSUs as are determined to vest on the Certification Date based on the Company’s Relative TSR Ranking for the Performance Period.</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4"/>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your Termination of Employment as a result of your death or Permanent Disability on or after the date of a Change in Control but prior to May 31, [insert grant year + 3], you will vest in the remaining Vesting Eligible PSUs on the date of your Termination of Employment.</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Other Terminations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2254"/>
        <w:spacing w:after="0" w:line="246" w:lineRule="auto"/>
        <w:tabs>
          <w:tab w:leader="none" w:pos="2642" w:val="left"/>
        </w:tabs>
        <w:numPr>
          <w:ilvl w:val="4"/>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your Termination of Employment for any reason other than your death or Permanent Disability prior to May 31, [insert grant year + 3] and prior to a Change in Control, any unvested PSUs will be forfeited;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PSUs will be subject to any time-based accelerated vesting as may be provided in any employment or severance agreement between you and the Company, and in the event any such accelerated vesting applies and the Measurement Date would otherwise occur under Section 1(a) during the period covered by such time-based accelerated vesting, you will remain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66" w:name="page67"/>
    <w:bookmarkEnd w:id="66"/>
    <w:p>
      <w:pPr>
        <w:spacing w:after="0" w:line="269" w:lineRule="auto"/>
        <w:rPr>
          <w:sz w:val="20"/>
          <w:szCs w:val="20"/>
          <w:color w:val="auto"/>
        </w:rPr>
      </w:pPr>
      <w:r>
        <w:rPr>
          <w:rFonts w:ascii="Times New Roman" w:cs="Times New Roman" w:eastAsia="Times New Roman" w:hAnsi="Times New Roman"/>
          <w:sz w:val="20"/>
          <w:szCs w:val="20"/>
          <w:color w:val="auto"/>
        </w:rPr>
        <w:t>eligible to vest on the Certification Date in such portion of the PSUs as are determined to vest on the Certification Date based on the Company’s Relative TSR Ranking for the Performance Period.</w:t>
      </w:r>
    </w:p>
    <w:p>
      <w:pPr>
        <w:spacing w:after="0" w:line="159" w:lineRule="exact"/>
        <w:rPr>
          <w:sz w:val="20"/>
          <w:szCs w:val="20"/>
          <w:color w:val="auto"/>
        </w:rPr>
      </w:pPr>
    </w:p>
    <w:p>
      <w:pPr>
        <w:jc w:val="both"/>
        <w:ind w:firstLine="2067"/>
        <w:spacing w:after="0" w:line="246" w:lineRule="auto"/>
        <w:tabs>
          <w:tab w:leader="none" w:pos="2455" w:val="left"/>
        </w:tabs>
        <w:numPr>
          <w:ilvl w:val="3"/>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your Termination of Employment for any reason other than your death or Permanent Disability on or after the date of a Change in Control but prior to May 31, [insert grant year + 3], any unvested PSUs will be forfeited;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Vesting Eligible PSUs will be subject to any time-based accelerated vesting as may be provided in any employment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severance agreement between you and the Company (and any such unvested Vesting Eligible PSUs that vest on an accelerated basis will vest on the date of your Termination of Employment).</w:t>
      </w:r>
    </w:p>
    <w:p>
      <w:pPr>
        <w:spacing w:after="0" w:line="184"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46" w:val="left"/>
        </w:tabs>
        <w:numPr>
          <w:ilvl w:val="4"/>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any such agreement between you and the Company provides for accelerated vesting upon your termination without “cause” or resignation for “good reason” (each as defined in any such agreement), such accelerated vesting will only apply to the extent (i) your termination without “cause” occurs on or after the Grant Date, or (ii) the circumstances giving rise to “good reason” first occur on or after the Grant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will only apply to the extent a “change in control” occurs on or after the Grant Date and will not apply to any “change in control” that occurred prior to the Grant Date (including, without limitation, the consummation of the transactions contemplated by that certain Share Purchase Agreement relating to Connect Topco Limited, between the Investor Sellers, the Management Sellers, the Optionholder Sellers, and the Company, dated November 8, 2021). Any employment, services, severance, change in control or other compensation agreement between you and the Company is hereby amended to be consistent with the foregoing.</w:t>
      </w:r>
    </w:p>
    <w:p>
      <w:pPr>
        <w:spacing w:after="0" w:line="18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xml:space="preserve">. Subject to Section 2 above, any portion of this PSU award that does not vest (or remain eligible to vest) as a result of your Termination of Employment or as a result of less than the “Maximum Number of PSUs” subject to this award vesting (or remaining eligible to vest) by reason of the TSR Performance Multiplier being less than 175% will automatically and without further action be cancelled and forfeited by you on the date of your Termination of Employment or the Certification Date, as applicable, and you will have no further right or interest in or with respect to such portion of this PSU award. In no event will more than the “Maximum Number of PSUs” subject to this award vest pursuant to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30" w:lineRule="exact"/>
        <w:rPr>
          <w:rFonts w:ascii="Times New Roman" w:cs="Times New Roman" w:eastAsia="Times New Roman" w:hAnsi="Times New Roman"/>
          <w:sz w:val="20"/>
          <w:szCs w:val="20"/>
          <w:u w:val="single" w:color="auto"/>
          <w:color w:val="auto"/>
        </w:rPr>
      </w:pPr>
    </w:p>
    <w:p>
      <w:pPr>
        <w:ind w:left="800" w:hanging="396"/>
        <w:spacing w:after="0"/>
        <w:tabs>
          <w:tab w:leader="none" w:pos="8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following terms will have the meanings given below:</w:t>
      </w:r>
    </w:p>
    <w:p>
      <w:pPr>
        <w:spacing w:after="0" w:line="211"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86"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Beginning Market Value</w:t>
      </w:r>
      <w:r>
        <w:rPr>
          <w:rFonts w:ascii="Times New Roman" w:cs="Times New Roman" w:eastAsia="Times New Roman" w:hAnsi="Times New Roman"/>
          <w:sz w:val="20"/>
          <w:szCs w:val="20"/>
          <w:color w:val="auto"/>
        </w:rPr>
        <w:t xml:space="preserve">” means, for each of the Company and the Peer Companies for the Performance Period, the average of the closing price per share of the company’s stock for the twenty consecutive trading days beginning with and including the first day of the Performance Period (or, if the first day of the Performance Period is not a trading day, the immediately preceding trading day)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authoritative source as the Committee may determine.</w:t>
      </w:r>
    </w:p>
    <w:p>
      <w:pPr>
        <w:spacing w:after="0" w:line="17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Certification Date</w:t>
      </w:r>
      <w:r>
        <w:rPr>
          <w:rFonts w:ascii="Times New Roman" w:cs="Times New Roman" w:eastAsia="Times New Roman" w:hAnsi="Times New Roman"/>
          <w:sz w:val="20"/>
          <w:szCs w:val="20"/>
          <w:color w:val="auto"/>
        </w:rPr>
        <w:t xml:space="preserve">” means the date on which the Committee certifies the TSR Performance Multiplier, which certification will occur no later than thirty days following the Measurement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event the Measurement Date is the date of a Change in Control, the Certification Date will be the date of such Change in Control (or, if such date is not a trading day, the immediately preceding trading day).</w:t>
      </w:r>
    </w:p>
    <w:p>
      <w:pPr>
        <w:spacing w:after="0" w:line="17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 occurring on or after the Grant Date: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7" w:name="page68"/>
    <w:bookmarkEnd w:id="67"/>
    <w:p>
      <w:pPr>
        <w:jc w:val="both"/>
        <w:ind w:right="60" w:firstLine="2254"/>
        <w:spacing w:after="0" w:line="244" w:lineRule="auto"/>
        <w:tabs>
          <w:tab w:leader="none" w:pos="264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p>
    <w:p>
      <w:pPr>
        <w:spacing w:after="0" w:line="181" w:lineRule="exact"/>
        <w:rPr>
          <w:rFonts w:ascii="Times New Roman" w:cs="Times New Roman" w:eastAsia="Times New Roman" w:hAnsi="Times New Roman"/>
          <w:sz w:val="20"/>
          <w:szCs w:val="20"/>
          <w:color w:val="auto"/>
        </w:rPr>
      </w:pPr>
    </w:p>
    <w:p>
      <w:pPr>
        <w:jc w:val="both"/>
        <w:ind w:right="60" w:firstLine="2254"/>
        <w:spacing w:after="0" w:line="244" w:lineRule="auto"/>
        <w:tabs>
          <w:tab w:leader="none" w:pos="264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individuals who, as of the Grant Date are members of the Board (the “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xml:space="preserve">”), cease for any reason to constitute at least two-thirds of the members of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cs="Times New Roman" w:eastAsia="Times New Roman" w:hAnsi="Times New Roman"/>
          <w:sz w:val="20"/>
          <w:szCs w:val="20"/>
          <w:b w:val="1"/>
          <w:bCs w:val="1"/>
          <w:i w:val="1"/>
          <w:iCs w:val="1"/>
          <w:color w:val="auto"/>
        </w:rPr>
        <w:t>Proxy Contest</w:t>
      </w:r>
      <w:r>
        <w:rPr>
          <w:rFonts w:ascii="Times New Roman" w:cs="Times New Roman" w:eastAsia="Times New Roman" w:hAnsi="Times New Roman"/>
          <w:sz w:val="20"/>
          <w:szCs w:val="20"/>
          <w:color w:val="auto"/>
        </w:rPr>
        <w:t>”) including by reason of any agreement intended to avoid or settle any Election Contest or Proxy Contest; or</w:t>
      </w:r>
    </w:p>
    <w:p>
      <w:pPr>
        <w:spacing w:after="0" w:line="185" w:lineRule="exact"/>
        <w:rPr>
          <w:rFonts w:ascii="Times New Roman" w:cs="Times New Roman" w:eastAsia="Times New Roman" w:hAnsi="Times New Roman"/>
          <w:sz w:val="20"/>
          <w:szCs w:val="20"/>
          <w:color w:val="auto"/>
        </w:rPr>
      </w:pPr>
    </w:p>
    <w:p>
      <w:pPr>
        <w:jc w:val="both"/>
        <w:ind w:right="60" w:firstLine="2254"/>
        <w:spacing w:after="0" w:line="249" w:lineRule="auto"/>
        <w:tabs>
          <w:tab w:leader="none" w:pos="264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9" w:lineRule="exact"/>
        <w:rPr>
          <w:rFonts w:ascii="Times New Roman" w:cs="Times New Roman" w:eastAsia="Times New Roman" w:hAnsi="Times New Roman"/>
          <w:sz w:val="20"/>
          <w:szCs w:val="20"/>
          <w:color w:val="auto"/>
        </w:rPr>
      </w:pPr>
    </w:p>
    <w:p>
      <w:pPr>
        <w:jc w:val="both"/>
        <w:ind w:firstLine="2297"/>
        <w:spacing w:after="0" w:line="246" w:lineRule="auto"/>
        <w:tabs>
          <w:tab w:leader="none" w:pos="30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84" w:lineRule="exact"/>
        <w:rPr>
          <w:rFonts w:ascii="Times New Roman" w:cs="Times New Roman" w:eastAsia="Times New Roman" w:hAnsi="Times New Roman"/>
          <w:sz w:val="20"/>
          <w:szCs w:val="20"/>
          <w:color w:val="auto"/>
        </w:rPr>
      </w:pPr>
    </w:p>
    <w:p>
      <w:pPr>
        <w:ind w:right="60" w:firstLine="2297"/>
        <w:spacing w:after="0" w:line="249" w:lineRule="auto"/>
        <w:tabs>
          <w:tab w:leader="none" w:pos="2685"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forty percent (40%) or more of the combined voting power of the Successor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person or group shall be treated for purposes of this Section 4(c)(iii)(B) as beneficially owning 40% or more of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ind w:right="60" w:firstLine="1187"/>
        <w:spacing w:after="0" w:line="254" w:lineRule="auto"/>
        <w:rPr>
          <w:sz w:val="20"/>
          <w:szCs w:val="20"/>
          <w:color w:val="auto"/>
        </w:rPr>
      </w:pPr>
      <w:r>
        <w:rPr>
          <w:rFonts w:ascii="Times New Roman" w:cs="Times New Roman" w:eastAsia="Times New Roman" w:hAnsi="Times New Roman"/>
          <w:sz w:val="20"/>
          <w:szCs w:val="20"/>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0" w:lineRule="exact"/>
        <w:rPr>
          <w:sz w:val="20"/>
          <w:szCs w:val="20"/>
          <w:color w:val="auto"/>
        </w:rPr>
      </w:pPr>
    </w:p>
    <w:p>
      <w:pPr>
        <w:jc w:val="both"/>
        <w:ind w:right="60" w:firstLine="1505"/>
        <w:spacing w:after="0" w:line="246" w:lineRule="auto"/>
        <w:tabs>
          <w:tab w:leader="none" w:pos="20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Ending Market Value</w:t>
      </w:r>
      <w:r>
        <w:rPr>
          <w:rFonts w:ascii="Times New Roman" w:cs="Times New Roman" w:eastAsia="Times New Roman" w:hAnsi="Times New Roman"/>
          <w:sz w:val="20"/>
          <w:szCs w:val="20"/>
          <w:color w:val="auto"/>
        </w:rPr>
        <w:t>” means, for each of the Company and the Peer Companies for the Performance Period,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the event the Measurement Date is May 31, [insert grant year + 3], the average of the closing price per share of the company’s stock for the last twenty consecutive trading days ending with and including the Measurement Date, or (ii) in the event the Measurement Date is the date of a Change in Control, the closing price per share of the company’s stock on the Measurement Date (or if the Measurement Date is not a trading day, the immediately preceding trading day)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authoritative source as the Committee may determine.</w:t>
      </w:r>
    </w:p>
    <w:p>
      <w:pPr>
        <w:spacing w:after="0" w:line="17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Measurement Date</w:t>
      </w:r>
      <w:r>
        <w:rPr>
          <w:rFonts w:ascii="Times New Roman" w:cs="Times New Roman" w:eastAsia="Times New Roman" w:hAnsi="Times New Roman"/>
          <w:sz w:val="20"/>
          <w:szCs w:val="20"/>
          <w:color w:val="auto"/>
        </w:rPr>
        <w:t>” means the first to occur of (a) May 31, [insert grant year +</w:t>
      </w:r>
    </w:p>
    <w:p>
      <w:pPr>
        <w:spacing w:after="0" w:line="3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1" w:right="279" w:bottom="1440" w:gutter="0" w:footer="0" w:header="0"/>
        </w:sectPr>
      </w:pPr>
    </w:p>
    <w:bookmarkStart w:id="68" w:name="page69"/>
    <w:bookmarkEnd w:id="68"/>
    <w:p>
      <w:pPr>
        <w:spacing w:after="0" w:line="269" w:lineRule="auto"/>
        <w:rPr>
          <w:sz w:val="20"/>
          <w:szCs w:val="20"/>
          <w:color w:val="auto"/>
        </w:rPr>
      </w:pPr>
      <w:r>
        <w:rPr>
          <w:rFonts w:ascii="Times New Roman" w:cs="Times New Roman" w:eastAsia="Times New Roman" w:hAnsi="Times New Roman"/>
          <w:sz w:val="20"/>
          <w:szCs w:val="20"/>
          <w:color w:val="auto"/>
        </w:rPr>
        <w:t>3], or (b) the date on which a Change in Control occurs (or, in each case, if such date is not a trading day, the immediately preceding trading day).</w:t>
      </w:r>
    </w:p>
    <w:p>
      <w:pPr>
        <w:spacing w:after="0" w:line="155" w:lineRule="exact"/>
        <w:rPr>
          <w:sz w:val="20"/>
          <w:szCs w:val="20"/>
          <w:color w:val="auto"/>
        </w:rPr>
      </w:pPr>
    </w:p>
    <w:p>
      <w:pPr>
        <w:jc w:val="both"/>
        <w:ind w:firstLine="1505"/>
        <w:spacing w:after="0" w:line="250"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Peer Companies</w:t>
      </w:r>
      <w:r>
        <w:rPr>
          <w:rFonts w:ascii="Times New Roman" w:cs="Times New Roman" w:eastAsia="Times New Roman" w:hAnsi="Times New Roman"/>
          <w:sz w:val="20"/>
          <w:szCs w:val="20"/>
          <w:color w:val="auto"/>
        </w:rPr>
        <w:t>” means those companies included in the Russell 3000 Index on the first day of the Performance Period (or if the first day of the Performance Period is not a trading day, the immediately preceding trading day) and which remain publicly-traded and listed on a national securities exchange through the last day of the Performance Period (or if the last day of the Performance Period is not a trading day, the immediately preceding trading day).</w:t>
      </w:r>
    </w:p>
    <w:p>
      <w:pPr>
        <w:spacing w:after="0" w:line="17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means the period beginning on June 1, [insert grant year] and ending on the Measurement</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189"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Permanent Disability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that you are unable to perform your duties by reason of any medically determined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physical or mental impairment which can be expected to result in death or which has lasted or is expected to last for a continuous period of at least twelve (12) months, as reasonably determined by the Committee, in its discretion.</w:t>
      </w:r>
    </w:p>
    <w:p>
      <w:pPr>
        <w:spacing w:after="0" w:line="168"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Relative TSR Ranking</w:t>
      </w:r>
      <w:r>
        <w:rPr>
          <w:rFonts w:ascii="Times New Roman" w:cs="Times New Roman" w:eastAsia="Times New Roman" w:hAnsi="Times New Roman"/>
          <w:sz w:val="20"/>
          <w:szCs w:val="20"/>
          <w:color w:val="auto"/>
        </w:rPr>
        <w:t>” means the Company’s TSR relative to the TSRs of the Peer Companies. The Company’s Relative TSR Ranking will be determined by ranking the Company and the Peer Companies from highest to lowest according to their respective TSRs. After this ranking, the percentile performance of the Company relative to the Peer Companies will be determined as follows: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P = 1 – ((R-1)/(N-1))</w:t>
      </w:r>
    </w:p>
    <w:p>
      <w:pPr>
        <w:spacing w:after="0" w:line="216" w:lineRule="exact"/>
        <w:rPr>
          <w:sz w:val="20"/>
          <w:szCs w:val="20"/>
          <w:color w:val="auto"/>
        </w:rPr>
      </w:pPr>
    </w:p>
    <w:p>
      <w:pPr>
        <w:ind w:left="760" w:right="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Where:</w:t>
        <w:tab/>
        <w:t>“P” represents the Company’s percentile performance, which will be rounded, if necessary, to the nearest whole percentile by application of regular rounding.</w:t>
      </w:r>
    </w:p>
    <w:p>
      <w:pPr>
        <w:spacing w:after="0" w:line="15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 represents the number of Peer Companies.</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“R” represents the Company’s ranking among the Peer Companies.</w:t>
      </w:r>
    </w:p>
    <w:p>
      <w:pPr>
        <w:spacing w:after="0" w:line="212" w:lineRule="exact"/>
        <w:rPr>
          <w:sz w:val="20"/>
          <w:szCs w:val="20"/>
          <w:color w:val="auto"/>
        </w:rPr>
      </w:pPr>
    </w:p>
    <w:p>
      <w:pPr>
        <w:jc w:val="both"/>
        <w:ind w:firstLine="1505"/>
        <w:spacing w:after="0" w:line="246" w:lineRule="auto"/>
        <w:tabs>
          <w:tab w:leader="none" w:pos="203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means, with respect to the Performance Period, the total value delivered to stockholders of the Company (or of a Peer Company, as applicable), as measured by the change in the price of the Common Stock of the Company (or common stock of a Peer Company, as applicable) over the Performance Period (positive or negative) from the Beginning Market Value for the Performance Period to the Ending Market Value for such Performance Period, plus dividends paid over the Performance Period assuming dividends are reinvested based on the price of the Common Stock of the Company (or common stock of a Peer Company, as applicable) on the last trading day of the month during which the ex-dividend date occurs.</w:t>
      </w:r>
    </w:p>
    <w:p>
      <w:pPr>
        <w:spacing w:after="0" w:line="178"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TSR Performance Multiplier</w:t>
      </w:r>
      <w:r>
        <w:rPr>
          <w:rFonts w:ascii="Times New Roman" w:cs="Times New Roman" w:eastAsia="Times New Roman" w:hAnsi="Times New Roman"/>
          <w:sz w:val="20"/>
          <w:szCs w:val="20"/>
          <w:color w:val="auto"/>
        </w:rPr>
        <w:t>” means, for the Performance Period, the performance multiplier determined pursuant to the chart below based on the Company’s Relative TSR Ranking. If the Company achieves a Relative TSR Ranking that falls between the foregoing levels, the Performance Multiplier will be determined by linear interpolation between the applicable levels.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462"/>
        </w:trPr>
        <w:tc>
          <w:tcPr>
            <w:tcW w:w="220" w:type="dxa"/>
            <w:vAlign w:val="bottom"/>
            <w:tcBorders>
              <w:right w:val="single" w:sz="8" w:color="auto"/>
            </w:tcBorders>
          </w:tcPr>
          <w:p>
            <w:pPr>
              <w:spacing w:after="0"/>
              <w:rPr>
                <w:sz w:val="24"/>
                <w:szCs w:val="24"/>
                <w:color w:val="auto"/>
              </w:rPr>
            </w:pPr>
          </w:p>
        </w:tc>
        <w:tc>
          <w:tcPr>
            <w:tcW w:w="6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Relative TSR Ranking Relative to the Russell 3000 for the Performance</w:t>
            </w:r>
          </w:p>
        </w:tc>
        <w:tc>
          <w:tcPr>
            <w:tcW w:w="4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TSR Performance Multiplier</w:t>
            </w:r>
          </w:p>
        </w:tc>
        <w:tc>
          <w:tcPr>
            <w:tcW w:w="120" w:type="dxa"/>
            <w:vAlign w:val="bottom"/>
          </w:tcPr>
          <w:p>
            <w:pPr>
              <w:spacing w:after="0"/>
              <w:rPr>
                <w:sz w:val="24"/>
                <w:szCs w:val="24"/>
                <w:color w:val="auto"/>
              </w:rPr>
            </w:pPr>
          </w:p>
        </w:tc>
      </w:tr>
      <w:tr>
        <w:trPr>
          <w:trHeight w:val="262"/>
        </w:trPr>
        <w:tc>
          <w:tcPr>
            <w:tcW w:w="220" w:type="dxa"/>
            <w:vAlign w:val="bottom"/>
            <w:tcBorders>
              <w:right w:val="single" w:sz="8" w:color="auto"/>
            </w:tcBorders>
          </w:tcPr>
          <w:p>
            <w:pPr>
              <w:spacing w:after="0"/>
              <w:rPr>
                <w:sz w:val="22"/>
                <w:szCs w:val="22"/>
                <w:color w:val="auto"/>
              </w:rPr>
            </w:pPr>
          </w:p>
        </w:tc>
        <w:tc>
          <w:tcPr>
            <w:tcW w:w="6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43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54"/>
        </w:trPr>
        <w:tc>
          <w:tcPr>
            <w:tcW w:w="220" w:type="dxa"/>
            <w:vAlign w:val="bottom"/>
            <w:tcBorders>
              <w:right w:val="single" w:sz="8" w:color="auto"/>
            </w:tcBorders>
          </w:tcPr>
          <w:p>
            <w:pPr>
              <w:spacing w:after="0"/>
              <w:rPr>
                <w:sz w:val="22"/>
                <w:szCs w:val="22"/>
                <w:color w:val="auto"/>
              </w:rPr>
            </w:pPr>
          </w:p>
        </w:tc>
        <w:tc>
          <w:tcPr>
            <w:tcW w:w="6600" w:type="dxa"/>
            <w:vAlign w:val="bottom"/>
            <w:tcBorders>
              <w:bottom w:val="single" w:sz="8" w:color="auto"/>
              <w:right w:val="single" w:sz="8" w:color="auto"/>
            </w:tcBorders>
          </w:tcPr>
          <w:p>
            <w:pPr>
              <w:spacing w:after="0"/>
              <w:rPr>
                <w:sz w:val="22"/>
                <w:szCs w:val="22"/>
                <w:color w:val="auto"/>
              </w:rPr>
            </w:pPr>
          </w:p>
        </w:tc>
        <w:tc>
          <w:tcPr>
            <w:tcW w:w="4300" w:type="dxa"/>
            <w:vAlign w:val="bottom"/>
            <w:tcBorders>
              <w:bottom w:val="single" w:sz="8" w:color="auto"/>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33"/>
        </w:trPr>
        <w:tc>
          <w:tcPr>
            <w:tcW w:w="220" w:type="dxa"/>
            <w:vAlign w:val="bottom"/>
            <w:tcBorders>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0"/>
                <w:szCs w:val="20"/>
                <w:color w:val="auto"/>
                <w:w w:val="97"/>
              </w:rPr>
              <w:t>At or above the 90</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c>
          <w:tcPr>
            <w:tcW w:w="120" w:type="dxa"/>
            <w:vAlign w:val="bottom"/>
          </w:tcPr>
          <w:p>
            <w:pPr>
              <w:spacing w:after="0"/>
              <w:rPr>
                <w:sz w:val="20"/>
                <w:szCs w:val="20"/>
                <w:color w:val="auto"/>
              </w:rPr>
            </w:pPr>
          </w:p>
        </w:tc>
      </w:tr>
      <w:tr>
        <w:trPr>
          <w:trHeight w:val="250"/>
        </w:trPr>
        <w:tc>
          <w:tcPr>
            <w:tcW w:w="220" w:type="dxa"/>
            <w:vAlign w:val="bottom"/>
            <w:tcBorders>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0"/>
                <w:szCs w:val="20"/>
                <w:color w:val="auto"/>
                <w:w w:val="97"/>
              </w:rPr>
              <w:t>At the 50</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20" w:type="dxa"/>
            <w:vAlign w:val="bottom"/>
          </w:tcPr>
          <w:p>
            <w:pPr>
              <w:spacing w:after="0"/>
              <w:rPr>
                <w:sz w:val="21"/>
                <w:szCs w:val="21"/>
                <w:color w:val="auto"/>
              </w:rPr>
            </w:pPr>
          </w:p>
        </w:tc>
      </w:tr>
      <w:tr>
        <w:trPr>
          <w:trHeight w:val="250"/>
        </w:trPr>
        <w:tc>
          <w:tcPr>
            <w:tcW w:w="220" w:type="dxa"/>
            <w:vAlign w:val="bottom"/>
            <w:tcBorders>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0"/>
                <w:szCs w:val="20"/>
                <w:color w:val="auto"/>
                <w:w w:val="97"/>
              </w:rPr>
              <w:t>At or Below the 25</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20" w:type="dxa"/>
            <w:vAlign w:val="bottom"/>
          </w:tcPr>
          <w:p>
            <w:pPr>
              <w:spacing w:after="0"/>
              <w:rPr>
                <w:sz w:val="21"/>
                <w:szCs w:val="21"/>
                <w:color w:val="auto"/>
              </w:rPr>
            </w:pPr>
          </w:p>
        </w:tc>
      </w:tr>
      <w:tr>
        <w:trPr>
          <w:trHeight w:val="539"/>
        </w:trPr>
        <w:tc>
          <w:tcPr>
            <w:tcW w:w="220" w:type="dxa"/>
            <w:vAlign w:val="bottom"/>
          </w:tcPr>
          <w:p>
            <w:pPr>
              <w:spacing w:after="0"/>
              <w:rPr>
                <w:sz w:val="24"/>
                <w:szCs w:val="24"/>
                <w:color w:val="auto"/>
              </w:rPr>
            </w:pPr>
          </w:p>
        </w:tc>
        <w:tc>
          <w:tcPr>
            <w:tcW w:w="660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rPr>
              <w:t>8</w:t>
            </w: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7"/>
        </w:trPr>
        <w:tc>
          <w:tcPr>
            <w:tcW w:w="2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9" w:name="page70"/>
    <w:bookmarkEnd w:id="69"/>
    <w:p>
      <w:pPr>
        <w:ind w:left="10200"/>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w:t>
      </w:r>
      <w:r>
        <w:rPr>
          <w:rFonts w:ascii="Arial" w:cs="Arial" w:eastAsia="Arial" w:hAnsi="Arial"/>
          <w:sz w:val="14"/>
          <w:szCs w:val="14"/>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0" w:name="page71"/>
    <w:bookmarkEnd w:id="70"/>
    <w:p>
      <w:pPr>
        <w:ind w:left="10200"/>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spacing w:after="0" w:line="1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Shawn Duffy</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1" w:name="page72"/>
    <w:bookmarkEnd w:id="71"/>
    <w:p>
      <w:pPr>
        <w:ind w:left="10200"/>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ind w:left="1020" w:right="80" w:hanging="503"/>
        <w:spacing w:after="0" w:line="25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ind w:left="1020" w:right="80" w:hanging="503"/>
        <w:spacing w:after="0" w:line="25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Shawn Duffy</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2"/>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lvl w:ilvl="1">
      <w:lvlJc w:val="left"/>
      <w:lvlText w:val="(%2)"/>
      <w:numFmt w:val="lowerLetter"/>
      <w:start w:val="1"/>
    </w:lvl>
  </w:abstractNum>
  <w:abstractNum w:abstractNumId="15">
    <w:nsid w:val="8138641"/>
    <w:multiLevelType w:val="hybridMultilevel"/>
    <w:lvl w:ilvl="0">
      <w:lvlJc w:val="left"/>
      <w:lvlText w:val="%1"/>
      <w:numFmt w:val="decimal"/>
      <w:start w:val="1"/>
    </w:lvl>
    <w:lvl w:ilvl="1">
      <w:lvlJc w:val="left"/>
      <w:lvlText w:val="(%2)"/>
      <w:numFmt w:val="lowerLetter"/>
      <w:start w:val="3"/>
    </w:lvl>
  </w:abstractNum>
  <w:abstractNum w:abstractNumId="16">
    <w:nsid w:val="1E7FF521"/>
    <w:multiLevelType w:val="hybridMultilevel"/>
    <w:lvl w:ilvl="0">
      <w:lvlJc w:val="left"/>
      <w:lvlText w:val="%1."/>
      <w:numFmt w:val="decimal"/>
      <w:start w:val="7"/>
    </w:lvl>
    <w:lvl w:ilvl="1">
      <w:lvlJc w:val="left"/>
      <w:lvlText w:val="(%2)"/>
      <w:numFmt w:val="lowerLetter"/>
      <w:start w:val="1"/>
    </w:lvl>
  </w:abstractNum>
  <w:abstractNum w:abstractNumId="17">
    <w:nsid w:val="7C3DBD3D"/>
    <w:multiLevelType w:val="hybridMultilevel"/>
    <w:lvl w:ilvl="0">
      <w:lvlJc w:val="left"/>
      <w:lvlText w:val="%1."/>
      <w:numFmt w:val="decimal"/>
      <w:start w:val="12"/>
    </w:lvl>
  </w:abstractNum>
  <w:abstractNum w:abstractNumId="18">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
    <w:nsid w:val="6CEAF08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0">
    <w:nsid w:val="22221A70"/>
    <w:multiLevelType w:val="hybridMultilevel"/>
    <w:lvl w:ilvl="0">
      <w:lvlJc w:val="left"/>
      <w:lvlText w:val="%1."/>
      <w:numFmt w:val="decimal"/>
      <w:start w:val="3"/>
    </w:lvl>
  </w:abstractNum>
  <w:abstractNum w:abstractNumId="21">
    <w:nsid w:val="4516DDE9"/>
    <w:multiLevelType w:val="hybridMultilevel"/>
    <w:lvl w:ilvl="0">
      <w:lvlJc w:val="left"/>
      <w:lvlText w:val="%1."/>
      <w:numFmt w:val="decimal"/>
      <w:start w:val="4"/>
    </w:lvl>
    <w:lvl w:ilvl="1">
      <w:lvlJc w:val="left"/>
      <w:lvlText w:val="(%2)"/>
      <w:numFmt w:val="lowerLetter"/>
      <w:start w:val="1"/>
    </w:lvl>
  </w:abstractNum>
  <w:abstractNum w:abstractNumId="22">
    <w:nsid w:val="3006C83E"/>
    <w:multiLevelType w:val="hybridMultilevel"/>
    <w:lvl w:ilvl="0">
      <w:lvlJc w:val="left"/>
      <w:lvlText w:val="(%1)"/>
      <w:numFmt w:val="lowerLetter"/>
      <w:start w:val="3"/>
    </w:lvl>
    <w:lvl w:ilvl="1">
      <w:lvlJc w:val="left"/>
      <w:lvlText w:val="(%2)"/>
      <w:numFmt w:val="lowerRoman"/>
      <w:start w:val="1"/>
    </w:lvl>
  </w:abstractNum>
  <w:abstractNum w:abstractNumId="23">
    <w:nsid w:val="614FD4A1"/>
    <w:multiLevelType w:val="hybridMultilevel"/>
    <w:lvl w:ilvl="0">
      <w:lvlJc w:val="left"/>
      <w:lvlText w:val="(%1)"/>
      <w:numFmt w:val="lowerRoman"/>
      <w:start w:val="3"/>
    </w:lvl>
    <w:lvl w:ilvl="1">
      <w:lvlJc w:val="left"/>
      <w:lvlText w:val="(%2)"/>
      <w:numFmt w:val="upperLetter"/>
      <w:start w:val="1"/>
    </w:lvl>
  </w:abstractNum>
  <w:abstractNum w:abstractNumId="24">
    <w:nsid w:val="419AC241"/>
    <w:multiLevelType w:val="hybridMultilevel"/>
    <w:lvl w:ilvl="0">
      <w:lvlJc w:val="left"/>
      <w:lvlText w:val="(%1)"/>
      <w:numFmt w:val="lowerLetter"/>
      <w:start w:val="5"/>
    </w:lvl>
  </w:abstractNum>
  <w:abstractNum w:abstractNumId="25">
    <w:nsid w:val="5577F8E1"/>
    <w:multiLevelType w:val="hybridMultilevel"/>
    <w:lvl w:ilvl="0">
      <w:lvlJc w:val="left"/>
      <w:lvlText w:val="(%1)"/>
      <w:numFmt w:val="lowerLetter"/>
      <w:start w:val="7"/>
    </w:lvl>
  </w:abstractNum>
  <w:abstractNum w:abstractNumId="26">
    <w:nsid w:val="440BADFC"/>
    <w:multiLevelType w:val="hybridMultilevel"/>
    <w:lvl w:ilvl="0">
      <w:lvlJc w:val="left"/>
      <w:lvlText w:val="(%1)"/>
      <w:numFmt w:val="lowerLetter"/>
      <w:start w:val="10"/>
    </w:lvl>
  </w:abstractNum>
  <w:abstractNum w:abstractNumId="27">
    <w:nsid w:val="5072367"/>
    <w:multiLevelType w:val="hybridMultilevel"/>
    <w:lvl w:ilvl="0">
      <w:lvlJc w:val="left"/>
      <w:lvlText w:val="%1."/>
      <w:numFmt w:val="decimal"/>
      <w:start w:val="1"/>
    </w:lvl>
    <w:lvl w:ilvl="1">
      <w:lvlJc w:val="left"/>
      <w:lvlText w:val="(%2)"/>
      <w:numFmt w:val="lowerLetter"/>
      <w:start w:val="1"/>
    </w:lvl>
  </w:abstractNum>
  <w:abstractNum w:abstractNumId="28">
    <w:nsid w:val="3804823E"/>
    <w:multiLevelType w:val="hybridMultilevel"/>
    <w:lvl w:ilvl="0">
      <w:lvlJc w:val="left"/>
      <w:lvlText w:val="%1"/>
      <w:numFmt w:val="decimal"/>
      <w:start w:val="1"/>
    </w:lvl>
    <w:lvl w:ilvl="1">
      <w:lvlJc w:val="left"/>
      <w:lvlText w:val="(%2)"/>
      <w:numFmt w:val="lowerLetter"/>
      <w:start w:val="3"/>
    </w:lvl>
  </w:abstractNum>
  <w:abstractNum w:abstractNumId="29">
    <w:nsid w:val="77465F01"/>
    <w:multiLevelType w:val="hybridMultilevel"/>
    <w:lvl w:ilvl="0">
      <w:lvlJc w:val="left"/>
      <w:lvlText w:val="%1."/>
      <w:numFmt w:val="decimal"/>
      <w:start w:val="7"/>
    </w:lvl>
    <w:lvl w:ilvl="1">
      <w:lvlJc w:val="left"/>
      <w:lvlText w:val="(%2)"/>
      <w:numFmt w:val="lowerLetter"/>
      <w:start w:val="1"/>
    </w:lvl>
  </w:abstractNum>
  <w:abstractNum w:abstractNumId="30">
    <w:nsid w:val="7724C67E"/>
    <w:multiLevelType w:val="hybridMultilevel"/>
    <w:lvl w:ilvl="0">
      <w:lvlJc w:val="left"/>
      <w:lvlText w:val="%1."/>
      <w:numFmt w:val="decimal"/>
      <w:start w:val="12"/>
    </w:lvl>
  </w:abstractNum>
  <w:abstractNum w:abstractNumId="31">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32">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33">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lvl w:ilvl="4">
      <w:lvlJc w:val="left"/>
      <w:lvlText w:val="(%5)"/>
      <w:numFmt w:val="lowerLetter"/>
      <w:start w:val="9"/>
    </w:lvl>
  </w:abstractNum>
  <w:abstractNum w:abstractNumId="34">
    <w:nsid w:val="51EAD36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5">
    <w:nsid w:val="2D517796"/>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6">
    <w:nsid w:val="580BD78F"/>
    <w:multiLevelType w:val="hybridMultilevel"/>
    <w:lvl w:ilvl="0">
      <w:lvlJc w:val="left"/>
      <w:lvlText w:val="(%1)"/>
      <w:numFmt w:val="lowerRoman"/>
      <w:start w:val="1"/>
    </w:lvl>
    <w:lvl w:ilvl="1">
      <w:lvlJc w:val="left"/>
      <w:lvlText w:val="(%2)"/>
      <w:numFmt w:val="upperLetter"/>
      <w:start w:val="1"/>
    </w:lvl>
  </w:abstractNum>
  <w:abstractNum w:abstractNumId="37">
    <w:nsid w:val="153EA438"/>
    <w:multiLevelType w:val="hybridMultilevel"/>
    <w:lvl w:ilvl="0">
      <w:lvlJc w:val="left"/>
      <w:lvlText w:val="(%1)"/>
      <w:numFmt w:val="lowerLetter"/>
      <w:start w:val="4"/>
    </w:lvl>
  </w:abstractNum>
  <w:abstractNum w:abstractNumId="38">
    <w:nsid w:val="3855585C"/>
    <w:multiLevelType w:val="hybridMultilevel"/>
    <w:lvl w:ilvl="0">
      <w:lvlJc w:val="left"/>
      <w:lvlText w:val="(%1)"/>
      <w:numFmt w:val="lowerLetter"/>
      <w:start w:val="6"/>
    </w:lvl>
  </w:abstractNum>
  <w:abstractNum w:abstractNumId="39">
    <w:nsid w:val="70A64E2A"/>
    <w:multiLevelType w:val="hybridMultilevel"/>
    <w:lvl w:ilvl="0">
      <w:lvlJc w:val="left"/>
      <w:lvlText w:val="(%1)"/>
      <w:numFmt w:val="lowerLetter"/>
      <w:start w:val="10"/>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2024-08-09T13:52:37Z</dcterms:created>
  <dcterms:modified xsi:type="dcterms:W3CDTF">2024-08-09T13:52:37Z</dcterms:modified>
</cp:coreProperties>
</file>