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 w:lineRule="exact"/>
        <w:rPr>
          <w:sz w:val="24"/>
          <w:szCs w:val="24"/>
          <w:color w:val="auto"/>
        </w:rPr>
      </w:pPr>
    </w:p>
    <w:p>
      <w:pPr>
        <w:ind w:left="460" w:right="460" w:hanging="452"/>
        <w:spacing w:after="0" w:line="245"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2016.</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900"/>
        <w:spacing w:after="0"/>
        <w:tabs>
          <w:tab w:leader="none" w:pos="6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ViaSat,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84"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33-0174996</w:t>
      </w:r>
    </w:p>
    <w:p>
      <w:pPr>
        <w:spacing w:after="0" w:line="37"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9" w:lineRule="exact"/>
        <w:rPr>
          <w:sz w:val="24"/>
          <w:szCs w:val="24"/>
          <w:color w:val="auto"/>
        </w:rPr>
      </w:pPr>
    </w:p>
    <w:p>
      <w:pPr>
        <w:sectPr>
          <w:pgSz w:w="11900" w:h="16838" w:orient="portrait"/>
          <w:cols w:equalWidth="0" w:num="2">
            <w:col w:w="7400" w:space="720"/>
            <w:col w:w="3300"/>
          </w:cols>
          <w:pgMar w:left="240" w:top="226"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6155 El Camino Real</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Carlsbad, California 92009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476-2200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336"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type w:val="continuous"/>
        </w:sectPr>
      </w:pP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26" w:right="23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2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$0.0001 par value, as of January 27, 2017 was 57,589,030.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gridSpan w:val="10"/>
            <w:vMerge w:val="restart"/>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PART I. FINANCIAL INFORMATION</w:t>
              </w:r>
            </w:hyperlink>
          </w:p>
        </w:tc>
        <w:tc>
          <w:tcPr>
            <w:tcW w:w="8040" w:type="dxa"/>
            <w:vAlign w:val="bottom"/>
            <w:gridSpan w:val="9"/>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Income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5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50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Notes to the Condensed Consolidated Financial Statements</w:t>
              </w:r>
            </w:hyperlink>
          </w:p>
        </w:tc>
        <w:tc>
          <w:tcPr>
            <w:tcW w:w="64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4.</w:t>
              </w:r>
            </w:hyperlink>
          </w:p>
        </w:tc>
        <w:tc>
          <w:tcPr>
            <w:tcW w:w="176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Controls and Procedures</w:t>
              </w:r>
            </w:hyperlink>
          </w:p>
        </w:tc>
        <w:tc>
          <w:tcPr>
            <w:tcW w:w="87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Times New Roman" w:cs="Times New Roman" w:eastAsia="Times New Roman" w:hAnsi="Times New Roman"/>
                <w:sz w:val="18"/>
                <w:szCs w:val="18"/>
                <w:b w:val="1"/>
                <w:bCs w:val="1"/>
                <w:color w:val="0000EE"/>
              </w:rPr>
            </w:pPr>
            <w:hyperlink w:anchor="page50">
              <w:r>
                <w:rPr>
                  <w:rFonts w:ascii="Times New Roman" w:cs="Times New Roman" w:eastAsia="Times New Roman" w:hAnsi="Times New Roman"/>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Item 1A. Risk Factors</w:t>
              </w:r>
            </w:hyperlink>
          </w:p>
        </w:tc>
        <w:tc>
          <w:tcPr>
            <w:tcW w:w="94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2.</w:t>
              </w:r>
            </w:hyperlink>
          </w:p>
        </w:tc>
        <w:tc>
          <w:tcPr>
            <w:tcW w:w="428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Unregistered Sales of Equity Securities and Use of Proceeds</w:t>
              </w:r>
            </w:hyperlink>
          </w:p>
        </w:tc>
        <w:tc>
          <w:tcPr>
            <w:tcW w:w="62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Item 6.</w:t>
              </w:r>
            </w:hyperlink>
          </w:p>
        </w:tc>
        <w:tc>
          <w:tcPr>
            <w:tcW w:w="6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Exhibits</w:t>
              </w:r>
            </w:hyperlink>
          </w:p>
        </w:tc>
        <w:tc>
          <w:tcPr>
            <w:tcW w:w="99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Signatures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284,943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254,759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158,460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751,724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Satellites, net</w:t>
            </w:r>
          </w:p>
        </w:tc>
        <w:tc>
          <w:tcPr>
            <w:tcW w:w="24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1,041,162</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545,675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44,552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119,625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2,883,080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79,485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199,070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278,555</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575,368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271,776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40,739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1,166,438</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ViaSat, Inc. stockholders’ equity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1,422,575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290,821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ViaSat, Inc. stockholders’ equity</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1,710,936</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5,706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1,716,642</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2,883,080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7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6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20" w:type="dxa"/>
            <w:vAlign w:val="bottom"/>
            <w:gridSpan w:val="5"/>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thousands, except per share data)</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169,574</w:t>
            </w:r>
          </w:p>
        </w:tc>
        <w:tc>
          <w:tcPr>
            <w:tcW w:w="6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156,290</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517,485</w:t>
            </w:r>
          </w:p>
        </w:tc>
        <w:tc>
          <w:tcPr>
            <w:tcW w:w="7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211,056</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625,433</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557,169</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380,630</w:t>
            </w:r>
          </w:p>
        </w:tc>
        <w:tc>
          <w:tcPr>
            <w:tcW w:w="6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347,759</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1,142,918</w:t>
            </w: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product revenues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124,579</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382,084</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130,967</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392,790</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80,282</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34,436</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89,790</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(2,362)</w:t>
            </w:r>
          </w:p>
        </w:tc>
        <w:tc>
          <w:tcPr>
            <w:tcW w:w="34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(6,063)</w:t>
            </w:r>
          </w:p>
        </w:tc>
        <w:tc>
          <w:tcPr>
            <w:tcW w:w="240" w:type="dxa"/>
            <w:vAlign w:val="bottom"/>
          </w:tcPr>
          <w:p>
            <w:pPr>
              <w:spacing w:after="0"/>
              <w:rPr>
                <w:sz w:val="19"/>
                <w:szCs w:val="19"/>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(11,804)</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6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w:t>
            </w:r>
          </w:p>
        </w:tc>
        <w:tc>
          <w:tcPr>
            <w:tcW w:w="7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(5,105)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6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7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Less: net income attributable to the noncontrolling interest,</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ViaSat, Inc.</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ViaSat, Inc.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stockholders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6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7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Diluted net income per share attributable to ViaSat, Inc.</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stockholders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basic net income per share</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diluted net income per share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51,647</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49,230</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Unrealized (loss) gain on hedging, net of tax</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(1,331)</w:t>
            </w:r>
          </w:p>
        </w:tc>
        <w:tc>
          <w:tcPr>
            <w:tcW w:w="3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(2,270)</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(1,455)</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(2,473)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6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comprehensive income attributable to the</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 net of tax</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ViaSat, Inc.</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6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jc w:val="center"/>
              <w:ind w:left="413"/>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17,518</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150,881</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32,517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3,083</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39,923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26,995</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7,077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Increase (decrease) in cash resulting from changes in operating assets and liabilities, net of effects of</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26,673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(9,752)</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(11,123)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(7,827)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34,219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2,495</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312,679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property, equipment and satellites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(390,223)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patents, licenses and other assets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(56,013)</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related to acquisition of businesses, net of cash acquired</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(16,528)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(463,413)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revolving credit facility borrowings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of revolving credit facility borrowings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(270,000)</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Ex-Im credit facility borrowings, net of discount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77,469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(6,677)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 under equity plans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22,403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Purchase of common stock in treasury (immediately retired) related to tax withholdings for stock-</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based compensation</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(21,150)</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common stock issued in public offering, net of issuance costs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503,061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(1,146)</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393,960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242,855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42,088</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284,943</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63,864</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9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 in satisfaction of certain accrued employee compensation liabilities</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13,080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not paid for</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10,918</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Exposure fees on Ex-Im credit facility expected to be financed through Ex-Im credit facility</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8,505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4,988</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ViaSat, Inc.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300" w:type="dxa"/>
            <w:vAlign w:val="bottom"/>
            <w:tcBorders>
              <w:bottom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3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4180" w:type="dxa"/>
            <w:vAlign w:val="bottom"/>
          </w:tcPr>
          <w:p>
            <w:pPr>
              <w:spacing w:after="0"/>
              <w:rPr>
                <w:sz w:val="10"/>
                <w:szCs w:val="10"/>
                <w:color w:val="auto"/>
              </w:rPr>
            </w:pPr>
          </w:p>
        </w:tc>
        <w:tc>
          <w:tcPr>
            <w:tcW w:w="1140" w:type="dxa"/>
            <w:vAlign w:val="bottom"/>
            <w:gridSpan w:val="3"/>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1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1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18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7"/>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48,926,417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855,387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$273,704</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5,321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$1,134,424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273,050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w:t>
            </w:r>
          </w:p>
        </w:tc>
        <w:tc>
          <w:tcPr>
            <w:tcW w:w="3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188,938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10,286</w:t>
            </w:r>
          </w:p>
        </w:tc>
      </w:tr>
      <w:tr>
        <w:trPr>
          <w:trHeight w:val="202"/>
        </w:trPr>
        <w:tc>
          <w:tcPr>
            <w:tcW w:w="4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issued in public offering, net of issuance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7,475,000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503,060</w:t>
            </w:r>
          </w:p>
        </w:tc>
        <w:tc>
          <w:tcPr>
            <w:tcW w:w="30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503,061</w:t>
            </w:r>
          </w:p>
        </w:tc>
      </w:tr>
      <w:tr>
        <w:trPr>
          <w:trHeight w:val="21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44,807</w:t>
            </w:r>
          </w:p>
        </w:tc>
      </w:tr>
      <w:tr>
        <w:trPr>
          <w:trHeight w:val="202"/>
        </w:trPr>
        <w:tc>
          <w:tcPr>
            <w:tcW w:w="4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Shares issued in settlement of certain accrued employee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liabilities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30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13,080</w:t>
            </w:r>
          </w:p>
        </w:tc>
      </w:tr>
      <w:tr>
        <w:trPr>
          <w:trHeight w:val="204"/>
        </w:trPr>
        <w:tc>
          <w:tcPr>
            <w:tcW w:w="4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RSU awards vesting, net of shares withheld for taxes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which have been retired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487,006</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(21,150)</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(21,150)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connection with acquisition of business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3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noncontrolling interest activity</w:t>
            </w: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17,117</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401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17,518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(2,473)</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57,589,030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1,422,575</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290,821</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1,716,642</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9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balance sheet at December 31, 2016, the condensed consolidated statements of operations and comprehensive income for the three and nine months ended December 31, 2016 and 2015, the condensed consolidated statements of cash flows for the nine months ended December 31, 2016 and 2015 and the condensed consolidated statement of equity for the nine months ended December 31, 2016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2016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2016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2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year 2016, the Company completed the acquisition of Engreen Inc. (Engreen), a privately held company focused on network function virtualization. The Engreen purchase price of approximately $5.3 million was primarily allocated to acquired technology intangible assets and the assumption of certain liabilities. This acquisition was accounted for as a purchase and, accordingly, the condensed consolidated financial statements include the operating results of Engreen from the date of acquisition.</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November 14, 2016, the Company completed the acquisition of Aerodocs Limited (Arconics), a privately held company focused on wireless in-flight entertainment management software services. The Arconics purchase price of approximately $21.6 million was comprised of approximately $16.6 million in cash consideration paid to former Arconics equity holders and $5.0 million related to the fair value of 61,888 shares of the Company’s common stock issued at the closing. The approximately $16.6 million in cash consideration paid to former Arconics equity holders less cash acquired of $0.6 million resulted in a net cash outlay by the Company of approximately $16.0 million. The Arconics purchase price was primarily allocated to acquired technology and customer relationships intangible assets, and goodwill. Through this acquisition the Company gained broader expertise, aviation-grade software and mobile applications to make flying safer and more efficient for pilots, cabin crews and flight operations teams, as well as applications that are expected to create new opportunities for passenger entertainment and airline services and revenue. This acquisition was accounted for as a purchase and, accordingly, the condensed consolidated financial statements include the operating results of Arconics in our satellite services segment from the date of acquisition.</w:t>
      </w:r>
    </w:p>
    <w:p>
      <w:pPr>
        <w:spacing w:after="0" w:line="143"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On November 23, 2016, the Company completed the sale of an aggregate of 7,475,000 shares of ViaSat common stock in an underwritten public offering. The Company’s net proceeds from the offering were approximately $503.1 million after deducting underwriting discounts and offering expenses. In November 2016, the Company used $225.0 million of the net proceeds from the offering to repay outstanding borrowings under the Company’s revolving credit facility (the Revolving Credit Facility). The Company expects to use the remaining net proceeds for general corporate purposes, which may include financing costs related to the purchase, launch and operation of satellites, potential acquisitions, joint ventures and strategic alliances, working capital or capital expenditures.</w:t>
      </w:r>
    </w:p>
    <w:p>
      <w:pPr>
        <w:spacing w:after="0" w:line="108"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December 31, 2016 and 2015, the Company recorded losses of approximately $0.8 million and $0.4 million, respectively, related to loss contracts. During the nine months ended December 31, 2016 and 2015, the Company recorded losses of approximately $2.8 million and $2.1 million, respectively, related to loss contracts.</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3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15"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331"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3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2016. As of December 31, 2016,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2016 and March 31, 2016, the Company had $1.7 million and $2.5 million, respectively, in contract-related reserves for its estimate of potential refunds to customers for potential cost adjustments on several multi-year U.S. government cost reimbursable contracts (see Note 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December 31, 2016 and 2015 were $1.9 million and $3.1 million, respectively, and for the nine months ended December 31, 2016 and 2015 were $3.5 million and $9.7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94" w:lineRule="exact"/>
        <w:rPr>
          <w:sz w:val="20"/>
          <w:szCs w:val="20"/>
          <w:color w:val="auto"/>
        </w:rPr>
      </w:pPr>
    </w:p>
    <w:p>
      <w:pPr>
        <w:ind w:right="920" w:firstLine="456"/>
        <w:spacing w:after="0" w:line="275" w:lineRule="auto"/>
        <w:rPr>
          <w:sz w:val="20"/>
          <w:szCs w:val="20"/>
          <w:color w:val="auto"/>
        </w:rPr>
      </w:pPr>
      <w:r>
        <w:rPr>
          <w:rFonts w:ascii="Times New Roman" w:cs="Times New Roman" w:eastAsia="Times New Roman" w:hAnsi="Times New Roman"/>
          <w:sz w:val="18"/>
          <w:szCs w:val="18"/>
          <w:color w:val="auto"/>
        </w:rPr>
        <w:t>The Company compensates third parties based on specific commission programs directly related to certain product and service sales, and these commissions costs are expensed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satellites</w:t>
      </w:r>
    </w:p>
    <w:p>
      <w:pPr>
        <w:spacing w:after="0" w:line="94"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4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Interest expense is capitalized on the carrying value of assets under construction, in accordance with the authoritative guidance for the capitalization of interest (ASC 835-20). With respect to assets under construction, including the ViaSat-2 satellite and related gateway and networking equipment (which commenced construction during the first quarter of fiscal year 2014), and the ViaSat-3 class satellites (which commenced construction during the fourth quarter of fiscal year 2016), the Company capitalized $13.4 million and $7.7 million of interest expense for the three months ended December 31, 2016 and 2015, respectively, and capitalized $35.2 million and $20.9 million of interest expense for the nine months ended December 31, 2016 and 2015, respectively.</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owns two satellites: ViaSat-1 (its first-generation high-capacity Ka-band spot-beam satellite, which was placed into service in January 2012) and WildBlue-1 (which was placed into service in March 2007). In addition, three additional satellites are under construction: the ViaSat-2 satellite (the Company’s second-generation high-capacity Ka-band satellite design) and two ViaSat-3 class satellites (the Company’s third-generation high-capacity Ka-band satellite design). The Company currently expects its ViaSat-2 satellite to be launched early in the first quarter of fiscal year 2018, and that the two ViaSat-3 class satellites will be launched in fiscal year 2020 or early fiscal year 2021.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w:t>
      </w:r>
    </w:p>
    <w:p>
      <w:pPr>
        <w:sectPr>
          <w:pgSz w:w="11900" w:h="16838" w:orient="portrait"/>
          <w:cols w:equalWidth="0" w:num="1">
            <w:col w:w="11420"/>
          </w:cols>
          <w:pgMar w:left="240" w:top="455" w:right="239"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December 31, 2016 were $268.7 million and $153.4 million, respectively. The total cost and accumulated depreciation of CPE units included in property and equipment, net, as of March 31, 2016 were $260.4 million and $136.4 million, respectively.</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orbital slots and other licenses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December 31, 2016 and March 31, 2016. The Company capitalized costs of $15.4 million related to acquiring and obtaining orbital slots and other licenses included in other assets as of December 31, 2016 and March 31, 2016. Accumulated amortization related to these assets was $2.0 million and $1.7 million as of December 31, 2016 and March 31, 2016, respectively. Amortization expense related to these assets was an insignificant amount for the three and nine months ended December 31, 2016 and 2015. If a patent, orbital slot or orbital license is rejected, abandoned or otherwise invalidated, the unamortized cost is expensed in that period. During the three and nine months ended December 31, 2016 and 2015, the Company did not write off any significant costs due to abandonment or impairment.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94"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December 31, 2016 and 2015, zero and an insignificant amount, respectively, of debt issuance costs were capitalized. During the nine months ended December 31, 2016 and 2015, $6.1 million and an insignificant amount, respectively, of debt issuance costs were capitalized. Unamortized debt issuance costs related to extinguished debt are expensed at the time the debt is extinguished and recorded in loss on extinguishment of debt in the condensed consolidated statements of operations and comprehensive income. Debt issuance costs related to the Revolving Credit Facility are recorded in prepaid expenses and other current assets and in other long-term assets in the condensed consolidated balance sheets in accordance with ASU 2015-15, Interest — Imputation of Interest (Subtopic 835-30): Presentation and Subsequent Measurement of Debt Issuance Costs Associated with Line-of-Credit Arrangements, which the Company adopted during the first quarter of fiscal year 2017. Debt issuance costs related to the Company’s 6.875% Senior Notes due 2020 (2020 Notes) and the Company’s direct loan facility with the Export-Import Bank of the United States for ViaSat-2 (the Ex-Im Credit Facility) are recorded as a direct deduction from the carrying amount of the related debt, consistent with debt discounts, in accordance with ASU 2015-03, Interest — Imputation of Interest (ASC 835-30): Simplifying the Presentation of Debt Issuance Costs, which the Company adopted during the first quarter of fiscal year 2017.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$196.6 million and $163.1 million related to software developed for resale were included in other assets as of December 31, 2016 and March 31, 2016, respectively. The Company capitalized $17.6 million and $58.3 million of costs related to software developed for resale for the three and nine months ended December 31, 2016, respectively. The Company capitalized $20.6 million and $54.1 million of costs related to software developed for resale for the three and nine months ended December 31, 2015, respectively. Amortization expense for capitalized software development costs was $8.4 million and $24.8 million for the three and nine months ended December 31, 2016, respectively, and $9.9 million and $23.8 million for the three and nine months ended December 31, 2015, respectively.</w:t>
      </w:r>
    </w:p>
    <w:p>
      <w:pPr>
        <w:spacing w:after="0" w:line="1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$3.9 million and $3.8 million in accrued liabilities in the condensed consolidated balance sheets as of December 31, 2016 and March 31, 2016,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provisions</w:t>
      </w:r>
    </w:p>
    <w:p>
      <w:pPr>
        <w:spacing w:after="0" w:line="94"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2016 and March 31, 2016, no such amounts were accrued related to the aforementioned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held in treasury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2016 and March 31, 2016, the Company had no shares of common stock held in treasury.</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the first nine months of fiscal years 2017 and 2016, the Company issued 773,290 and 689,693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withheld 286,284 and 257,789 shares of common stock at cost with a total value of $21.2 million and $16.1 million during the first nine months of fiscal years 2017 and 2016,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however they are considered to be unissued. The retirement of treasury stock had no impact on the Company’s total consolidated stockholders’ equity.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8"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During the three months ended December 31, 2016 and 2015, the Company settled certain foreign exchange contracts and in connection therewith recognized an insignificant loss and insignificant gain recorded in cost of revenues based on the nature of the underlying transactions, respectively. During the nine months ended December 31, 2016 and 2015, the Company settled certain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foreign exchange contracts and in connection therewith recognized an insignificant gain recorded in cost of revenues based on the nature of the underlying transactions. The fair value of the Company’s foreign currency forward contracts was an insignificant amount recorded as an accrued liability as of December 31, 2016 and as an other current asset as of March 31, 2016. The notional value of foreign currency forward contracts outstanding as of December 31, 2016 and March 31, 2016 was $3.0 million and $5.0 million, respectively.</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At December 31, 2016, the estimated net amount of unrealized gains or losses related to foreign currency forward contracts that was expected to be reclassified to earnings within the next twelve months was insignificant. The Company’s foreign currency forward contracts outstanding as of December 31, 2016 will mature within approximately 21 to 36 months from their inception. There were no gains or losses from ineffectiveness of these derivative instruments recorded for the three and nine months ended December 31, 2016 and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for the three and nine months ended December 31, 2016 and 2015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$14.5 million and $39.9 million of stock-based compensation expense for the three and nine months ended December 31, 2016, respectively. The Company recognized $12.0 million and $34.3 million of stock-based compensation expense for the three and nine months ended December 31, 2015, respectively.</w:t>
      </w:r>
    </w:p>
    <w:p>
      <w:pPr>
        <w:spacing w:after="0" w:line="138"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For the nine months ended December 31, 2016 and 2015,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4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For the three and nine months ended December 31, 2016, we used the actual effective year-to-date tax rate in calculating the income tax provision for the periods as a reliable estimate of the annual effective tax rate could not be made. The income tax provision for the periods differed from the amounts which would have been recorded using the U.S. statutory rate due primarily to the benefit of research and development tax credits.</w:t>
      </w:r>
    </w:p>
    <w:p>
      <w:pPr>
        <w:spacing w:after="0" w:line="139"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authoritative guidance</w:t>
      </w:r>
    </w:p>
    <w:p>
      <w:pPr>
        <w:spacing w:after="0" w:line="9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Topic 606, Revenue from Contracts with Customers, which provides for correction or improvement to the guidance previously issued in ASU 2014-09. These standards permit the use of either the retrospective or cumulative effect transition method. The Company has not selected a transition method and is currently evaluating the impact these standards will have on its consolidated financial statements and disclosures.</w:t>
      </w:r>
    </w:p>
    <w:p>
      <w:pPr>
        <w:spacing w:after="0" w:line="138"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August 2014, the FASB issued ASU 2014-15, Disclosure of Uncertainties about an Entity’s Ability to Continue as a Going Concern. ASU 2014-15 provides guidance regarding management’s responsibility to evaluate whether there is substantial doubt about an organization’s ability to continue as a going concern and to provide related footnote disclosures. The new standard requires management to perform interim and annual evaluations and sets forth principles for considering the mitigating effect of management’s plans. The standard mandates certain disclosures when conditions give rise to substantial doubt about a company’s ability to continue as a going concern within one year from the financial statement issuance date. This guidance is effective for the Company in fiscal year 2017, with early application permitted. The Company early adopted the guidance, which did not have a material impact on the Company’s consolidated financial statements and disclosures.</w:t>
      </w:r>
    </w:p>
    <w:p>
      <w:pPr>
        <w:spacing w:after="0" w:line="14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became effective for the Company beginning in the first quarter of fiscal year 2017 and the guidance did not have a material impact on the Company’s consolidated financial statements and disclosures.</w:t>
      </w:r>
    </w:p>
    <w:p>
      <w:pPr>
        <w:spacing w:after="0" w:line="136"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In April 2015, the FASB issued ASU 2015-03, which requires that debt issuance costs related to a recognized debt liability be presented in the balance sheet as a direct deduction from the carrying amount of that debt liability, consistent with debt discounts. In August 2015, the FASB issued ASU 2015-15 which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guidance became effective for the Company beginning in the first quarter of fiscal year 2017 and was applied on a retrospective basis, wherein the condensed consolidated balance sheet of each individual period presented was adjusted to reflect the period-specific effects of applying the new guidance. As a result, the Company reclassed unamortized debt issuance costs related to the Company’s 2020 Notes and the Ex-Im Credit Facility from prepaid expenses and other current assets and from other assets (long-term) to senior notes, net, and other long-term debt, net, respectively, within its condensed consolidated balance sheets as of March 31, 2016. In accordance with ASU 2015-15, the Company has elected to continue to present debt issuance costs related to the Revolving Credit Facility as an asset and subsequently amortize the deferred debt issuance costs over the term of the Revolving Credit Facility arrangement.</w:t>
      </w:r>
    </w:p>
    <w:p>
      <w:pPr>
        <w:spacing w:after="0" w:line="14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April 2015, the FASB issued ASU 2015-05, Intangibles—Goodwill and Other—Internal-Use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This guidance became effective for the Company beginning in the first quarter of fiscal year 2017. The Company elected to adopt this guidance on a prospective basis and the adoption of this guidance did not have a material impact on the Company’s consolidated financial statements and disclosures.</w:t>
      </w:r>
    </w:p>
    <w:p>
      <w:pPr>
        <w:spacing w:after="0" w:line="14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in-scope inventory should be measured at the lower of cost and net realizable value. The new standard should be applied prospectively and will become effective for the Company in fiscal year 2018, with early adoption permitted. The Company is currently evaluating the impact of this standard on its consolidated financial statements and disclosures.</w:t>
      </w:r>
    </w:p>
    <w:p>
      <w:pPr>
        <w:spacing w:after="0" w:line="13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This guidance became effective for the Company beginning in the first quarter of fiscal year 2017. The Company adopted this guidance on a prospective basis and the guidance did not have a material impact on the Company’s consolidated financial statements and disclosures.</w:t>
      </w:r>
    </w:p>
    <w:p>
      <w:pPr>
        <w:sectPr>
          <w:pgSz w:w="11900" w:h="16838" w:orient="portrait"/>
          <w:cols w:equalWidth="0" w:num="1">
            <w:col w:w="11400"/>
          </w:cols>
          <w:pgMar w:left="240" w:top="455"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In November 2015, the FASB issued ASU 2015-17, Balance Sheet Classification of Deferred Income Taxes (ASU 2015-17), which requires entities to classify deferred tax liabilities and assets as non-current in a classified balance sheet. The new guidance can be applied either prospectively to all deferred tax liabilities and assets or retrospectively to all periods presented. ASU 2015-17 will become effective for the Company in fiscal year 2018, with early adoption permitted. During the fourth quarter of fiscal year 2016, the Company early adopted this standard retrospectively and reclassified all of its current deferred tax assets to non-current deferred tax assets on its consolidated balance sheets for all periods presented.</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(Subtopic 825-10). ASU 2016-01 requires that most equity investments (except those accounted for under the equity method for accounting or those that result in consolidation of the investee) be measured at fair value, with subsequent changes in fair value recognized in net income.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39" w:lineRule="exact"/>
        <w:rPr>
          <w:sz w:val="20"/>
          <w:szCs w:val="20"/>
          <w:color w:val="auto"/>
        </w:rPr>
      </w:pPr>
    </w:p>
    <w:p>
      <w:pPr>
        <w:ind w:right="56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2016-05, Derivatives and Hedging (Topic 815). ASU 2016-05 clarifies that a change in the counterparty to a derivative instrument, in and of itself, does not require dedesignation of a hedging relationship. The new guidance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3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2016-06, Derivatives and Hedging (Topic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ASU 2016-06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2016-07, Investment — Equity Method and Joint Ventures (Topic 323). ASU 2016-07 eliminates the requirement to apply the equity method of accounting retrospectively when a reporting entity obtains significant influence over a previously held investment. ASU 2016-07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3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ASU 2016-09 simplifies various aspects related to how share-based payments are accounted for and presented in the financial statements. The new guidance will become effective for the Company beginning in fiscal year 2018, with early adoption permitted. The Company is currently evaluating the impact of this standard on its consolidated financial statements and disclosures.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3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is currently evaluating the impact of this standard on its consolidated financial statements and disclosures.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2016-16, Income Taxes (Topic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adoption on a modified retrospective basis through cumulative-effect adjustment directly to retained earnings as of the beginning of the period. The Company is currently evaluating the impact of this standard on its consolidated financial statements and disclosures.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2016-17, Consolidation: Interests Held through Related Parties That Are Under Common Control (Topic 810). The amendments change how a reporting entity that is the single decision maker of a variable interest entity should treat indirect interests in the entity held through related parties that are under common control with the reporting entity when determining whether it is the primary beneficiary of that variable interest entity. The new standard will become effective for the Company beginning in fiscal year 2018, with early adoption permitted. The Company is currently evaluating the impact of this standard on its consolidated financial statements and disclosures.</w:t>
      </w:r>
    </w:p>
    <w:p>
      <w:pPr>
        <w:spacing w:after="0" w:line="139"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In November 2016, the FASB issued ASU 2016-18, Statement of Cash Flows: Restricted Cash (Topic 230). The amendments address diversity in practice that exists in the classification and presentation of changes in restricted cash and require that a statement of cash flows explain the change during the period in the total of cash, cash equivalents, and amounts generally described as restricted cash or restricted cash equivalents. The new standard will become effective for the Company beginning in fiscal year 2019, with early adoption permitted. During the third quarter of fiscal year 2017, the Company early adopted this standard on a retrospective basis. The guidance did not have a material impact on the Company’s consolidated financial statements and disclosures.</w:t>
      </w:r>
    </w:p>
    <w:p>
      <w:pPr>
        <w:spacing w:after="0" w:line="108" w:lineRule="exact"/>
        <w:rPr>
          <w:sz w:val="20"/>
          <w:szCs w:val="20"/>
          <w:color w:val="auto"/>
        </w:rPr>
      </w:pPr>
    </w:p>
    <w:p>
      <w:pPr>
        <w:jc w:val="both"/>
        <w:ind w:right="160" w:firstLine="456"/>
        <w:spacing w:after="0" w:line="287" w:lineRule="auto"/>
        <w:rPr>
          <w:sz w:val="20"/>
          <w:szCs w:val="20"/>
          <w:color w:val="auto"/>
        </w:rPr>
      </w:pPr>
      <w:r>
        <w:rPr>
          <w:rFonts w:ascii="Times New Roman" w:cs="Times New Roman" w:eastAsia="Times New Roman" w:hAnsi="Times New Roman"/>
          <w:sz w:val="16"/>
          <w:szCs w:val="16"/>
          <w:color w:val="auto"/>
        </w:rPr>
        <w:t>In January 2017, the FASB issued ASU 2017-01, Business Combinations: Clarifying the Definition of a Business (Topic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new standard will become effective for the Company beginning in fiscal year 2019, with early adoption permitted with limitations. The Company is currently evaluating the impact of this standard on its consolidated financial statements and disclosures.</w:t>
      </w:r>
    </w:p>
    <w:p>
      <w:pPr>
        <w:spacing w:after="0" w:line="132"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Simplifying the Test for Goodwill Impairment (Topic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Composition of Certain Balance Sheet Captions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Billed</w:t>
            </w:r>
          </w:p>
        </w:tc>
        <w:tc>
          <w:tcPr>
            <w:tcW w:w="450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126,592</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146,309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Unbilled</w:t>
            </w: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141,568</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286,724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Raw materials</w:t>
            </w:r>
          </w:p>
        </w:tc>
        <w:tc>
          <w:tcPr>
            <w:tcW w:w="4500" w:type="dxa"/>
            <w:vAlign w:val="bottom"/>
            <w:gridSpan w:val="2"/>
            <w:shd w:val="clear" w:color="auto" w:fill="CCEEFF"/>
          </w:tcPr>
          <w:p>
            <w:pPr>
              <w:ind w:left="4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46,757</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Work in process</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Finished goods</w:t>
            </w: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71,204</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145,161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450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49,589</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41,784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340" w:type="dxa"/>
            <w:vAlign w:val="bottom"/>
            <w:vMerge w:val="restart"/>
          </w:tcPr>
          <w:p>
            <w:pPr>
              <w:jc w:val="right"/>
              <w:ind w:right="2972"/>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65"/>
        </w:trPr>
        <w:tc>
          <w:tcPr>
            <w:tcW w:w="8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Satellites (estimated useful life of 10-17 years)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559,380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559,094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lease of satellite capacity — Anik F2 (estimated useful life of 10 years)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99,090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99,090</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Satellites under construction</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696,699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515,696</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4"/>
              </w:rPr>
              <w:t>1,355,169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1,173,880</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(314,007)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(275,683)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4"/>
              </w:rPr>
              <w:t>1,041,162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898,197</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Equipment and software (estimated useful life of 2-7 years)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650,307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568,663</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CPE leased equipment (estimated useful life of 4-5 years)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268,742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260,409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Furniture and fixtures (estimated useful life of 7 years)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29,767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25,501</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 (estimated useful life of 2-17 years)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79,823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71,895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Building (estimated useful life of 24 years)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8,923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42,070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99,976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73,535</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1,179,608</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1,050,886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(633,933)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(563,976)</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545,675</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Technology (weighted average useful life of 6 years)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87,214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74,848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Contracts and customer relationships (weighted average useful life of 7 years)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102,937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99,499</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 co-location rights (weighted average useful life of 9 years)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8,600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Trade name (weighted average useful life of 3 years)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(weighted average useful life of 6 years)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9,895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214,586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197,604</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(170,034)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(164,000)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44,552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9"/>
        </w:trPr>
        <w:tc>
          <w:tcPr>
            <w:tcW w:w="6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5"/>
        </w:trPr>
        <w:tc>
          <w:tcPr>
            <w:tcW w:w="6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134,721</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163,061</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Patents, orbital slots and other licenses, net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380,342</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340,005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Collections in excess of revenues and deferred revenues</w:t>
            </w:r>
          </w:p>
        </w:tc>
        <w:tc>
          <w:tcPr>
            <w:tcW w:w="1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64,624</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vacation</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Warranty reserve, current portion</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other long-term debt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47,877</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199,070</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184,344</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revenue, long-term portion</w:t>
            </w:r>
          </w:p>
        </w:tc>
        <w:tc>
          <w:tcPr>
            <w:tcW w:w="1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rent, long-term portion</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Warranty reserve, long-term portion</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Satellite performance incentives obligation, long-term portion</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long-term</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9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39"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based on quoted market prices for identical assets or liabilities in active markets at the measurement date.</w:t>
      </w:r>
    </w:p>
    <w:p>
      <w:pPr>
        <w:spacing w:after="0" w:line="90" w:lineRule="exact"/>
        <w:rPr>
          <w:rFonts w:ascii="Times New Roman" w:cs="Times New Roman" w:eastAsia="Times New Roman" w:hAnsi="Times New Roman"/>
          <w:sz w:val="18"/>
          <w:szCs w:val="18"/>
          <w:color w:val="auto"/>
        </w:rPr>
      </w:pPr>
    </w:p>
    <w:p>
      <w:pPr>
        <w:ind w:left="440" w:right="40" w:hanging="324"/>
        <w:spacing w:after="0" w:line="26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1"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present the Company’s hierarchy for its assets and liabilities measured at fair value on a recurring basis as of December 31, 2016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Fair Value as of</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3"/>
              </w:rPr>
              <w:t>December 31, 2016</w:t>
            </w:r>
          </w:p>
        </w:tc>
        <w:tc>
          <w:tcPr>
            <w:tcW w:w="52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1560" w:type="dxa"/>
            <w:vAlign w:val="bottom"/>
            <w:gridSpan w:val="4"/>
          </w:tcPr>
          <w:p>
            <w:pPr>
              <w:ind w:lef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2,003</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156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2,003</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$ 131</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$ 131</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Fair Value as of</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March 31, 2016</w:t>
            </w:r>
          </w:p>
        </w:tc>
        <w:tc>
          <w:tcPr>
            <w:tcW w:w="52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15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$2,003</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2,003</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$ 196</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20"/>
          </w:cols>
          <w:pgMar w:left="240" w:top="455" w:right="33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455"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section describes the valuation methodologies the Company uses to measure financial instruments at fair value:</w:t>
      </w:r>
    </w:p>
    <w:p>
      <w:pPr>
        <w:spacing w:after="0" w:line="169"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Company’s cash equivalents consist of money market funds. Money market funds are valued using quoted prices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 an active market with sufficient volume and frequency of transactions (Level 1).</w:t>
      </w:r>
    </w:p>
    <w:p>
      <w:pPr>
        <w:spacing w:after="0" w:line="11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forward contracts </w:t>
      </w:r>
      <w:r>
        <w:rPr>
          <w:rFonts w:ascii="Times New Roman" w:cs="Times New Roman" w:eastAsia="Times New Roman" w:hAnsi="Times New Roman"/>
          <w:sz w:val="18"/>
          <w:szCs w:val="18"/>
          <w:color w:val="auto"/>
        </w:rPr>
        <w:t>— The Company uses derivative financial instruments to manage foreign currency risk relating to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5"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Long-term debt </w:t>
      </w:r>
      <w:r>
        <w:rPr>
          <w:rFonts w:ascii="Times New Roman" w:cs="Times New Roman" w:eastAsia="Times New Roman" w:hAnsi="Times New Roman"/>
          <w:sz w:val="16"/>
          <w:szCs w:val="16"/>
          <w:color w:val="auto"/>
        </w:rPr>
        <w:t>— The Company’s long-term debt consists of borrowings under the Revolving Credit Facility and the Ex-Im Credit Facility (together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Revolving Credit Facility, the Credit Facilities), as well as $575.0 million in aggregate principal amount of 2020 Notes. Long-term debt related to the Revolving Credit Facility is reported at the outstanding principal amount of borrowings, while long-term debt related to the Ex-Im Credit Facility and 2020 Notes is reported at amortized cost. However, for disclosure purposes, the Company is required to measure the fair value of outstanding debt on a recurring basis. As of December 31, 2016 and March 31, 2016, the fair value of the Company’s outstanding long-term debt related to the 2020 Notes was determined using quoted prices in active markets (Level 1) and was $592.3 million and $597.3 million, respectively. The fair value of the Company’s long-term debt related to the Revolving Credit Facility approximates its carrying amount due to its variable interest rate, which approximates a market interest rate. As of December 31, 2016 and March 31, 2016, the fair value of the Company’s long-term debt related to the Ex-Im Credit Facility was determined based on a discounted cash flow analysis using observable market interest rates for instruments with similar terms (Level 2) and was approximately $300.8 million and $219.9 million, respectively.</w:t>
      </w:r>
    </w:p>
    <w:p>
      <w:pPr>
        <w:spacing w:after="0" w:line="11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Satellite performance incentives obligation </w:t>
      </w:r>
      <w:r>
        <w:rPr>
          <w:rFonts w:ascii="Times New Roman" w:cs="Times New Roman" w:eastAsia="Times New Roman" w:hAnsi="Times New Roman"/>
          <w:sz w:val="18"/>
          <w:szCs w:val="18"/>
          <w:color w:val="auto"/>
        </w:rPr>
        <w:t>— The Company’s contract with the manufacturer of ViaSat-1 requires the Company to make monthly in-orbit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December 31, 2016 and March 31, 2016, the Company’s estimated satellite performance incentives obligation and accrued interest was $22.0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Shares Used In Computing Diluted Net Income Per Share</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460" w:type="dxa"/>
            <w:vAlign w:val="bottom"/>
          </w:tcPr>
          <w:p>
            <w:pPr>
              <w:spacing w:after="0"/>
              <w:rPr>
                <w:sz w:val="14"/>
                <w:szCs w:val="14"/>
                <w:color w:val="auto"/>
              </w:rPr>
            </w:pPr>
          </w:p>
        </w:tc>
        <w:tc>
          <w:tcPr>
            <w:tcW w:w="238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24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8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3"/>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shares outstanding used in calculating basic net income per share</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ViaSat, Inc. common stockholders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Options to purchase common stock as determined by application of the</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method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Restricted stock units to acquire common stock as determined by</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 of the treasury stock method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Potentially issuable shares in connection with certain terms of the ViaSat</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401(k) Profit Sharing Plan and Employee Stock Purchase Plan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diluted net income per share attributable to</w:t>
            </w: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ViaSat, Inc. common stockholders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Antidilutive shares relating to stock options excluded from the calculation comprised 648,043 and 478,400 shares for the three and nine months ended December 31, 2016, respectively, and 871,457 and 722,235 shares for the three and nine months ended December 31, 2015, respectively.</w:t>
      </w:r>
    </w:p>
    <w:p>
      <w:pPr>
        <w:spacing w:after="0" w:line="120"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Antidilutive shares relating to restricted stock units excluded from the calculation comprised 500 and zero shares for the three and nine months ended December 31, 2016, and zero and four shares for the three and nine months ended December 31, 2015,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During the first nine months of fiscal year 2017, the Company’s goodwill increased by $2.6 million, of which $3.8 million related to the acquisition of Arconics, recorded during the third quarter of fiscal year 2017, within the Company’s satellite services segment. The increase was partially offset by the effects of foreign currency translation recorded within all three of the Company’s segments.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year 2017, $19.3 million of the increase in the Company’s other acquired intangible assets related to the acquisition of Arconics, recorded during the third quarter of fiscal year 2017, within the Company’s satellite services segment. All other amounts related to the acquisition of Arconics were not significant. Other acquired intangible assets are amortized using the straight-line method over their estimated useful lives of two to ten years. Amortization expense related to other acquired intangible assets was $2.8 million and $4.3 million for the three months ended December 31, 2016 and 2015, respectively, and $7.6 million and $13.7 million for the nine months ended December 31, 2016 and 2015, respectively.</w:t>
      </w:r>
    </w:p>
    <w:p>
      <w:pPr>
        <w:spacing w:after="0" w:line="139"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3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December 31, 2016</w:t>
            </w:r>
          </w:p>
        </w:tc>
        <w:tc>
          <w:tcPr>
            <w:tcW w:w="3500" w:type="dxa"/>
            <w:vAlign w:val="bottom"/>
            <w:gridSpan w:val="2"/>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2017</w:t>
            </w:r>
          </w:p>
        </w:tc>
        <w:tc>
          <w:tcPr>
            <w:tcW w:w="350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2018</w:t>
            </w: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2019</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2020</w:t>
            </w: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2021</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80" w:type="dxa"/>
            <w:vAlign w:val="bottom"/>
            <w:vMerge w:val="restart"/>
          </w:tcPr>
          <w:p>
            <w:pPr>
              <w:jc w:val="right"/>
              <w:ind w:right="2772"/>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Notes and Other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long-term debt consisted of the following as of December 31, 2016 and March 31, 2016:</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3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2020 Notes</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7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Unamortized premium and debt issuance costs on the 2020 Notes, net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notes, net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575,368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the senior notes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notes long-term, net</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575,368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Ex-Im Credit Facility (1)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Unamortized discount and debt issuance costs on the Ex-Im Credit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(1) (2)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(32,657)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long-term debt, net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272,060</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other long-term debt, net</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271,776</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847,428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847,144</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included in Ex-Im Credit Facility and in unamortized discount and debt issuance costs on the Ex-Im Credit Facility was</w:t>
      </w:r>
    </w:p>
    <w:p>
      <w:pPr>
        <w:spacing w:after="0" w:line="21" w:lineRule="exact"/>
        <w:rPr>
          <w:rFonts w:ascii="Times New Roman" w:cs="Times New Roman" w:eastAsia="Times New Roman" w:hAnsi="Times New Roman"/>
          <w:sz w:val="18"/>
          <w:szCs w:val="18"/>
          <w:color w:val="auto"/>
        </w:rPr>
      </w:pPr>
    </w:p>
    <w:p>
      <w:pPr>
        <w:ind w:left="460"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$29.5 million and $24.3 million, respectively, relating to the exposure fees accrued as of such date expected to be financed under the Ex-Im Credit Facility. As of March 31, 2016, included in Ex-Im Credit Facility and in unamortized discount and debt issuance costs on the Ex-Im Credit Facility was</w:t>
      </w:r>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$21.0 million and $18.7 million, respectively, relating to the exposure fees accrued as of such date expected to be financed under the Ex-Im Credit Facility.</w:t>
      </w:r>
    </w:p>
    <w:p>
      <w:pPr>
        <w:spacing w:after="0" w:line="32" w:lineRule="exact"/>
        <w:rPr>
          <w:rFonts w:ascii="Times New Roman" w:cs="Times New Roman" w:eastAsia="Times New Roman" w:hAnsi="Times New Roman"/>
          <w:sz w:val="18"/>
          <w:szCs w:val="18"/>
          <w:color w:val="auto"/>
        </w:rPr>
      </w:pPr>
    </w:p>
    <w:p>
      <w:pPr>
        <w:ind w:left="460" w:right="340" w:hanging="452"/>
        <w:spacing w:after="0" w:line="25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fiscal year 2017, the Company adopted ASU 2015-03. The retrospective basis adoption of this guidance resulted in reclassification of unamortized debt issuance costs as a direct deduction from the carrying amount of the Company’s 2020 Notes and the Ex-Im Credit Facility, respectively, consistent with unamortized discount, as of March 31, 2016.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94"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2016, the Revolving Credit Facility provided an $800.0 million revolving line of credit (including up to $150.0 million of letters of credit), with a maturity date of May 24, 2021 (or March 16, 2020, if more than $200.0 million of the Company’s 2020 Notes are then outstanding and certain conditions are met).</w:t>
      </w:r>
    </w:p>
    <w:p>
      <w:pPr>
        <w:spacing w:after="0" w:line="13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2016, none of the Company’s subsidiaries guaranteed the Revolving Credit Facility.</w:t>
      </w:r>
    </w:p>
    <w:p>
      <w:pPr>
        <w:spacing w:after="0" w:line="138"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ectPr>
          <w:pgSz w:w="11900" w:h="16838" w:orient="portrait"/>
          <w:cols w:equalWidth="0" w:num="1">
            <w:col w:w="11360"/>
          </w:cols>
          <w:pgMar w:left="240" w:top="455" w:right="299" w:bottom="1440" w:gutter="0" w:footer="0" w:header="0"/>
        </w:sectPr>
      </w:pPr>
    </w:p>
    <w:bookmarkStart w:id="20" w:name="page21"/>
    <w:bookmarkEnd w:id="20"/>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Company was in compliance with its financial covenants under the Revolving Credit Facility as of December 31, 2016. At December 31, 2016, the Company had no outstanding borrowings under the Revolving Credit Facility and $42.7 million outstanding under standby letters of credit, leaving borrowing availability under the Revolving Credit Facility as of December 31, 2016 of $757.3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Ex-Im Credit Facility</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w:t>
      </w:r>
    </w:p>
    <w:p>
      <w:pPr>
        <w:spacing w:after="0" w:line="136"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4.4% and 4.5% as of December 31, 2016. The Ex-Im Credit Facility is guaranteed by ViaSat and is secured by first-priority liens on the ViaSat-2 satellite and related assets, as well as a pledge of the capital stock of the borrower under the facility.</w:t>
      </w:r>
    </w:p>
    <w:p>
      <w:pPr>
        <w:spacing w:after="0" w:line="13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Company was in compliance with its financial covenants under the Ex-Im Credit Facility as of December 31, 2016. At December 31, 2016, the Company had $274.6 million in principal amount of outstanding borrowings under the Ex-Im Credit Facility and had accrued $29.5 million in completion exposure fees expected to be financed under the Ex-Im Credit Facility. As of December 31, 2016, the undrawn commitment under the Ex-Im Credit Facility was $82.5 million (excluding $29.5 million of accrued completion exposure fees), of which $74.4 million was available to finance ViaSat-2 related costs once incurred. However, as of December 31, 2016, the Company had reached the initial pre-shipping borrowing level for the amount it can borrow for satellite construction payments under the Ex-Im Credit Facility prior to the date that the satellite is shipped to the launch site. Borrowings under the Ex-Im Credit Facility were issued with a discount of $36.6 million (comprising the initial $6.0 million exposure fee, the completion exposure fees accrued as of December 31, 2016, and other customary fees). Borrowings under the Ex-Im Credit Facility are recorded as long-term debt, net of unamortized discount and debt issuance costs, in the Company’s condensed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2020</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February 2012, the Company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the Company’s condensed consolidated financial statements. In October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 The 2020 Notes are recorded as long-term debt, net of unamortized premium and debt issuance costs, in the Company’s condensed consolidated financial statements.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2020 Notes are required to be guaranteed on an unsecured senior basis by each of the Company’s existing and future subsidiaries that guarantees the Revolving Credit Facility. As of December 31, 2016,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2020 Notes may be redeemed, in whole or in part, at any time during the twelve months beginning on June 15, 2016 at a redemption price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103.438%, during the twelve months beginning on June 15, 2017 at a redemption price of 101.719%, and at any time on or after June 15, 2018 at a redemption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100%, in each case plus accrued and unpaid interest, if any, thereon to the redemption date.</w:t>
      </w:r>
    </w:p>
    <w:p>
      <w:pPr>
        <w:spacing w:after="0" w:line="15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Product Warranty</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2016 and 2015:</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31, 2016</w:t>
            </w:r>
          </w:p>
        </w:tc>
        <w:tc>
          <w:tcPr>
            <w:tcW w:w="11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2015</w:t>
            </w:r>
          </w:p>
        </w:tc>
        <w:tc>
          <w:tcPr>
            <w:tcW w:w="12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4"/>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liability for warranties issued in 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8"/>
                <w:szCs w:val="18"/>
                <w:color w:val="auto"/>
              </w:rPr>
            </w:pPr>
          </w:p>
        </w:tc>
      </w:tr>
      <w:tr>
        <w:trPr>
          <w:trHeight w:val="202"/>
        </w:trPr>
        <w:tc>
          <w:tcPr>
            <w:tcW w:w="618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Settlements made (in cash or in kind) during</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(6,363)</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92" w:lineRule="exact"/>
        <w:rPr>
          <w:sz w:val="20"/>
          <w:szCs w:val="20"/>
          <w:color w:val="auto"/>
        </w:rPr>
      </w:pPr>
    </w:p>
    <w:p>
      <w:pPr>
        <w:ind w:right="420" w:firstLine="456"/>
        <w:spacing w:after="0" w:line="339" w:lineRule="auto"/>
        <w:rPr>
          <w:sz w:val="20"/>
          <w:szCs w:val="20"/>
          <w:color w:val="auto"/>
        </w:rPr>
      </w:pPr>
      <w:r>
        <w:rPr>
          <w:rFonts w:ascii="Times New Roman" w:cs="Times New Roman" w:eastAsia="Times New Roman" w:hAnsi="Times New Roman"/>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7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July 2016, the Company entered into two separate agreements with Boeing for the construction and purchase of two ViaSat-3 class satellites (the Company’s third-generation high-capacity Ka-band satellite design)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Europe, Middle East and Africa.</w:t>
      </w:r>
    </w:p>
    <w:p>
      <w:pPr>
        <w:spacing w:after="0" w:line="141"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March 2016, the Company’s majority-owned subsidiary TrellisWare was informed by the Civil Division of the U.S. Attorney’s Office for the Southern District of California that it is investigating TrellisWare’s eligibility for certain prior government contracts and whether TrellisWare’s conduct in connection therewith violated the False Claims Act. At this time, the Company cannot determine whether the government will initiate a case and, if so, whether TrellisWare would be liable for any damages or penalties, or in what amount. Although the outcome of this investigation is difficult to predict, an unfavorable resolution could have a material impact on the Company’s financial results.</w:t>
      </w:r>
    </w:p>
    <w:p>
      <w:pPr>
        <w:spacing w:after="0" w:line="13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2016. As of December 31, 2016, the DCAA had completed its incurred cost audit for fiscal year 2004 and approved the Company’s incurred cost claims for fiscal years 2005 through 2015 without further audit. Although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6"/>
          <w:szCs w:val="16"/>
          <w:color w:val="auto"/>
        </w:rPr>
        <w:t>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2016 and March 31, 2016, the Company had $1.7 million and</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$2.5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The Company’s effective tax rate is highly influenced by the amount of its research and development tax credits. A small change in estimated annual pretax income (loss) can produce a significant variance in the annual effective tax rate given the Company’s expected amount of research and development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2016, by applying the actual effective tax rate to the year-to-date income for the three-month and nine-month periods.</w:t>
      </w:r>
    </w:p>
    <w:p>
      <w:pPr>
        <w:spacing w:after="0" w:line="11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3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For the three and nine months ended December 31, 2016, the Company’s gross unrecognized tax benefits increased by $1.2 million and $3.3 million, respectively. In the next twelve months it is reasonably possible that the amount of unrecognized tax benefits will not change significantly.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—Strategic Partnering Arrangements</w:t>
      </w:r>
    </w:p>
    <w:p>
      <w:pPr>
        <w:spacing w:after="0" w:line="92"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February 2016, the Company entered into a framework and subscription agreement (the Framework Agreement) with Eutelsat, pursuant to which the Company has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the Company following the closing will own and operate Eutelsat’s KA-SAT satellite and related assets and offer wholesale satellite capacity services in the European region; and an entity to be owned 51% by the Company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the Company will purchase 49% of the issued shares of Eutelsat’s subsidiary from Eutelsat for €132.5 million and, similarly, Eutelsat will purchase 49% of the issued shares of a second newly formed subsidiary of the Company for an immaterial amount. Also at the closing, the Company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The Company currently anticipates that the closing will occur during the fourth quarter of fiscal year 2017.</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services to consumers, enterprises, commercial airlines and mobile broadband customers primarily in the United States. The Company’s commercial networks segment develops and offers advanced end-to-end satellite and wireless communication systems, ground networking equipment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revenues and operating profits (losses) for the three and nine months ended December 31, 2016 and 2015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20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Product (1)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6,453</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134,751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141,204</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49,617</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55,426</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100,220</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151,129</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347,759</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1,142,918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1,045,467</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profits (losses):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Satellite services (1)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21,772</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3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(48,598)</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(29,889)</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(127,997)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22,763</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Elimination of intersegment operating profits</w:t>
            </w:r>
          </w:p>
        </w:tc>
        <w:tc>
          <w:tcPr>
            <w:tcW w:w="3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Segment operating profit before corporate and amortization of acquired</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14,646</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revenues and operating profits in the satellite services segment for the three and nine months ended December 31, 2016 included $6.8 million and $20.0 million, respectively, and for the three and nine months ended December 31, 2015 included $6.4 million and $18.8 million, respectively, relating to amounts realized under the Company’s settlement agreement entered into in fiscal year 2015 with Space Systems Loral, Inc. and its former parent company Loral Space &amp; Communications, Inc.</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2016 and March 31, 2016 were as follows:</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60" w:type="dxa"/>
            <w:vAlign w:val="bottom"/>
            <w:gridSpan w:val="3"/>
          </w:tcPr>
          <w:p>
            <w:pPr>
              <w:ind w:left="2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23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330,714</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segment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577,276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assets</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2,305,804</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1,814,913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2,883,080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2,397,312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acquired intangible assets, net and goodwill included in segment assets as of December 31, 2016 and March 31, 2016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6"/>
              </w:rPr>
              <w:t>Other Acquired Intangible</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w w:val="97"/>
              </w:rPr>
              <w:t>Assets, Net</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0"/>
                <w:szCs w:val="10"/>
                <w:color w:val="auto"/>
              </w:rPr>
            </w:pPr>
          </w:p>
        </w:tc>
        <w:tc>
          <w:tcPr>
            <w:tcW w:w="700" w:type="dxa"/>
            <w:vAlign w:val="bottom"/>
          </w:tcPr>
          <w:p>
            <w:pPr>
              <w:jc w:val="right"/>
              <w:ind w:right="219"/>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0"/>
                <w:szCs w:val="10"/>
                <w:color w:val="auto"/>
              </w:rPr>
            </w:pPr>
          </w:p>
        </w:tc>
        <w:tc>
          <w:tcPr>
            <w:tcW w:w="700" w:type="dxa"/>
            <w:vAlign w:val="bottom"/>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0"/>
                <w:szCs w:val="10"/>
                <w:color w:val="auto"/>
              </w:rPr>
            </w:pPr>
          </w:p>
        </w:tc>
      </w:tr>
      <w:tr>
        <w:trPr>
          <w:trHeight w:val="165"/>
        </w:trPr>
        <w:tc>
          <w:tcPr>
            <w:tcW w:w="474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March 31, 2016</w:t>
            </w:r>
          </w:p>
        </w:tc>
        <w:tc>
          <w:tcPr>
            <w:tcW w:w="5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r>
      <w:tr>
        <w:trPr>
          <w:trHeight w:val="142"/>
        </w:trPr>
        <w:tc>
          <w:tcPr>
            <w:tcW w:w="4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62,299</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119,625</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117,040</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acquired intangible assets by segment for the three and nine months ended December 31, 2016 and 2015 was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6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74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w:t>
            </w:r>
          </w:p>
        </w:tc>
        <w:tc>
          <w:tcPr>
            <w:tcW w:w="1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 of acquired intangible assets</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180"/>
        <w:spacing w:after="0" w:line="34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completion, shipment, capacity, service, coverage, service speeds and other features of our satellites, and the timing, cost, economics and other benefits associated therewith; anticipated subscriber growth; our proposed strategic partnering arrangement with Eutelsat S.A. (together with its affiliates, Eutelsat) and the timing, costs, economics and other benefits associated therewith; our ability to realize the anticipated benefits of our acquisition of Aerodocs Limited (Arconics);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consummate our proposed strategic partnering arrangement with Eutelsat and to realize the anticipated benefits of the strategic partnering arrangement; our ability to successfully implement our business plan for our broadband services on our anticipated timeline or at all; risks associated with the construction, shipment,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2016,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38"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During the first quarter of fiscal year 2016, we completed the acquisition of Engreen Inc. (Engreen), a privately held company focused on network function virtualization, for approximately $5.3 million, recorded within our commercial networks segment.</w:t>
      </w:r>
    </w:p>
    <w:p>
      <w:pPr>
        <w:spacing w:after="0" w:line="120"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On November 14, 2016, we completed the acquisition of Arconics, a privately held company focused on wireless in-flight entertainment management software services. The Arconics purchase price of $21.6 million was comprised of approximately $16.6 million in cash consideration paid to former Arconics equity holders and $5.0 million related to the fair value of 61,888 shares of our common stock issued at the closing. The approximately $16.6 million in cash consideration paid to former Arconics equity holders less cash acquired of $0.6 million resulted in a net cash outlay by us of approximately $16.0 million. The Arconics purchase price was primarily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allocated to acquired technology and customer relationships intangible assets, and goodwill. Through this acquisition we gained broader expertise, aviation-grade software and mobile applications to make flying safer and more efficient for pilots, cabin crews and flight operations teams, as well as applications that are expected to create new opportunities for passenger entertainment and airline services and revenue. The condensed consolidated financial statements include the operating results of Arconics in our satellite services segment from the date of acquisition.</w:t>
      </w:r>
    </w:p>
    <w:p>
      <w:pPr>
        <w:spacing w:after="0" w:line="136"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On November 23, 2016, we completed the sale of an aggregate of 7,475,000 shares of ViaSat common stock in an underwritten public offering. Our net proceeds from the offering were approximately $503.1 million after deducting underwriting discounts and offering expenses. In November 2016, we used $225.0 million of the net proceeds from the offering to repay outstanding borrowings under our revolving credit facility (the Revolving Credit Facility). We expect to use the remaining net proceeds for general corporate purposes, which may include financing costs related to the purchase, launch and operation of satellites, potential acquisitions, joint ventures and strategic alliances, working capital or capital expenditures.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conduct our business through three segments: satellite services, commercial networks and government systems.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Services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satellite services segment provides satellite-based high-speed broadband services to consumers, enterprises, commercial airlines and mobile broadband customers primarily in the United States. Our Exede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broadband services offer high-speed, high-quality broadband internet access across the contiguous United States. We also offer similar services for a growing number of commercial and business aircraft both in the United States and abroad. Our satellite services business also provides a platform for the provision of network management services to domestic and international satellite service providers. Our satellite services business uses our proprietary technology platform to provide broadband services with multiple applications. Our proprietary Ka-band satellites are at the core of our technology platform. We own two satellites: ViaSat-1 (our first-generation high-capacity Ka-band spot-beam satellite, which was placed into service in January 2012) and WildBlue-1 (which was placed into service in March 2007). Our ViaSat-2 satellite (our second-generation high-capacity Ka-band satellite design) is currently awaiting shipment to the launch site, and we currently expect the satellite to be launched early in the first quarter of fiscal year 2018. We currently expect that the two ViaSat-3 class satellites will be launched in fiscal year 2020 or early fiscal year 2021.</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services offered by our satellite services segment are comprised of:</w:t>
      </w:r>
    </w:p>
    <w:p>
      <w:pPr>
        <w:spacing w:after="0" w:line="90" w:lineRule="exact"/>
        <w:rPr>
          <w:sz w:val="20"/>
          <w:szCs w:val="20"/>
          <w:color w:val="auto"/>
        </w:rPr>
      </w:pPr>
    </w:p>
    <w:p>
      <w:pPr>
        <w:ind w:left="900" w:right="20" w:hanging="325"/>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broadband services under the Exede and Wildblue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brands offered to consumers and businesses primarily in the United States, which provide users with high-speed broadband internet access and Voice over Internet Protocol (VoIP) services. As of December 31, 2016, we provided broadband internet services to approximately 675,000 consumer and small business subscribers.</w:t>
      </w:r>
    </w:p>
    <w:p>
      <w:pPr>
        <w:spacing w:after="0" w:line="51"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In-flight services including our flagship ViaSat in-flight internet service. As of December 31, 2016, 555 commercial aircraft were in service utilizing ViaSat in-flight internet services. In November 2016, ViaSat was selected by American Airlines to retrofit more than 500 aircraft from its existing domestic fleet with ViaSat’s in-flight broadband system, with installation expected to begin in the first half of fiscal year 2018.</w:t>
      </w:r>
    </w:p>
    <w:p>
      <w:pPr>
        <w:spacing w:after="0" w:line="51"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services under the Yonder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which provide global network management and high-speed internet connectivity services for customers using airborne, maritime and ground-mobile satellite systems.</w:t>
      </w:r>
    </w:p>
    <w:p>
      <w:pPr>
        <w:spacing w:after="0" w:line="38" w:lineRule="exact"/>
        <w:rPr>
          <w:rFonts w:ascii="Times New Roman" w:cs="Times New Roman" w:eastAsia="Times New Roman" w:hAnsi="Times New Roman"/>
          <w:sz w:val="18"/>
          <w:szCs w:val="18"/>
          <w:color w:val="auto"/>
        </w:rPr>
      </w:pPr>
    </w:p>
    <w:p>
      <w:pPr>
        <w:ind w:left="900" w:right="38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broadband services, which include business connectivity, live on-line event streaming, oil and natural gas data gathering services and high-definition satellite news gathering.</w:t>
      </w:r>
    </w:p>
    <w:p>
      <w:pPr>
        <w:spacing w:after="0" w:line="120" w:lineRule="exact"/>
        <w:rPr>
          <w:sz w:val="20"/>
          <w:szCs w:val="20"/>
          <w:color w:val="auto"/>
        </w:rPr>
      </w:pPr>
    </w:p>
    <w:p>
      <w:pPr>
        <w:ind w:right="120" w:firstLine="456"/>
        <w:spacing w:after="0" w:line="252" w:lineRule="auto"/>
        <w:rPr>
          <w:sz w:val="20"/>
          <w:szCs w:val="20"/>
          <w:color w:val="auto"/>
        </w:rPr>
      </w:pPr>
      <w:r>
        <w:rPr>
          <w:rFonts w:ascii="Times New Roman" w:cs="Times New Roman" w:eastAsia="Times New Roman" w:hAnsi="Times New Roman"/>
          <w:sz w:val="18"/>
          <w:szCs w:val="18"/>
          <w:color w:val="auto"/>
        </w:rPr>
        <w:t>In February 2016, we entered into a framework and subscription agreement (the Framework Agreement) with Eutelsat, pursuant to which we have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ViaSat following the closing will own and operate Eutelsat’s KA-SAT satellite and related assets and offer wholesale satellite capacity services in the European region; and an entity to be owned 51% by ViaSat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we will purchase 49% of the issued shares of Eutelsat’s subsidiary from Eutelsat for €132.5 million and, similarly, Eutelsat will purchase 49% of the issued shares of a second newly formed subsidiary of ViaSat for an immaterial amount. Also at the closing, we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We currently anticipate that the closing will occur during the fourth quarter of fiscal year 2017.</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Networks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commercial networks segment develops and produces a variety of advanced end-to-end satellite and wireless communication systems, ground networking equipment and space-to-earth connectivity systems. We design and build customized fixed and mobile satellite communication systems capable of serving a variety of markets and applications. In addition, we offer an array of ground networking equipment and products, including customer premise equipment (CPE), satellite modems, antenna technologies, earth stations and satellite networking hubs. Our communication systems, networking equipment and products are generally developed through a combination of customer and discretionary internal research and development funding, are utilized to provide services through our satellite services segment and are also sold to commercial networks customers.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communication systems, ground networking equipment and products include:</w:t>
      </w:r>
    </w:p>
    <w:p>
      <w:pPr>
        <w:spacing w:after="0" w:line="90" w:lineRule="exact"/>
        <w:rPr>
          <w:sz w:val="20"/>
          <w:szCs w:val="20"/>
          <w:color w:val="auto"/>
        </w:rPr>
      </w:pPr>
    </w:p>
    <w:p>
      <w:pPr>
        <w:ind w:left="900" w:right="26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satellite networks, including next-generation satellite network infrastructure and ground terminals to access Ka-band broadband services on high-capacity satellites.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satellite communication systems, designed for use in aircraft, high-speed trains and seagoing vessels.</w:t>
      </w:r>
    </w:p>
    <w:p>
      <w:pPr>
        <w:spacing w:after="0" w:line="90" w:lineRule="exact"/>
        <w:rPr>
          <w:rFonts w:ascii="Times New Roman" w:cs="Times New Roman" w:eastAsia="Times New Roman" w:hAnsi="Times New Roman"/>
          <w:sz w:val="18"/>
          <w:szCs w:val="18"/>
          <w:color w:val="auto"/>
        </w:rPr>
      </w:pPr>
    </w:p>
    <w:p>
      <w:pPr>
        <w:ind w:left="900" w:right="60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Antenna systems specializing in earth imaging, remote sensing, mobile satellite communication, Ka-band earth stations and other multi-band antennas.</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networking development programs, including specialized design and technology services covering all aspects of satellite communication system architecture and technology.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Systems</w:t>
      </w:r>
    </w:p>
    <w:p>
      <w:pPr>
        <w:spacing w:after="0" w:line="92"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allied foreign governments, domestic and allied armed forces, public safety first-responders and remote government employees.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products and services of our government systems segment include:</w:t>
      </w:r>
    </w:p>
    <w:p>
      <w:pPr>
        <w:spacing w:after="0" w:line="90" w:lineRule="exact"/>
        <w:rPr>
          <w:sz w:val="20"/>
          <w:szCs w:val="20"/>
          <w:color w:val="auto"/>
        </w:rPr>
      </w:pPr>
    </w:p>
    <w:p>
      <w:pPr>
        <w:ind w:left="900" w:right="46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mobile broadband products and services, which provide military and government users with high-speed, real-time, broadband and multimedia connectivity in key regions of the world.</w:t>
      </w:r>
    </w:p>
    <w:p>
      <w:pPr>
        <w:spacing w:after="0" w:line="38"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and include products designed for manpacks, aircraft, unmanned aerial vehicles (UAVs), seagoing vessels, ground mobile vehicles and fixed applications.</w:t>
      </w:r>
    </w:p>
    <w:p>
      <w:pPr>
        <w:spacing w:after="0" w:line="57" w:lineRule="exact"/>
        <w:rPr>
          <w:rFonts w:ascii="Times New Roman" w:cs="Times New Roman" w:eastAsia="Times New Roman" w:hAnsi="Times New Roman"/>
          <w:sz w:val="18"/>
          <w:szCs w:val="18"/>
          <w:color w:val="auto"/>
        </w:rPr>
      </w:pPr>
    </w:p>
    <w:p>
      <w:pPr>
        <w:ind w:left="900" w:right="280" w:hanging="325"/>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information assurance products, which provide advanced, high-speed IP-based “Type 1” and High Assurance Internet Protocol Encryption (HAIPE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)-compliant encryption solutions that enable military and government users to communicate information securely over networks, and that secure data stored on computers and storage devices.</w:t>
      </w:r>
    </w:p>
    <w:p>
      <w:pPr>
        <w:spacing w:after="0" w:line="51" w:lineRule="exact"/>
        <w:rPr>
          <w:rFonts w:ascii="Times New Roman" w:cs="Times New Roman" w:eastAsia="Times New Roman" w:hAnsi="Times New Roman"/>
          <w:sz w:val="18"/>
          <w:szCs w:val="18"/>
          <w:color w:val="auto"/>
        </w:rPr>
      </w:pPr>
    </w:p>
    <w:p>
      <w:pPr>
        <w:ind w:left="900" w:right="300" w:hanging="325"/>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Tactical data links, including our Battlefield Awareness and Targeting System – Dismounted (BATS-D) handheld link radios, Multifunctional Information Distribution System (MIDS) terminals for military fighter jets and their successor, MIDS Joint Tactical Radio System (MIDS-JTRS) terminals, “disposable” weapon data links and other portable small tactical terminals.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satellite services segment revenues are primarily derived from our domestic broadband services business, our in-flight broadband services business and our worldwide managed network services.</w:t>
      </w:r>
    </w:p>
    <w:p>
      <w:pPr>
        <w:spacing w:after="0" w:line="120"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85% and 90% of our total revenues for these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segments for the three months ended December 31, 2016 and 2015, respectively, and 87% and 89% of our total revenues for these segments for the nine months ended December 31, 2016 and 2015, respectively. The remainder of our revenues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19% and 21% of our total revenues in the three months ended December 31, 2016 and 2015, respectively. Revenues for our funded research and development from our customer contracts were approximately 19% and 20% of our total revenues in the nine months ended December 31, 2016 and 2015, respectively.</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9% and 6% of total revenues during the three months ended December 31, 2016 and 2015, respectively, and approximately 8% and 5% of total revenues during the nine months ended December 31, 2016 and 2015,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36"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December 31, 2016 and 2015, we recorded losses of approximately $0.8 million and $0.4 million, respectively, related to loss contracts. During the nine months ended December 31, 2016 and 2015, we recorded losses of approximately $2.8 million and $2.1 million, respectively, related to loss contracts.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December 31, 2016 would change our income before income taxes by approximately $0.3 million.</w:t>
      </w:r>
    </w:p>
    <w:p>
      <w:pPr>
        <w:spacing w:after="0" w:line="14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32" w:lineRule="exact"/>
        <w:rPr>
          <w:sz w:val="20"/>
          <w:szCs w:val="20"/>
          <w:color w:val="auto"/>
        </w:rPr>
      </w:pPr>
    </w:p>
    <w:p>
      <w:pPr>
        <w:ind w:right="160" w:firstLine="456"/>
        <w:spacing w:after="0" w:line="287" w:lineRule="auto"/>
        <w:rPr>
          <w:sz w:val="20"/>
          <w:szCs w:val="20"/>
          <w:color w:val="auto"/>
        </w:rPr>
      </w:pPr>
      <w:r>
        <w:rPr>
          <w:rFonts w:ascii="Times New Roman" w:cs="Times New Roman" w:eastAsia="Times New Roman" w:hAnsi="Times New Roman"/>
          <w:sz w:val="16"/>
          <w:szCs w:val="16"/>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1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4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satellites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own two satellites: ViaSat-1 (our first-generation high-capacity Ka-band spot-beam satellite, which was placed into service in January 2012) and WildBlue-1 (which was placed into service in March 2007). Our ViaSat-2 satellite (our second-generation high-capacity Ka-band satellite design) is currently awaiting shipment to the launch site, and we currently expect the satellite to be launched early in the first quarter of fiscal year 2018. We currently expect that the two ViaSat-3 class satellites will be launched in fiscal year 2020 or early fiscal year 2021. We also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and other long-term assets (property, equipment and satellites, and other assets, including goodwill)</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2016 and 2015.</w:t>
      </w:r>
    </w:p>
    <w:p>
      <w:pPr>
        <w:spacing w:after="0" w:line="14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03"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Based on our qualitative assessment performed during the fourth quarter of fiscal year 2016, we concluded that it was more likely than not that the estimated fair value of our reporting units exceeded their carrying value as of March 31, 2016 and, therefore, determined it was not necessary to perform the two-step goodwill impairment test.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 on deferred tax assets</w:t>
      </w:r>
    </w:p>
    <w:p>
      <w:pPr>
        <w:spacing w:after="0" w:line="94" w:lineRule="exact"/>
        <w:rPr>
          <w:sz w:val="20"/>
          <w:szCs w:val="20"/>
          <w:color w:val="auto"/>
        </w:rPr>
      </w:pPr>
    </w:p>
    <w:p>
      <w:pPr>
        <w:ind w:right="220" w:firstLine="456"/>
        <w:spacing w:after="0" w:line="289" w:lineRule="auto"/>
        <w:rPr>
          <w:sz w:val="20"/>
          <w:szCs w:val="20"/>
          <w:color w:val="auto"/>
        </w:rPr>
      </w:pPr>
      <w:r>
        <w:rPr>
          <w:rFonts w:ascii="Times New Roman" w:cs="Times New Roman" w:eastAsia="Times New Roman" w:hAnsi="Times New Roman"/>
          <w:sz w:val="16"/>
          <w:szCs w:val="16"/>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$17.1 million at March 31, 2016 to $20.1 million at December 31, 2016. The valuation allowance primarily relates to state net operating loss carryforwards and research and development tax credit carryforwards available to reduce state income taxes.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as a percentage of total revenues, income statement data for the periods indicated:</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3080" w:type="dxa"/>
            <w:vAlign w:val="bottom"/>
            <w:gridSpan w:val="4"/>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5"/>
        </w:trPr>
        <w:tc>
          <w:tcPr>
            <w:tcW w:w="486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7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8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740" w:type="dxa"/>
            <w:vAlign w:val="bottom"/>
          </w:tcPr>
          <w:p>
            <w:pPr>
              <w:spacing w:after="0"/>
              <w:rPr>
                <w:sz w:val="10"/>
                <w:szCs w:val="10"/>
                <w:color w:val="auto"/>
              </w:rPr>
            </w:pPr>
          </w:p>
        </w:tc>
        <w:tc>
          <w:tcPr>
            <w:tcW w:w="1560" w:type="dxa"/>
            <w:vAlign w:val="bottom"/>
            <w:tcBorders>
              <w:top w:val="single" w:sz="8" w:color="auto"/>
            </w:tcBorders>
            <w:gridSpan w:val="2"/>
          </w:tcPr>
          <w:p>
            <w:pPr>
              <w:jc w:val="right"/>
              <w:ind w:right="7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0"/>
                <w:szCs w:val="10"/>
                <w:color w:val="auto"/>
              </w:rPr>
            </w:pPr>
          </w:p>
        </w:tc>
      </w:tr>
      <w:tr>
        <w:trPr>
          <w:trHeight w:val="165"/>
        </w:trPr>
        <w:tc>
          <w:tcPr>
            <w:tcW w:w="48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44.9</w:t>
            </w: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45.3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55.1</w:t>
            </w:r>
          </w:p>
        </w:tc>
        <w:tc>
          <w:tcPr>
            <w:tcW w:w="15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54.7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product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32.7</w:t>
            </w:r>
          </w:p>
        </w:tc>
        <w:tc>
          <w:tcPr>
            <w:tcW w:w="15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33.4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service revenues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35.6</w:t>
            </w: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22.0</w:t>
            </w:r>
          </w:p>
        </w:tc>
        <w:tc>
          <w:tcPr>
            <w:tcW w:w="15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5.5</w:t>
            </w: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r>
      <w:tr>
        <w:trPr>
          <w:trHeight w:val="217"/>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(0.6)</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r>
      <w:tr>
        <w:trPr>
          <w:trHeight w:val="22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r>
      <w:tr>
        <w:trPr>
          <w:trHeight w:val="21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r>
      <w:tr>
        <w:trPr>
          <w:trHeight w:val="21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ViaSat, Inc.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r>
      <w:tr>
        <w:trPr>
          <w:trHeight w:val="363"/>
        </w:trPr>
        <w:tc>
          <w:tcPr>
            <w:tcW w:w="4860" w:type="dxa"/>
            <w:vAlign w:val="bottom"/>
          </w:tcPr>
          <w:p>
            <w:pPr>
              <w:spacing w:after="0"/>
              <w:rPr>
                <w:sz w:val="24"/>
                <w:szCs w:val="24"/>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56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Three Months Ended December 31, 2016 vs. Three Months Ended December 31, 2015 </w:t>
      </w:r>
      <w:r>
        <w:rPr>
          <w:rFonts w:ascii="Times New Roman" w:cs="Times New Roman" w:eastAsia="Times New Roman" w:hAnsi="Times New Roman"/>
          <w:sz w:val="18"/>
          <w:szCs w:val="18"/>
          <w:i w:val="1"/>
          <w:iCs w:val="1"/>
          <w:color w:val="auto"/>
        </w:rPr>
        <w:t>Revenues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tcPr>
          <w:p>
            <w:pPr>
              <w:spacing w:after="0"/>
              <w:rPr>
                <w:sz w:val="10"/>
                <w:szCs w:val="10"/>
                <w:color w:val="auto"/>
              </w:rPr>
            </w:pPr>
          </w:p>
        </w:tc>
        <w:tc>
          <w:tcPr>
            <w:tcW w:w="7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8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3"/>
                <w:szCs w:val="13"/>
                <w:color w:val="auto"/>
              </w:rPr>
            </w:pPr>
          </w:p>
        </w:tc>
        <w:tc>
          <w:tcPr>
            <w:tcW w:w="6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640" w:type="dxa"/>
            <w:vAlign w:val="bottom"/>
          </w:tcPr>
          <w:p>
            <w:pPr>
              <w:spacing w:after="0"/>
              <w:rPr>
                <w:sz w:val="13"/>
                <w:szCs w:val="13"/>
                <w:color w:val="auto"/>
              </w:rPr>
            </w:pP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169.6</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156.3</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total revenues grew by $32.9 million as a result of a $19.6 million increase in service revenues and a $13.3 million increase in product revenues. The service revenue increase was primarily driven by an increase of $18.2 million in our satellite services segment. The product revenue increase was primarily driven by an increase of $15.4 million in our government systems segment.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6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tcPr>
          <w:p>
            <w:pPr>
              <w:spacing w:after="0"/>
              <w:rPr>
                <w:sz w:val="10"/>
                <w:szCs w:val="10"/>
                <w:color w:val="auto"/>
              </w:rPr>
            </w:pPr>
          </w:p>
        </w:tc>
        <w:tc>
          <w:tcPr>
            <w:tcW w:w="1440" w:type="dxa"/>
            <w:vAlign w:val="bottom"/>
            <w:tcBorders>
              <w:top w:val="single" w:sz="8" w:color="auto"/>
            </w:tcBorders>
            <w:gridSpan w:val="3"/>
          </w:tcPr>
          <w:p>
            <w:pPr>
              <w:jc w:val="right"/>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7"/>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620" w:type="dxa"/>
            <w:vAlign w:val="bottom"/>
          </w:tcPr>
          <w:p>
            <w:pPr>
              <w:spacing w:after="0"/>
              <w:rPr>
                <w:sz w:val="13"/>
                <w:szCs w:val="13"/>
                <w:color w:val="auto"/>
              </w:rPr>
            </w:pPr>
          </w:p>
        </w:tc>
        <w:tc>
          <w:tcPr>
            <w:tcW w:w="86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35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113.8</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255.5</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Cost of revenues increased by $18.0 million due to increases of $10.8 million in cost of product revenues and $7.2 million in cost of service revenues. The cost of product revenue increase was primarily due to increased product revenues, causing a $9.7 million increase in cost of product revenues on a constant margin basis. This cost of product revenue increase mainly related to our cybersecurity and information assurance products, tactical data link products and government satellite communication systems in our government systems segment. The cost of service revenue increase was primarily due to increased service revenues, which generated a $12.7 million increase in cost of service revenues on a constant margin basis. This increase mainly related to our Exede broadband services and in-flight broadband services in our satellite services segment, partially offset by improved margins from our Exede broadband services resulting from continued expansion of premium higher bandwidth broadband internet plan offerings and growth in value-added service offerings compared to the prior year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4"/>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9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14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700" w:type="dxa"/>
            <w:vAlign w:val="bottom"/>
          </w:tcPr>
          <w:p>
            <w:pPr>
              <w:spacing w:after="0"/>
              <w:rPr>
                <w:sz w:val="10"/>
                <w:szCs w:val="10"/>
                <w:color w:val="auto"/>
              </w:rPr>
            </w:pPr>
          </w:p>
        </w:tc>
        <w:tc>
          <w:tcPr>
            <w:tcW w:w="1280" w:type="dxa"/>
            <w:vAlign w:val="bottom"/>
            <w:gridSpan w:val="3"/>
          </w:tcPr>
          <w:p>
            <w:pPr>
              <w:jc w:val="center"/>
              <w:ind w:right="6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Pr>
          <w:p>
            <w:pPr>
              <w:spacing w:after="0"/>
              <w:rPr>
                <w:sz w:val="13"/>
                <w:szCs w:val="13"/>
                <w:color w:val="auto"/>
              </w:rPr>
            </w:pPr>
          </w:p>
        </w:tc>
        <w:tc>
          <w:tcPr>
            <w:tcW w:w="1280" w:type="dxa"/>
            <w:vAlign w:val="bottom"/>
            <w:gridSpan w:val="3"/>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80.3</w:t>
            </w:r>
          </w:p>
        </w:tc>
        <w:tc>
          <w:tcPr>
            <w:tcW w:w="6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76.4</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The $3.9 million increase in selling, general and administrative (SG&amp;A) expenses was primarily attributable to higher support costs of $5.6 million mainly relating to our government systems segment. This increase was partially offset by lower new business proposal costs mainly in our government systems segment. SG&amp;A expenses consisted primarily of personnel costs and expenses for business development, marketing and sales, bid and proposal, facilities, finance, contract administration and general management.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research and development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80" w:type="dxa"/>
            <w:vAlign w:val="bottom"/>
            <w:vMerge w:val="restart"/>
          </w:tcPr>
          <w:p>
            <w:pPr>
              <w:spacing w:after="0"/>
              <w:rPr>
                <w:sz w:val="10"/>
                <w:szCs w:val="10"/>
                <w:color w:val="auto"/>
              </w:rPr>
            </w:pPr>
          </w:p>
        </w:tc>
        <w:tc>
          <w:tcPr>
            <w:tcW w:w="14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20" w:type="dxa"/>
            <w:vAlign w:val="bottom"/>
          </w:tcPr>
          <w:p>
            <w:pPr>
              <w:spacing w:after="0"/>
              <w:rPr>
                <w:sz w:val="10"/>
                <w:szCs w:val="10"/>
                <w:color w:val="auto"/>
              </w:rPr>
            </w:pPr>
          </w:p>
        </w:tc>
        <w:tc>
          <w:tcPr>
            <w:tcW w:w="1240" w:type="dxa"/>
            <w:vAlign w:val="bottom"/>
            <w:gridSpan w:val="2"/>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Pr>
          <w:p>
            <w:pPr>
              <w:spacing w:after="0"/>
              <w:rPr>
                <w:sz w:val="13"/>
                <w:szCs w:val="13"/>
                <w:color w:val="auto"/>
              </w:rPr>
            </w:pPr>
          </w:p>
        </w:tc>
        <w:tc>
          <w:tcPr>
            <w:tcW w:w="124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34.4</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19.2</w:t>
            </w:r>
          </w:p>
        </w:tc>
        <w:tc>
          <w:tcPr>
            <w:tcW w:w="6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15.3</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$15.3 million increase in IR&amp;D expenses was primarily the result of increased IR&amp;D efforts in our commercial networks segment of $14.7 million, which mainly related to research increases in next-generation satellite payload technologies for our ViaSat-3 class satellites and mobile broadband satellite communication systems.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amortize our acquired intangible assets from prior acquisitions over their estimated useful lives, which range from two to ten years. The $1.5 million decrease in amortization of acquired intangible assets in the third quarter of fiscal year 2017 compared to the prior year period was primarily the result of certain acquired customer relationship intangibles in our satellite services segment becoming fully amortized over the preceding fiscal year. Current and expected amortization expense for acquired intangible assets for each of the following periods is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December 31, 2016</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2017</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$0.3 million decrease in interest income in the three months ended December 31, 2016 compared to the prior year period was primarily due to the decrease in the amount of payments under our settlement agreement with Space Systems Loral, Inc. and its former parent company Loral Space &amp; Communications, Inc. (the Settlement Agreement), recognized as interest income in both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$3.7 million decrease in interest expense in the three months ended December 31, 2016 compared to the prior year period was primarily due to an increase of $5.7 million in the amount of interest capitalized during the third quarter of fiscal year 2017 compared to the prior year period. This decrease was partially offset by increased interest expense due to the overall higher amount of outstanding borrowings during the three months ended December 31, 2016 compared to the prior year period. Capitalized interest expense during the three months ended December 31, 2016 and 2015 related to the construction of ViaSat-2 and related gateway and networking equipment, and other assets, and in the current year period also included interest expense related to the construction of our ViaSat-3 class satellites.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the three months ended December 31, 2016, we recorded an income tax provision of $0.9 million. For the three months ended December 31, 2015, we recorded an income tax benefit of $5.1 million. The income tax provision (benefit) for the periods differed from the amounts which would have been recorded using the U.S. statutory rate due primarily to the benefit of research and development tax credits. The Protecting Americans from Tax Hikes (PATH) Act of 2015 enacted on December 18, 2015 extended the research and development credit permanently, retroactive to January 2015. In the first two quarters of fiscal year 2016, our estimated annual effective income tax rate did not include the effect of the extension of the research and development tax credit, which resulted in an adjustment of approximately $4.3 million in tax benefits in the third quarter of fiscal year 2016. Also, as a result of the extension of the research and development tax credit, approximately $2.1 million of research and development credit generated in the fourth quarter of fiscal year 2015 was recognized as a discrete tax benefit in the third quarter of fiscal year 2016.</w:t>
      </w:r>
    </w:p>
    <w:p>
      <w:pPr>
        <w:spacing w:after="0" w:line="13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For the three months ended December 31, 2016, we used the actual effective year-to-date tax rate in calculating the income tax provision for that period as a reliable estimate of the annual effective tax rate could not be made.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December 31, 2016 vs. Three Months Ended December 31, 2015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services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6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tcPr>
          <w:p>
            <w:pPr>
              <w:spacing w:after="0"/>
              <w:rPr>
                <w:sz w:val="10"/>
                <w:szCs w:val="10"/>
                <w:color w:val="auto"/>
              </w:rPr>
            </w:pPr>
          </w:p>
        </w:tc>
        <w:tc>
          <w:tcPr>
            <w:tcW w:w="7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3"/>
                <w:szCs w:val="13"/>
                <w:color w:val="auto"/>
              </w:rPr>
            </w:pPr>
          </w:p>
        </w:tc>
        <w:tc>
          <w:tcPr>
            <w:tcW w:w="6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640" w:type="dxa"/>
            <w:vAlign w:val="bottom"/>
          </w:tcPr>
          <w:p>
            <w:pPr>
              <w:spacing w:after="0"/>
              <w:rPr>
                <w:sz w:val="13"/>
                <w:szCs w:val="13"/>
                <w:color w:val="auto"/>
              </w:rPr>
            </w:pPr>
          </w:p>
        </w:tc>
        <w:tc>
          <w:tcPr>
            <w:tcW w:w="86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satellite services segment revenues grew by $18.9 million primarily as a result of an $18.2 million increase in service revenues. The increase in service revenues was primarily driven by higher average revenue per Exede broadband internet subscriber, as well as the expansion of our in-flight broadband services compared to the prior year period. 555 commercial aircraft were in service as of December 31, 2016 compared to 446 commercial aircraft in service as of December 31, 2015. Total subscribers of our broadband internet services slightly decreased year over year, with approximately 675,000 subscribers at December 31, 2016 compared to 687,000 subscribers at December 31, 2015.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3"/>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60" w:type="dxa"/>
            <w:vAlign w:val="bottom"/>
            <w:vMerge w:val="restart"/>
          </w:tcPr>
          <w:p>
            <w:pPr>
              <w:spacing w:after="0"/>
              <w:rPr>
                <w:sz w:val="10"/>
                <w:szCs w:val="10"/>
                <w:color w:val="auto"/>
              </w:rPr>
            </w:pPr>
          </w:p>
        </w:tc>
        <w:tc>
          <w:tcPr>
            <w:tcW w:w="15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199"/>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34.8</w:t>
            </w:r>
          </w:p>
        </w:tc>
        <w:tc>
          <w:tcPr>
            <w:tcW w:w="7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21.8</w:t>
            </w:r>
          </w:p>
        </w:tc>
        <w:tc>
          <w:tcPr>
            <w:tcW w:w="4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13.1</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8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increase in our satellite services segment operating profit was driven primarily by higher earnings contributions of $14.0 million primarily due to the increase in service revenues. The higher average revenue per Exede broadband internet subscriber in the current year period was primarily driven by a higher mix of subscribers choosing premium service plans and value-added service bundles compared to the prior year period, and resulted in increased service revenues and improved margins. We also experienced positive contributions from our Yonder mobile broadband services and in-flight broadband services during the current year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networks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20" w:type="dxa"/>
            <w:vAlign w:val="bottom"/>
          </w:tcPr>
          <w:p>
            <w:pPr>
              <w:spacing w:after="0"/>
              <w:rPr>
                <w:sz w:val="10"/>
                <w:szCs w:val="10"/>
                <w:color w:val="auto"/>
              </w:rPr>
            </w:pPr>
          </w:p>
        </w:tc>
        <w:tc>
          <w:tcPr>
            <w:tcW w:w="12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7"/>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Pr>
          <w:p>
            <w:pPr>
              <w:spacing w:after="0"/>
              <w:rPr>
                <w:sz w:val="13"/>
                <w:szCs w:val="13"/>
                <w:color w:val="auto"/>
              </w:rPr>
            </w:pPr>
          </w:p>
        </w:tc>
        <w:tc>
          <w:tcPr>
            <w:tcW w:w="12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right"/>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46.9</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49.6</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700" w:type="dxa"/>
            <w:vAlign w:val="bottom"/>
            <w:gridSpan w:val="2"/>
            <w:shd w:val="clear" w:color="auto" w:fill="CCEEFF"/>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commercial networks segment revenues decreased slightly by $0.9 million, due to a $2.7 million decrease in product revenues, offset by a $1.8 million increase in service revenues. The decrease in product revenues was primarily due to a decrease of $5.2 million in mobile broadband satellite communication systems, partially offset by an increase of $1.9 million related to satellite networking development programs.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4"/>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70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820" w:type="dxa"/>
            <w:vAlign w:val="bottom"/>
          </w:tcPr>
          <w:p>
            <w:pPr>
              <w:spacing w:after="0"/>
              <w:rPr>
                <w:sz w:val="10"/>
                <w:szCs w:val="10"/>
                <w:color w:val="auto"/>
              </w:rPr>
            </w:pPr>
          </w:p>
        </w:tc>
        <w:tc>
          <w:tcPr>
            <w:tcW w:w="1260" w:type="dxa"/>
            <w:vAlign w:val="bottom"/>
            <w:gridSpan w:val="2"/>
          </w:tcPr>
          <w:p>
            <w:pPr>
              <w:jc w:val="center"/>
              <w:ind w:right="6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820" w:type="dxa"/>
            <w:vAlign w:val="bottom"/>
          </w:tcPr>
          <w:p>
            <w:pPr>
              <w:spacing w:after="0"/>
              <w:rPr>
                <w:sz w:val="13"/>
                <w:szCs w:val="13"/>
                <w:color w:val="auto"/>
              </w:rPr>
            </w:pPr>
          </w:p>
        </w:tc>
        <w:tc>
          <w:tcPr>
            <w:tcW w:w="126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3"/>
              </w:rPr>
              <w:t>Decrease</w:t>
            </w:r>
          </w:p>
        </w:tc>
        <w:tc>
          <w:tcPr>
            <w:tcW w:w="90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(48.6)</w:t>
            </w:r>
          </w:p>
        </w:tc>
        <w:tc>
          <w:tcPr>
            <w:tcW w:w="3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(29.9)</w:t>
            </w:r>
          </w:p>
        </w:tc>
        <w:tc>
          <w:tcPr>
            <w:tcW w:w="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4"/>
              </w:rPr>
              <w:t>$  (18.7)</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(53.9)%</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$18.7 million increase in our commercial networks segment operating loss was driven primarily by a $14.7 million increase in IR&amp;D expenses (primarily related to research increases in next-generation satellite payload technologies for our ViaSat-3 class satellites and mobile broadband satellite communication systems) and lower earnings contributions of $3.4 million (primarily due to lower revenues and lower margins in our mobile broadband satellite communication systems).</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240" w:top="455" w:right="3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systems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vMerge w:val="restart"/>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8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1260" w:type="dxa"/>
            <w:vAlign w:val="bottom"/>
            <w:gridSpan w:val="3"/>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3"/>
                <w:szCs w:val="13"/>
                <w:color w:val="auto"/>
              </w:rPr>
            </w:pPr>
          </w:p>
        </w:tc>
        <w:tc>
          <w:tcPr>
            <w:tcW w:w="12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right"/>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115.6</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60" w:type="dxa"/>
            <w:vAlign w:val="bottom"/>
            <w:gridSpan w:val="2"/>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Our government systems segment revenues increased by $14.9 million, due to a $15.4 million increase in product revenues. The product revenue increase was primarily due to a $4.6 million increase in government satellite communication systems, a $4.5 million increase in cybersecurity and information assurance products and a $4.3 million increase in tactical data link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7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15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760" w:type="dxa"/>
            <w:vAlign w:val="bottom"/>
          </w:tcPr>
          <w:p>
            <w:pPr>
              <w:spacing w:after="0"/>
              <w:rPr>
                <w:sz w:val="10"/>
                <w:szCs w:val="10"/>
                <w:color w:val="auto"/>
              </w:rPr>
            </w:pPr>
          </w:p>
        </w:tc>
        <w:tc>
          <w:tcPr>
            <w:tcW w:w="1240" w:type="dxa"/>
            <w:vAlign w:val="bottom"/>
            <w:gridSpan w:val="3"/>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760" w:type="dxa"/>
            <w:vAlign w:val="bottom"/>
          </w:tcPr>
          <w:p>
            <w:pPr>
              <w:spacing w:after="0"/>
              <w:rPr>
                <w:sz w:val="13"/>
                <w:szCs w:val="13"/>
                <w:color w:val="auto"/>
              </w:rPr>
            </w:pPr>
          </w:p>
        </w:tc>
        <w:tc>
          <w:tcPr>
            <w:tcW w:w="1240" w:type="dxa"/>
            <w:vAlign w:val="bottom"/>
            <w:gridSpan w:val="3"/>
          </w:tcPr>
          <w:p>
            <w:pPr>
              <w:jc w:val="center"/>
              <w:ind w:right="6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24.1</w:t>
            </w:r>
          </w:p>
        </w:tc>
        <w:tc>
          <w:tcPr>
            <w:tcW w:w="7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22.8</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$1.4 million increase in our government systems segment operating profit reflected higher earnings contributions of $4.3 million primarily due to higher revenues in our government satellite communication systems (mainly attributable to unmanned aerial vehicles), tactical data link products and cybersecurity and information assurance products. This operating profit increase was partially offset by overall higher SG&amp;A costs of $2.3 million.</w:t>
      </w:r>
    </w:p>
    <w:p>
      <w:pPr>
        <w:spacing w:after="0" w:line="211" w:lineRule="exact"/>
        <w:rPr>
          <w:sz w:val="20"/>
          <w:szCs w:val="20"/>
          <w:color w:val="auto"/>
        </w:rPr>
      </w:pPr>
    </w:p>
    <w:p>
      <w:pPr>
        <w:ind w:right="514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Nine Months Ended December 31, 2016 vs. Nine Months Ended December 31, 2015 </w:t>
      </w:r>
      <w:r>
        <w:rPr>
          <w:rFonts w:ascii="Times New Roman" w:cs="Times New Roman" w:eastAsia="Times New Roman" w:hAnsi="Times New Roman"/>
          <w:sz w:val="18"/>
          <w:szCs w:val="18"/>
          <w:i w:val="1"/>
          <w:iCs w:val="1"/>
          <w:color w:val="auto"/>
        </w:rPr>
        <w:t>Revenues</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08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60" w:type="dxa"/>
            <w:vAlign w:val="bottom"/>
          </w:tcPr>
          <w:p>
            <w:pPr>
              <w:spacing w:after="0"/>
              <w:rPr>
                <w:sz w:val="10"/>
                <w:szCs w:val="10"/>
                <w:color w:val="auto"/>
              </w:rPr>
            </w:pPr>
          </w:p>
        </w:tc>
        <w:tc>
          <w:tcPr>
            <w:tcW w:w="140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80" w:type="dxa"/>
            <w:vAlign w:val="bottom"/>
          </w:tcPr>
          <w:p>
            <w:pPr>
              <w:spacing w:after="0"/>
              <w:rPr>
                <w:sz w:val="10"/>
                <w:szCs w:val="10"/>
                <w:color w:val="auto"/>
              </w:rPr>
            </w:pPr>
          </w:p>
        </w:tc>
        <w:tc>
          <w:tcPr>
            <w:tcW w:w="1200" w:type="dxa"/>
            <w:vAlign w:val="bottom"/>
            <w:gridSpan w:val="3"/>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3"/>
                <w:szCs w:val="13"/>
                <w:color w:val="auto"/>
              </w:rPr>
            </w:pPr>
          </w:p>
        </w:tc>
        <w:tc>
          <w:tcPr>
            <w:tcW w:w="1200" w:type="dxa"/>
            <w:vAlign w:val="bottom"/>
            <w:gridSpan w:val="3"/>
          </w:tcPr>
          <w:p>
            <w:pPr>
              <w:jc w:val="right"/>
              <w:ind w:right="5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3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517.5</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488.3</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29.2</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625.4</w:t>
            </w: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557.2</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68.3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1,142.9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97.5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total revenues grew by $97.5 million, due to a $68.3 million increase in service revenues and a $29.2 million increase in product revenues. The service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 was primarily driven by increases of $53.5 million in our satellite services segment, $8.6 million in our government systems segment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 million in our commercial networks segment. The product revenue increase was primarily driven by an increase of $36.9 million in our government systems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partially offset by a $9.2 million decrease in our commercial networks segment.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6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tcPr>
          <w:p>
            <w:pPr>
              <w:spacing w:after="0"/>
              <w:rPr>
                <w:sz w:val="10"/>
                <w:szCs w:val="10"/>
                <w:color w:val="auto"/>
              </w:rPr>
            </w:pPr>
          </w:p>
        </w:tc>
        <w:tc>
          <w:tcPr>
            <w:tcW w:w="1440" w:type="dxa"/>
            <w:vAlign w:val="bottom"/>
            <w:gridSpan w:val="3"/>
          </w:tcPr>
          <w:p>
            <w:pPr>
              <w:jc w:val="right"/>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197"/>
              <w:spacing w:after="0" w:line="152" w:lineRule="exact"/>
              <w:rPr>
                <w:sz w:val="20"/>
                <w:szCs w:val="20"/>
                <w:color w:val="auto"/>
              </w:rPr>
            </w:pPr>
            <w:r>
              <w:rPr>
                <w:rFonts w:ascii="Times New Roman" w:cs="Times New Roman" w:eastAsia="Times New Roman" w:hAnsi="Times New Roman"/>
                <w:sz w:val="14"/>
                <w:szCs w:val="14"/>
                <w:b w:val="1"/>
                <w:bCs w:val="1"/>
                <w:color w:val="auto"/>
                <w:w w:val="85"/>
              </w:rPr>
              <w:t>2015</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620" w:type="dxa"/>
            <w:vAlign w:val="bottom"/>
          </w:tcPr>
          <w:p>
            <w:pPr>
              <w:spacing w:after="0"/>
              <w:rPr>
                <w:sz w:val="13"/>
                <w:szCs w:val="13"/>
                <w:color w:val="auto"/>
              </w:rPr>
            </w:pPr>
          </w:p>
        </w:tc>
        <w:tc>
          <w:tcPr>
            <w:tcW w:w="86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35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382.1</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355.8</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392.8</w:t>
            </w:r>
          </w:p>
        </w:tc>
        <w:tc>
          <w:tcPr>
            <w:tcW w:w="2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774.9</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721.8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Cost of revenues increased by $53.1 million due to a $26.8 million increase in cost of service revenues and $26.3 million increase in cost of product revenues. The cost of service revenue increase was primarily due to increased service revenues, which generated a $44.8 million increase in cost of service revenues on a constant margin basis. This increase mainly related to our Exede broadband services and in-flight broadband services in our satellite services segment, as well as our network management services for Wi-Fi and other internet access networks in our government systems segment, and was partially offset by improved margins from our</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Exede broadband services resulting from a higher mix of subscribers choosing premium service plans and value-added service bundles compared to the prior year period in our satellite services segment. The cost of product revenue increase was primarily due to increased revenues, causing a $21.3 million increase in cost of product revenues on a constant margin basis. This cost of product revenue increase mainly related to our cybersecurity and information assurance products and tactical data links products in our government systems segment as well as consumer broadband products in our commercial networks segment, coupled with lower margins in our mobile broadband satellite communications systems in our commercial networks segment.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vMerge w:val="restart"/>
          </w:tcPr>
          <w:p>
            <w:pPr>
              <w:spacing w:after="0"/>
              <w:rPr>
                <w:sz w:val="10"/>
                <w:szCs w:val="10"/>
                <w:color w:val="auto"/>
              </w:rPr>
            </w:pPr>
          </w:p>
        </w:tc>
        <w:tc>
          <w:tcPr>
            <w:tcW w:w="14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202"/>
              <w:spacing w:after="0" w:line="152" w:lineRule="exact"/>
              <w:rPr>
                <w:sz w:val="20"/>
                <w:szCs w:val="20"/>
                <w:color w:val="auto"/>
              </w:rPr>
            </w:pPr>
            <w:r>
              <w:rPr>
                <w:rFonts w:ascii="Times New Roman" w:cs="Times New Roman" w:eastAsia="Times New Roman" w:hAnsi="Times New Roman"/>
                <w:sz w:val="14"/>
                <w:szCs w:val="14"/>
                <w:b w:val="1"/>
                <w:bCs w:val="1"/>
                <w:color w:val="auto"/>
                <w:w w:val="85"/>
              </w:rPr>
              <w:t>2015</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236.9</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220.8</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16.1</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$16.1 million increase in SG&amp;A expenses was primarily attributable to higher support costs of $21.6 million spread across all three segments. This increase was partially offset by lower new business proposal costs mainly in our government systems segment as well as lower selling costs in our satellite services segment. SG&amp;A expenses consisted primarily of personnel costs and expenses for business development, marketing and sales, bid and proposal, facilities, finance, contract administration and general management.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research and development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80" w:type="dxa"/>
            <w:vAlign w:val="bottom"/>
            <w:vMerge w:val="restart"/>
          </w:tcPr>
          <w:p>
            <w:pPr>
              <w:spacing w:after="0"/>
              <w:rPr>
                <w:sz w:val="10"/>
                <w:szCs w:val="10"/>
                <w:color w:val="auto"/>
              </w:rPr>
            </w:pPr>
          </w:p>
        </w:tc>
        <w:tc>
          <w:tcPr>
            <w:tcW w:w="14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20" w:type="dxa"/>
            <w:vAlign w:val="bottom"/>
          </w:tcPr>
          <w:p>
            <w:pPr>
              <w:spacing w:after="0"/>
              <w:rPr>
                <w:sz w:val="10"/>
                <w:szCs w:val="10"/>
                <w:color w:val="auto"/>
              </w:rPr>
            </w:pPr>
          </w:p>
        </w:tc>
        <w:tc>
          <w:tcPr>
            <w:tcW w:w="1240" w:type="dxa"/>
            <w:vAlign w:val="bottom"/>
            <w:gridSpan w:val="2"/>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Pr>
          <w:p>
            <w:pPr>
              <w:spacing w:after="0"/>
              <w:rPr>
                <w:sz w:val="13"/>
                <w:szCs w:val="13"/>
                <w:color w:val="auto"/>
              </w:rPr>
            </w:pPr>
          </w:p>
        </w:tc>
        <w:tc>
          <w:tcPr>
            <w:tcW w:w="124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89.8</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55.6</w:t>
            </w:r>
          </w:p>
        </w:tc>
        <w:tc>
          <w:tcPr>
            <w:tcW w:w="6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34.2</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$34.2 million increase in IR&amp;D expenses was primarily the result of increased IR&amp;D efforts in our commercial networks segment of $36.2 million (primarily related to research increases in next-generation satellite payload technologies for our ViaSat-3 class satellites, mobile broadband satellite communication systems and next-generation consumer broadband integrated networking technologies).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amortize our acquired intangible assets from prior acquisitions over their estimated useful lives, which range from two to ten years. The $6.1 million decrease in amortization of acquired intangible assets in the first nine months of fiscal year 2017 compared to the prior year period was primarily the result of certain acquired customer relationship intangibles in our satellite services segment becoming fully amortized over the preceding fiscal year. Current and expected amortization expense for acquired intangible assets for each of the following periods is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December 31, 2016</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2017</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$1.0 million decrease in interest income in the nine months ended December 31, 2016 compared to the prior year period was primarily due to the decrease in the amount of payments under the Settlement Agreement recognized as interest income in both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$7.5 million decrease in interest expense in the nine months ended December 31, 2016 compared to the prior year period was primarily due to an increase of $14.3 million in the amount of interest capitalized during the first nine months of fiscal year 2017 compared to the same period last fiscal year. This decrease was partially offset by increased interest expense due to the overall higher amount of outstanding borrowings during the nine months ended December 31, 2016 compared to the prior year period. Capitalized interest expense during the nine months ended December 31, 2016 and 2015 related to the construction of ViaSat-2 and related gateway and networking equipment, and other assets, and in the current year period also included interest expense related to the construction of our ViaSat-3 class satellites.</w:t>
      </w:r>
    </w:p>
    <w:p>
      <w:pPr>
        <w:sectPr>
          <w:pgSz w:w="11900" w:h="16838" w:orient="portrait"/>
          <w:cols w:equalWidth="0" w:num="1">
            <w:col w:w="11380"/>
          </w:cols>
          <w:pgMar w:left="240" w:top="455" w:right="279" w:bottom="1440" w:gutter="0" w:footer="0" w:header="0"/>
        </w:sectPr>
      </w:pP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For the nine months ended December 31, 2016, we recorded an income tax provision of $5.3 million. For the nine months ended December 31, 2015, we recorded an income tax benefit of $1.3 million. The income tax provision (benefit) for the periods differed from the amounts which would have been recorded using the U.S. statutory rate due primarily to the benefit of research and development tax credits. The PATH Act of 2015 enacted on December 18, 2015 extended the research and development credit permanently, retroactive to January 2015. In the first two quarters of fiscal year 2016, our estimated annual effective income tax rate did not include the effect of the extension of the research and development tax credit, which resulted in an adjustment of approximately $4.3 million in tax benefits in the third quarter of fiscal year 2016. Also, as a result of the extension of the research and development tax credit, approximately $2.1 million of research and development credit generated in the fourth quarter of fiscal year 2015 was recognized as a discrete tax benefit in the third quarter of fiscal year 2016.</w:t>
      </w:r>
    </w:p>
    <w:p>
      <w:pPr>
        <w:spacing w:after="0" w:line="11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For the nine months ended December 31, 2016, we used the actual effective year-to-date tax rate in calculating the income tax provision for the period as a reliable estimate of the annual effective tax rate could not be made.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Nine Months Ended December 31, 2016 vs. Nine Months Ended December 31, 2015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services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6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tcPr>
          <w:p>
            <w:pPr>
              <w:spacing w:after="0"/>
              <w:rPr>
                <w:sz w:val="10"/>
                <w:szCs w:val="10"/>
                <w:color w:val="auto"/>
              </w:rPr>
            </w:pPr>
          </w:p>
        </w:tc>
        <w:tc>
          <w:tcPr>
            <w:tcW w:w="7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640" w:type="dxa"/>
            <w:vAlign w:val="bottom"/>
          </w:tcPr>
          <w:p>
            <w:pPr>
              <w:spacing w:after="0"/>
              <w:rPr>
                <w:sz w:val="13"/>
                <w:szCs w:val="13"/>
                <w:color w:val="auto"/>
              </w:rPr>
            </w:pPr>
          </w:p>
        </w:tc>
        <w:tc>
          <w:tcPr>
            <w:tcW w:w="6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640" w:type="dxa"/>
            <w:vAlign w:val="bottom"/>
          </w:tcPr>
          <w:p>
            <w:pPr>
              <w:spacing w:after="0"/>
              <w:rPr>
                <w:sz w:val="13"/>
                <w:szCs w:val="13"/>
                <w:color w:val="auto"/>
              </w:rPr>
            </w:pPr>
          </w:p>
        </w:tc>
        <w:tc>
          <w:tcPr>
            <w:tcW w:w="86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satellite services segment revenues grew by $55.0 million primarily as a result of a $53.5 million increase in service revenues. The increase in service revenues was primarily driven by higher average revenue per Exede broadband internet subscriber, as well as the expansion of our in-flight broadband services compared to the prior year period. 555 commercial aircraft were in service as of December 31, 2016 compared to 446 commercial aircraft in service as of December 31, 2015. Total subscribers of our broadband internet services slightly decreased year over year, with approximately 675,000 subscribers at December 31, 2016 compared to 687,000 subscribers at December 31, 2015.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3"/>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60" w:type="dxa"/>
            <w:vAlign w:val="bottom"/>
            <w:vMerge w:val="restart"/>
          </w:tcPr>
          <w:p>
            <w:pPr>
              <w:spacing w:after="0"/>
              <w:rPr>
                <w:sz w:val="10"/>
                <w:szCs w:val="10"/>
                <w:color w:val="auto"/>
              </w:rPr>
            </w:pPr>
          </w:p>
        </w:tc>
        <w:tc>
          <w:tcPr>
            <w:tcW w:w="15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99"/>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98.3</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5"/>
              </w:rPr>
              <w:t>59.8</w:t>
            </w:r>
          </w:p>
        </w:tc>
        <w:tc>
          <w:tcPr>
            <w:tcW w:w="4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38.4</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8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increase in our satellite services segment operating profit was driven primarily by higher earnings contributions of $41.2 million primarily due to the increase in service revenues. The higher average revenue per Exede broadband internet subscriber in the current year period was primarily driven by a higher mix of subscribers choosing premium service plans and value-added service bundles compared to the prior year period, and resulted in increased service revenues and improved margins. We also experienced positive contributions from our Yonder mobile broadband services and in-flight broadband services in the current year period.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networks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3"/>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8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2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12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w w:val="85"/>
              </w:rPr>
              <w:t>2015</w:t>
            </w:r>
          </w:p>
        </w:tc>
        <w:tc>
          <w:tcPr>
            <w:tcW w:w="640" w:type="dxa"/>
            <w:vAlign w:val="bottom"/>
          </w:tcPr>
          <w:p>
            <w:pPr>
              <w:spacing w:after="0"/>
              <w:rPr>
                <w:sz w:val="13"/>
                <w:szCs w:val="13"/>
                <w:color w:val="auto"/>
              </w:rPr>
            </w:pPr>
          </w:p>
        </w:tc>
        <w:tc>
          <w:tcPr>
            <w:tcW w:w="12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right"/>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163.9</w:t>
            </w:r>
          </w:p>
        </w:tc>
        <w:tc>
          <w:tcPr>
            <w:tcW w:w="6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60" w:type="dxa"/>
            <w:vAlign w:val="bottom"/>
            <w:gridSpan w:val="2"/>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commercial networks segment revenues decreased by $3.0 million, due to a $9.2 million decrease in product revenues offset by a $6.2 million increase in service revenues. The product revenue decrease was comprised mainly of a decrease of $18.7 million in mobile broadband satellite communication systems, partially offset by an increase of $9.7 million related to fixed satellite networks (reflecting broadband terminal orders under our large-scale Australian Ka-band infrastructure project, partially offset by decreased revenues reflecting the nearing of completion of the Australian Ka-band infrastructure project and a decrease from our next-generation Ka-band system contract in Canada). The service revenue increase was primarily due to a $5.2 million increase related to fixed satellite networks support agreements.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3"/>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80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15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(Increase)</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90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w:t>
            </w: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(70.9)</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4"/>
              </w:rPr>
              <w:t>$  (57.1)</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19"/>
                <w:szCs w:val="19"/>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$57.1 million increase in our commercial networks segment operating loss was driven primarily by a $36.2 million increase in IR&amp;D expenses (primarily related to research increases in next-generation satellite payload technologies for our ViaSat-3 class satellites and mobile broadband satellite communication systems) and lower earnings contributions of $15.4 million primarily due to lower revenues and lower margins in our mobile broadband satellite communication systems. Additionally, support costs increased $5.7 million compared to the prior year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systems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6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540" w:type="dxa"/>
            <w:vAlign w:val="bottom"/>
          </w:tcPr>
          <w:p>
            <w:pPr>
              <w:spacing w:after="0"/>
              <w:rPr>
                <w:sz w:val="10"/>
                <w:szCs w:val="10"/>
                <w:color w:val="auto"/>
              </w:rPr>
            </w:pPr>
          </w:p>
        </w:tc>
        <w:tc>
          <w:tcPr>
            <w:tcW w:w="7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8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640" w:type="dxa"/>
            <w:vAlign w:val="bottom"/>
          </w:tcPr>
          <w:p>
            <w:pPr>
              <w:spacing w:after="0"/>
              <w:rPr>
                <w:sz w:val="13"/>
                <w:szCs w:val="13"/>
                <w:color w:val="auto"/>
              </w:rPr>
            </w:pPr>
          </w:p>
        </w:tc>
        <w:tc>
          <w:tcPr>
            <w:tcW w:w="6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2"/>
              </w:rPr>
              <w:t>(Decrease)</w:t>
            </w:r>
          </w:p>
        </w:tc>
        <w:tc>
          <w:tcPr>
            <w:tcW w:w="640" w:type="dxa"/>
            <w:vAlign w:val="bottom"/>
          </w:tcPr>
          <w:p>
            <w:pPr>
              <w:spacing w:after="0"/>
              <w:rPr>
                <w:sz w:val="13"/>
                <w:szCs w:val="13"/>
                <w:color w:val="auto"/>
              </w:rPr>
            </w:pPr>
          </w:p>
        </w:tc>
        <w:tc>
          <w:tcPr>
            <w:tcW w:w="86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333.0</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8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36.9</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9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government systems segment revenues increased by $45.5 million due to a $36.9 million increase in product revenues and an $8.6 million increase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revenues. The product revenue increase was primarily due to an $18.7 million increase in cybersecurity and information assurance products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 million increase in tactical data link products. Of the service revenues increase, $9.3 million related to our network management services for Wi-Fi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internet access networks.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3"/>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60" w:type="dxa"/>
            <w:vAlign w:val="bottom"/>
            <w:vMerge w:val="restart"/>
          </w:tcPr>
          <w:p>
            <w:pPr>
              <w:spacing w:after="0"/>
              <w:rPr>
                <w:sz w:val="10"/>
                <w:szCs w:val="10"/>
                <w:color w:val="auto"/>
              </w:rPr>
            </w:pPr>
          </w:p>
        </w:tc>
        <w:tc>
          <w:tcPr>
            <w:tcW w:w="15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99"/>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71.1</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5"/>
              </w:rPr>
              <w:t>58.4</w:t>
            </w:r>
          </w:p>
        </w:tc>
        <w:tc>
          <w:tcPr>
            <w:tcW w:w="4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12.7</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18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$12.7 million increase in our government systems segment operating profit reflected higher earnings contributions of $18.5 million primarily due to higher revenues and improved margins in our cybersecurity and information assurance products and tactical data link products. This operating profit increase was partially offset by higher overall SG&amp;A costs of $7.8 million.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reflected in the table below, our overall firm and funded backlog increased during the first nine months of fiscal year 2017. The increases in firm and funded backlog were attributable to increases in our government systems segment.</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Satellite services segment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780" w:type="dxa"/>
            <w:vAlign w:val="bottom"/>
          </w:tcPr>
          <w:p>
            <w:pPr>
              <w:spacing w:after="0"/>
              <w:rPr>
                <w:sz w:val="18"/>
                <w:szCs w:val="18"/>
                <w:color w:val="auto"/>
              </w:rPr>
            </w:pP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systems segment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Funded backlog</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 segment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 segment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firm backlog does not include contract options. Of the $1,061.9 million in firm backlog, $213.8 million is expected to be delivered during the remaining three months of fiscal year 2017, and the balance is expected to be delivered in fiscal year 2018 and thereafter. We include in our backlog only those orders for which we have accepted purchase orders. Backlog does not include contracts with our Exede broadband internet subscribers in our satellite services segment, nor does it include anticipated equipment purchase orders or future recurring internet service revenues under commercial in-flight internet agreements recorded in our commercial networks and satellite services segments, respectively.</w:t>
      </w:r>
    </w:p>
    <w:p>
      <w:pPr>
        <w:spacing w:after="0" w:line="13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total new awards were approximately $353.7 million and $1,276.1 million for the three and nine months ended December 31, 2016, respectively, compared to $340.4 million and $1,032.1 million for the three and nine months ended December 31, 2015, respectively.</w:t>
      </w:r>
    </w:p>
    <w:p>
      <w:pPr>
        <w:spacing w:after="0" w:line="12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financed our operations to date primarily with cash flows from operations, bank line of credit financing, debt financing, export credit agency financing and equity financing, including the sale of 7,475,000 shares of ViaSat common stock in an underwritten public offering in November 2016. At December 31, 2016, we had $284.9 million in cash and cash equivalents, $473.2 million in working capital, no outstanding borrowings under our Revolving Credit Facility and $274.6 million in principal amount of outstanding borrowings under our direct loan facility with the Export-Import Bank of the United States for ViaSat-2 (the Ex-Im Credit Facility and, together with the Revolving Credit Facility, the Credit Facilities), and we had accrued a further $29.5 million in completion exposure fees expected to be financed under the Ex-Im Credit Facility. At March 31, 2016, we had $42.1 million in cash and cash equivalents, $241.6 million in working capital, $180.0 million in principal amount of outstanding borrowings under our Revolving Credit Facility and $197.2 million in principal amount of outstanding borrowings under our Ex-Im Credit Facility, and we had accrued a further $21.0 million in completion exposure fees expected to be financed under the Ex-Im Credit Facility. We invest our cash in excess of current operating requirements in short-term, interest-bearing, investment-grade securities.</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240" w:top="455" w:right="3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upon many factors, including the timing and amount of cash required for our satellite projects and any future broadband satellite projects we may engage in, our proposed Eutelsat strategic partnering arrangements,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36"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investments in joint ventures and strategic partnering arrangements (such as our Eutelsat strategic partnering arrangements) and network expansion activities, as well as the quality of customer, type of contract and payment terms. For example, at the closing of the transactions under the Framework Agreement (which is expected to occur during the fourth quarter of fiscal year 2017), we are required to purchase 49% of the issued shares of Eutelsat’s subsidiary for €132.5 million.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November 23, 2016, we completed the sale of an aggregate of 7,475,000 shares of ViaSat common stock in an underwritten public offering. Our 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offering were approximately $503.1 million after deducting underwriting discounts and offering expenses. In November 2016, we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$225.0 million of the net proceeds from the offering to repay outstanding borrowings under the Revolving Credit Facility. We expect to use the remaining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for general corporate purposes, which may include financing costs related to the purchase, launch and operation of satellites, potential acquisitions, joint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ventures and strategic alliances, working capital or capital expenditures.</w:t>
      </w:r>
    </w:p>
    <w:p>
      <w:pPr>
        <w:spacing w:after="0" w:line="159"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first nine months of fiscal year 2017 was $312.7 million compared to $219.5 million in the prior year period. This $93.2 million increase was primarily driven by a $79.4 million year-over-year decrease in cash used to fund net operating assets needs, coupled with our operating results (net income adjusted for depreciation, amortization and other non-cash charges) which generated $13.8 million of higher cash inflows year-over-year. The decrease in cash used to fund net operating assets during the first nine months of fiscal year 2017 when compared to the prior year period was primarily due to an increase in our collections in excess of revenues and deferred revenues included in accrued liabilities due to the timing of milestone billings for certain larger development projects in our government systems and commercial networks segments, lower combined billed and unbilled accounts receivable, net, attributable to the timing of contractual milestones for certain larger development programs primarily in our commercial networks segment, as well as a decrease in cash used for inventory in our government systems segment.</w:t>
      </w:r>
    </w:p>
    <w:p>
      <w:pPr>
        <w:spacing w:after="0" w:line="13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first nine months of fiscal year 2017 was $463.4 million compared to $339.6 million in the prior year period. The increase in cash used in investing activities year-over-year reflects increases of $84.4 million in cash used for satellite construction, $15.0 million for the construction of earth stations and network operation systems related to ViaSat-2, $12.6 million in cash used for acquisitions and $7.6 million in capital expenditures used for property and other general purpose equipment.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Cash provided by financing activities for the first nine months of fiscal year 2017 was $394.0 million compared to $131.7 million for the prior year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$262.2 million increase in cash provided by financing activities year-over-year was primarily related to $503.1 million in net proceeds from a public offering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in November 2016 (after deducting underwriting discounts and offering expenses). This increase was partially offset by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million in net payments on borrowings under our Revolving Credit Facility during the first nine months of fiscal year 2017, compared to the prior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as well as a</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$61.9 million decrease in net proceeds from borrowings under our Ex-Im Credit Facility during the first nine months of fiscal year 2017, compared to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Satellite-related activities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May 2013, we entered into an agreement to purchase ViaSat-2, our second high-capacity Ka-band satellite, from The Boeing Company (Boeing) at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of approximately $358.0 million, plus an additional amount for launch support services to be performed by Boeing. The projected total cost of the ViaSat-2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project, including the satellite, launch, insurance and related earth station infrastructure, through satellite launch is estimated to be between $580.0 million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$600.0 million, and will depend on the timing of the earth station infrastructure roll-out. We believe we have adequate sources of funding for the ViaSat-2 project,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include our cash on hand, available borrowing capacity under our Credit Facilities and the cash we expect to generate from operations over the next few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159"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In July 2016, we entered into two separate agreements with Boeing for the construction and purchase of two ViaSat-3 class satellites (our third-generation high-capacity Ka-band satellite design)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Europe, Middle East and Africa. The projected aggregate total project cost for the two ViaSat-3 class satellites, including the satellites, launches, insurance and related earth station infrastructure, through satellite launch is estimated to total approximately $1.3 billion, and will depend on the timing of the earth station infrastructure roll-out of each satellite. This projected total project cost represents a project cost per ViaSat-3 class satellite that is similar to the ViaSat-2 projected total project cost.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 In addition, our IR&amp;D investments in our ViaSat-3 class satellites and related ground infrastructure are expected to continue to negatively impact our financial results in our commercial networks segment.</w:t>
      </w:r>
    </w:p>
    <w:p>
      <w:pPr>
        <w:spacing w:after="0" w:line="331" w:lineRule="exact"/>
        <w:rPr>
          <w:sz w:val="20"/>
          <w:szCs w:val="20"/>
          <w:color w:val="auto"/>
        </w:rPr>
      </w:pPr>
    </w:p>
    <w:p>
      <w:pPr>
        <w:jc w:val="both"/>
        <w:ind w:right="300" w:firstLine="456"/>
        <w:spacing w:after="0" w:line="255" w:lineRule="auto"/>
        <w:rPr>
          <w:sz w:val="20"/>
          <w:szCs w:val="20"/>
          <w:color w:val="auto"/>
        </w:rPr>
      </w:pPr>
      <w:r>
        <w:rPr>
          <w:rFonts w:ascii="Times New Roman" w:cs="Times New Roman" w:eastAsia="Times New Roman" w:hAnsi="Times New Roman"/>
          <w:sz w:val="18"/>
          <w:szCs w:val="18"/>
          <w:color w:val="auto"/>
        </w:rPr>
        <w:t>We believe the launch and roll-out of our ViaSat-2 and ViaSat-3 class satellites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 During the period from</w:t>
      </w:r>
    </w:p>
    <w:p>
      <w:pPr>
        <w:spacing w:after="0" w:line="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included costs associated with depreciation, earth station connectivity, subscriber acquisition costs, logistics, customer care and various support systems. These operating costs negatively impacted income from operations during that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94"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2016, the Revolving Credit Facility provided an $800.0 million revolving line of credit (including up to $150.0 million of letters of credit) with a maturity date of May 24, 2021 (or March 16, 2020, if more than $200.0 million of our 2020 Notes are then outstanding and certain conditions are met).</w:t>
      </w:r>
    </w:p>
    <w:p>
      <w:pPr>
        <w:spacing w:after="0" w:line="13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December 31, 2016, none of our subsidiaries guaranteed the Revolving Credit Facility.</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At December 31, 2016, we had no outstanding borrowings under the Revolving Credit Facility and $42.7 million outstanding under standby letters of credit, leaving borrowing availability under the Revolving Credit Facility as of December 31, 2016 of $757.3 million.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Ex-Im Credit Facility</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w:t>
      </w:r>
    </w:p>
    <w:p>
      <w:pPr>
        <w:spacing w:after="0" w:line="136"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4.4% and 4.5% as of December 31, 2016. The Ex-Im Credit Facility is guaranteed by ViaSat and is secured by first-priority liens on the ViaSat-2 satellite and related assets as well as a pledge of the capital stock of the borrower under the facility.</w:t>
      </w:r>
    </w:p>
    <w:p>
      <w:pPr>
        <w:spacing w:after="0" w:line="13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2016, we had $274.6 million in principal amount of outstanding borrowings under the Ex-Im Credit Facility and had accrued</w:t>
      </w:r>
    </w:p>
    <w:p>
      <w:pPr>
        <w:spacing w:after="0" w:line="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$29.5 million in completion exposure fees expected to be financed under the Ex-Im Credit Facility. As of December 31, 2016, the undrawn commitment under the Ex-Im Credit Facility was $82.5 million (excluding $29.5 million of accrued completion exposure fees), of which $74.4 million was available to finance ViaSat-2 related costs once incurred. However, as of December 31, 2016, we had reached the initial pre-shipping borrowing level for the amount we can borrow for satellite construction payments under the Ex-Im Credit Facility prior to the date that the satellite is shipped to the launch site. Borrowings under the Ex-Im Credit Facility were issued with a discount of $36.6 million (comprising the initial $6.0 million exposure fee, the completion exposure fees accrued as of December 31, 2016 and other customary fees). Borrowings under the Ex-Im Credit Facility are recorded as long-term debt, net of unamortized discount and debt issuance costs, in our condensed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2020</w:t>
      </w:r>
    </w:p>
    <w:p>
      <w:pPr>
        <w:spacing w:after="0" w:line="9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2020 Notes are required to be guaranteed on an unsecured senior basis by each of our existing and future subsidiaries that guarantees the Revolving Credit Facility. As of December 31, 2016,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2020 Notes may be redeemed, in whole or in part, at any time during the twelve months beginning on June 15, 2016 at a redemption price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103.438%, during the twelve months beginning on June 15, 2017 at a redemption price of 101.719%, and at any time on or after June 15, 2018 at a redemption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100%, in each case plus accrued and unpaid interest, if any, thereon to the redemption date.</w:t>
      </w:r>
    </w:p>
    <w:p>
      <w:pPr>
        <w:spacing w:after="0" w:line="159"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obligations at December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5"/>
              </w:rPr>
              <w:t>For the</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Remainder of</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including interest where applicable)</w:t>
            </w:r>
          </w:p>
        </w:tc>
        <w:tc>
          <w:tcPr>
            <w:tcW w:w="35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80" w:type="dxa"/>
            <w:vAlign w:val="bottom"/>
          </w:tcPr>
          <w:p>
            <w:pPr>
              <w:spacing w:after="0"/>
              <w:rPr>
                <w:sz w:val="14"/>
                <w:szCs w:val="14"/>
                <w:color w:val="auto"/>
              </w:rPr>
            </w:pPr>
          </w:p>
        </w:tc>
        <w:tc>
          <w:tcPr>
            <w:tcW w:w="26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gridSpan w:val="2"/>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2018-2019</w:t>
            </w:r>
          </w:p>
        </w:tc>
        <w:tc>
          <w:tcPr>
            <w:tcW w:w="9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2020-2021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6"/>
              </w:rPr>
              <w:t>Thereafter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leases and satellite capacity agreements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301,690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17,059</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$100,613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67,677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$ 116,341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2020 Notes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713,359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634,296</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Ex-Im Credit Facility(1)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341,511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87,357</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202,526</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Satellite performance incentives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5,474</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20,538</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 including satellite-related agreements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1,079,078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195,476</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42,051</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2,467,307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308,318</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787,253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990,280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381,456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40" w:hanging="452"/>
        <w:spacing w:after="0" w:line="296"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December 31, 2016, we had accrued $29.5 million in completion exposure fees expected to be financed under the Ex-Im Credit Facility.</w:t>
      </w:r>
    </w:p>
    <w:p>
      <w:pPr>
        <w:spacing w:after="0" w:line="10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3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Our condensed consolidated balance sheets included $40.7 million and $37.4 million of “other liabilities” as of December 31, 2016 and March 31, 2016,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had no material off-balance sheet arrangements at December 31, 2016 as defined in Regulation S-K Item 303(a)(4) other than as discussed under Contractual Obligations above or disclosed in the notes to our consolidated financial statements included in this report or in our Annual Report on Form 10-K for the year ended March 31, 2016.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Guidance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regarding recently adopted and issued accounting pronouncements, see Note 1 to the condensed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December 31, 2016, we had no outstanding borrowings under our Revolving Credit Facility, $274.6 million in principal amount of outstanding borrowings under our Ex-Im Credit Facility, as well as $29.5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3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an insignificant amount for the three months ended December 31, 2016 and 2015.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4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primary interest rate under the Revolving Credit Facility is the Eurodollar rate plus an applicable margin that is based on our total leverage ratio. Under the Revolving Credit Facility, the effective interest rate as of December 31, 2016 that would have been applied to any new Eurodollar note based borrowings under the Revolving Credit Facility was approximately 3.94%. As of December 31, 2016, we had no outstanding borrowings under our Revolving Credit Facility. Accordingly, assuming the outstanding balance remained constant over a year, changes in interests rates applicable to our Revolving Credit Facility would have no effect on our interest incurred and cash flow.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36"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2016, we had a number of foreign currency forward contracts outstanding which are intended to reduce the foreign currency risk for amounts payable to vendors in Euros. The foreign currency forward contracts with a notional amount of $3.0 million had an insignificant amount of fair value recorded in accrued liabilities as of December 31, 2016. If the foreign currency forward rate for the Euro to the U.S. dollar on these foreign currency forward contracts had changed by 10%, the fair value of these foreign currency forward contracts as of December 31, 2016 would have changed by approximately $0.3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2016, the end of the period covered by this report. Based upon the foregoing, our Chief Executive Officer and Chief Financial Officer concluded that our disclosure controls and procedures were effective at a reasonable assurance level as of December 31, 2016.</w:t>
      </w:r>
    </w:p>
    <w:p>
      <w:pPr>
        <w:spacing w:after="0" w:line="136"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20"/>
          </w:cols>
          <w:pgMar w:left="24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factors discussed in Part I, Item 1A, “Risk Factors” in our Annual Report on Form 10-K for the fiscal year ended March 31, 2016,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On November 14, 2016, we issued 61,888 shares of ViaSat common stock to former equity holders of Arconics as part of the consideration paid for the acquisition of Arconics, as described in Note 1 of the notes to condensed consolidated financial statements. The issuance of common stock was exempt from the registration requirements of the Securities Act of 1933 pursuant to Section 4(2) thereof.</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Index on page 51 is incorporated herein by reference as the list of exhibits required as part of this report.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20"/>
          </w:cols>
          <w:pgMar w:left="24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VIASAT, INC.</w:t>
      </w:r>
    </w:p>
    <w:p>
      <w:pPr>
        <w:spacing w:after="0" w:line="22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February 9, 2017</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Mark Dankberg</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Shawn Duffy</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00"/>
          </w:cols>
          <w:pgMar w:left="240" w:top="455" w:right="11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29"/>
        </w:trPr>
        <w:tc>
          <w:tcPr>
            <w:tcW w:w="9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6180" w:type="dxa"/>
            <w:vAlign w:val="bottom"/>
            <w:gridSpan w:val="2"/>
          </w:tcPr>
          <w:p>
            <w:pPr>
              <w:ind w:left="2420"/>
              <w:spacing w:after="0" w:line="109" w:lineRule="exact"/>
              <w:rPr>
                <w:sz w:val="20"/>
                <w:szCs w:val="20"/>
                <w:color w:val="auto"/>
              </w:rPr>
            </w:pPr>
            <w:r>
              <w:rPr>
                <w:rFonts w:ascii="Times New Roman" w:cs="Times New Roman" w:eastAsia="Times New Roman" w:hAnsi="Times New Roman"/>
                <w:sz w:val="12"/>
                <w:szCs w:val="12"/>
                <w:b w:val="1"/>
                <w:bCs w:val="1"/>
                <w:color w:val="auto"/>
              </w:rPr>
              <w:t>Exhibit Description</w:t>
            </w:r>
          </w:p>
        </w:tc>
        <w:tc>
          <w:tcPr>
            <w:tcW w:w="6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Form</w:t>
            </w:r>
          </w:p>
        </w:tc>
        <w:tc>
          <w:tcPr>
            <w:tcW w:w="1120" w:type="dxa"/>
            <w:vAlign w:val="bottom"/>
            <w:tcBorders>
              <w:top w:val="single" w:sz="8" w:color="auto"/>
            </w:tcBorders>
            <w:gridSpan w:val="2"/>
          </w:tcPr>
          <w:p>
            <w:pPr>
              <w:ind w:left="180"/>
              <w:spacing w:after="0" w:line="115" w:lineRule="exact"/>
              <w:rPr>
                <w:sz w:val="20"/>
                <w:szCs w:val="20"/>
                <w:color w:val="auto"/>
              </w:rPr>
            </w:pPr>
            <w:r>
              <w:rPr>
                <w:rFonts w:ascii="Times New Roman" w:cs="Times New Roman" w:eastAsia="Times New Roman" w:hAnsi="Times New Roman"/>
                <w:sz w:val="12"/>
                <w:szCs w:val="12"/>
                <w:b w:val="1"/>
                <w:bCs w:val="1"/>
                <w:color w:val="auto"/>
              </w:rPr>
              <w:t>File No.</w:t>
            </w:r>
          </w:p>
        </w:tc>
        <w:tc>
          <w:tcPr>
            <w:tcW w:w="720" w:type="dxa"/>
            <w:vAlign w:val="bottom"/>
            <w:tcBorders>
              <w:top w:val="single" w:sz="8" w:color="auto"/>
            </w:tcBorders>
            <w:gridSpan w:val="2"/>
          </w:tcPr>
          <w:p>
            <w:pPr>
              <w:jc w:val="right"/>
              <w:ind w:right="300"/>
              <w:spacing w:after="0" w:line="115" w:lineRule="exact"/>
              <w:rPr>
                <w:sz w:val="20"/>
                <w:szCs w:val="20"/>
                <w:color w:val="auto"/>
              </w:rPr>
            </w:pPr>
            <w:r>
              <w:rPr>
                <w:rFonts w:ascii="Times New Roman" w:cs="Times New Roman" w:eastAsia="Times New Roman" w:hAnsi="Times New Roman"/>
                <w:sz w:val="12"/>
                <w:szCs w:val="12"/>
                <w:b w:val="1"/>
                <w:bCs w:val="1"/>
                <w:color w:val="auto"/>
              </w:rPr>
              <w:t>Exhibit</w:t>
            </w:r>
          </w:p>
        </w:tc>
        <w:tc>
          <w:tcPr>
            <w:tcW w:w="860" w:type="dxa"/>
            <w:vAlign w:val="bottom"/>
            <w:tcBorders>
              <w:top w:val="single" w:sz="8" w:color="auto"/>
            </w:tcBorders>
          </w:tcPr>
          <w:p>
            <w:pPr>
              <w:jc w:val="right"/>
              <w:ind w:right="25"/>
              <w:spacing w:after="0" w:line="115" w:lineRule="exact"/>
              <w:rPr>
                <w:sz w:val="20"/>
                <w:szCs w:val="20"/>
                <w:color w:val="auto"/>
              </w:rPr>
            </w:pPr>
            <w:r>
              <w:rPr>
                <w:rFonts w:ascii="Times New Roman" w:cs="Times New Roman" w:eastAsia="Times New Roman" w:hAnsi="Times New Roman"/>
                <w:sz w:val="12"/>
                <w:szCs w:val="12"/>
                <w:b w:val="1"/>
                <w:bCs w:val="1"/>
                <w:color w:val="auto"/>
              </w:rPr>
              <w:t>Filing Date</w:t>
            </w:r>
          </w:p>
        </w:tc>
        <w:tc>
          <w:tcPr>
            <w:tcW w:w="20" w:type="dxa"/>
            <w:vAlign w:val="bottom"/>
          </w:tcPr>
          <w:p>
            <w:pPr>
              <w:spacing w:after="0"/>
              <w:rPr>
                <w:sz w:val="11"/>
                <w:szCs w:val="1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Amendment Agreement, dated as of October 11, 2016, by and among ViaSat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000-21767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10/12/2016</w:t>
            </w: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Technologies Limited, ViaSat, Inc., JPMorgan Chase Bank, National Association (as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Ex-Im Facility Agent) and the Export-Import Bank of the United States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Labels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480" w:space="300"/>
            <w:col w:w="540"/>
          </w:cols>
          <w:pgMar w:left="240" w:top="45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ViaSat,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February 9, 2017</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Mark Dankberg</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ViaSat,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February 9, 2017</w:t>
      </w:r>
      <w:r>
        <w:rPr>
          <w:sz w:val="20"/>
          <w:szCs w:val="20"/>
          <w:color w:val="auto"/>
        </w:rPr>
        <w:tab/>
      </w:r>
      <w:r>
        <w:rPr>
          <w:rFonts w:ascii="Times New Roman" w:cs="Times New Roman" w:eastAsia="Times New Roman" w:hAnsi="Times New Roman"/>
          <w:sz w:val="17"/>
          <w:szCs w:val="17"/>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Shawn Duffy</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4" w:lineRule="exact"/>
        <w:rPr>
          <w:sz w:val="20"/>
          <w:szCs w:val="20"/>
          <w:color w:val="auto"/>
        </w:rPr>
      </w:pPr>
    </w:p>
    <w:p>
      <w:pPr>
        <w:ind w:right="140" w:firstLine="464"/>
        <w:spacing w:after="0" w:line="282" w:lineRule="auto"/>
        <w:tabs>
          <w:tab w:leader="none" w:pos="7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December 31, 2016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February 9, 2017</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Mark Dankberg</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4" w:lineRule="exact"/>
        <w:rPr>
          <w:sz w:val="20"/>
          <w:szCs w:val="20"/>
          <w:color w:val="auto"/>
        </w:rPr>
      </w:pPr>
    </w:p>
    <w:p>
      <w:pPr>
        <w:ind w:right="140" w:firstLine="464"/>
        <w:spacing w:after="0" w:line="282" w:lineRule="auto"/>
        <w:tabs>
          <w:tab w:leader="none" w:pos="7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December 31, 2016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February 9, 2017</w:t>
      </w:r>
      <w:r>
        <w:rPr>
          <w:sz w:val="20"/>
          <w:szCs w:val="20"/>
          <w:color w:val="auto"/>
        </w:rPr>
        <w:tab/>
      </w:r>
      <w:r>
        <w:rPr>
          <w:rFonts w:ascii="Times New Roman" w:cs="Times New Roman" w:eastAsia="Times New Roman" w:hAnsi="Times New Roman"/>
          <w:sz w:val="17"/>
          <w:szCs w:val="17"/>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Shawn Duffy</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2019-12-29T07:41:37Z</dcterms:created>
  <dcterms:modified xsi:type="dcterms:W3CDTF">2019-12-29T07:41:37Z</dcterms:modified>
</cp:coreProperties>
</file>