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(RULE 14a-101)</w:t>
      </w:r>
    </w:p>
    <w:p>
      <w:pPr>
        <w:jc w:val="center"/>
        <w:ind w:right="-103"/>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4"/>
        <w:spacing w:after="0" w:line="207" w:lineRule="exact"/>
        <w:tabs>
          <w:tab w:leader="none" w:pos="34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1"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VIASAT, INC.</w:t>
      </w:r>
    </w:p>
    <w:p>
      <w:pPr>
        <w:spacing w:after="0" w:line="4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6"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5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634365</wp:posOffset>
            </wp:positionH>
            <wp:positionV relativeFrom="paragraph">
              <wp:posOffset>-1758950</wp:posOffset>
            </wp:positionV>
            <wp:extent cx="6360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-2290445</wp:posOffset>
            </wp:positionV>
            <wp:extent cx="6360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-2821940</wp:posOffset>
            </wp:positionV>
            <wp:extent cx="6360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-3482340</wp:posOffset>
            </wp:positionV>
            <wp:extent cx="6360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-4013835</wp:posOffset>
            </wp:positionV>
            <wp:extent cx="6360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-267335</wp:posOffset>
            </wp:positionV>
            <wp:extent cx="6360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ectPr>
          <w:pgSz w:w="11900" w:h="16838" w:orient="portrait"/>
          <w:cols w:equalWidth="0" w:num="1">
            <w:col w:w="10904"/>
          </w:cols>
          <w:pgMar w:left="436" w:top="522" w:right="559" w:bottom="0"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911225</wp:posOffset>
            </wp:positionH>
            <wp:positionV relativeFrom="page">
              <wp:posOffset>286385</wp:posOffset>
            </wp:positionV>
            <wp:extent cx="6360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0795" cy="8255"/>
                    </a:xfrm>
                    <a:prstGeom prst="rect">
                      <a:avLst/>
                    </a:prstGeom>
                    <a:noFill/>
                  </pic:spPr>
                </pic:pic>
              </a:graphicData>
            </a:graphic>
          </wp:anchor>
        </w:drawing>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263525</wp:posOffset>
            </wp:positionV>
            <wp:extent cx="6360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-267335</wp:posOffset>
            </wp:positionV>
            <wp:extent cx="6360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434975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477520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66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jc w:val="right"/>
        <w:spacing w:after="0" w:line="234" w:lineRule="auto"/>
        <w:rPr>
          <w:sz w:val="20"/>
          <w:szCs w:val="20"/>
          <w:color w:val="auto"/>
        </w:rPr>
      </w:pPr>
      <w:r>
        <w:rPr>
          <w:rFonts w:ascii="Arial" w:cs="Arial" w:eastAsia="Arial" w:hAnsi="Arial"/>
          <w:sz w:val="18"/>
          <w:szCs w:val="18"/>
          <w:color w:val="auto"/>
        </w:rPr>
        <w:t>Pursuant to Rule 14a-12 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Viasat, Inc.</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7"/>
          <w:szCs w:val="17"/>
          <w:color w:val="auto"/>
        </w:rPr>
        <w:t>(Commission File No.: 000-21767)</w:t>
      </w:r>
    </w:p>
    <w:p>
      <w:pPr>
        <w:spacing w:after="0" w:line="2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filing relates to the proposed business combination transaction between Viasat, Inc. (“Viasat”) and Connect Topco Limited (“Inmarsat”) contemplated in that certain Share Purchase Agreement, dated as of November 8, 2021, by and among Viasat and the other parties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press release that was issued by Viasat on March 21, 2022.</w:t>
      </w:r>
    </w:p>
    <w:p>
      <w:pPr>
        <w:spacing w:after="0" w:line="29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VIASAT, INMARSAT REACH AGREEMENT WITH UK GOVERNMENT ON PLAN TO INCREASE HIGHLY-SKILLED JOBS AND R&amp;D INVESTMENT IN UK SPACE SECTOR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ensures combination of Viasat and Inmarsat will be a strong contributor to the UK National Space Strategy</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CARLSBAD, Calif., and LONDON – 21 March 2022: </w:t>
      </w:r>
      <w:r>
        <w:rPr>
          <w:rFonts w:ascii="Arial" w:cs="Arial" w:eastAsia="Arial" w:hAnsi="Arial"/>
          <w:sz w:val="18"/>
          <w:szCs w:val="18"/>
          <w:color w:val="auto"/>
        </w:rPr>
        <w:t>Viasat and Inmarsat, the US and UK satellite communications groups, have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on a package of legally-binding economic undertakings with the UK Government’s Department for Business, Energy and Industrial Strategy (BEIS) as part of the proposed combination of the two companies. BEIS welcomed the constructive discussions that have taken place with both companies on their future plans. The transaction remains subject to the regulatory processes of the UK.</w:t>
      </w:r>
    </w:p>
    <w:p>
      <w:pPr>
        <w:spacing w:after="0" w:line="19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are fully committed to ensuring that our combination with Inmarsat supports the UK’s National Space Strategy with additional investment and job creation,” said Rick Baldridge, president and CEO of Viasat. “I am confident that together we can build upon the UK’s space agenda and help propel the country to the forefront of the global space race. I want to thank the UK Government for their engagement and look forward to a productive relationship for decades to come.”</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Rajeev Suri, Inmarsat CEO, added: “With this agreement, the combination of Inmarsat and Viasat will result in more highly-skilled jobs and R&amp;D investment in the UK than Inmarsat could achieve on a standalone basis. This milestone is a great step for the UK and while they certainly have challenged us to put our best foot forward, I am delighted they have accepted our economic Deed of Undertakings.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Deed provided to the UK Government includes undertakings ranging from three to five years in duration to:</w:t>
      </w:r>
    </w:p>
    <w:p>
      <w:pPr>
        <w:spacing w:after="0" w:line="117" w:lineRule="exact"/>
        <w:rPr>
          <w:sz w:val="20"/>
          <w:szCs w:val="20"/>
          <w:color w:val="auto"/>
        </w:rPr>
      </w:pPr>
    </w:p>
    <w:p>
      <w:pPr>
        <w:ind w:left="960" w:right="60" w:hanging="424"/>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the number of highly skilled jobs in key areas, including the design and development of satellites, ground stations and other advanced technologies;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overall R&amp;D spending in the country by 30% and create a UK R&amp;D Centre of Excellence;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core satellite, network and cybersecurity operational capabilities in the UK;</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Ensure continued ownership of Inmarsat’s current satellite fleet by a UK company;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UK supply chain, particularly for delivery of national critical infrastructure;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Preserve the use of the Inmarsat brand with a focus on the maritime segment;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 UK Board of Directors with approval authority over key strategic decisions for Inmarsat Group entities;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the global international business headquarters of the combined company in London.</w:t>
      </w:r>
    </w:p>
    <w:p>
      <w:pPr>
        <w:spacing w:after="0" w:line="21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Viasat will also continue with its previously announced plan to invest £300 million in the UK over a 10-15 year period, with a minimum of £75 million within five years after the closing of the transaction.</w:t>
      </w:r>
    </w:p>
    <w:p>
      <w:pPr>
        <w:sectPr>
          <w:pgSz w:w="11900" w:h="16838" w:orient="portrait"/>
          <w:cols w:equalWidth="0" w:num="1">
            <w:col w:w="11020"/>
          </w:cols>
          <w:pgMar w:left="440" w:top="283"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Inmarsat</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Inmarsat is a world leader in global, mobile satellite communications. It owns and operates the world’s most diverse global portfolio of mobile telecommunications satellite networks, and holds a multi-layered, global spectrum portfolio, covering L-band, Ka-band and S-band, enabling unparalleled breadth and diversity in the solutions it provides. Inmarsat’s long-established global distribution network includes not only the world’s leading channel partners but also its own strong direct retail capabilities, enabling end to end customer service assurance.</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Inmarsat has an unrivalled track record of operating the world’s most reliable global mobile satellite telecommunications networks, sustaining business and mission critical safety and operational applications for more than 40 years. It is also a major driving force behind technological innovation in mobile satellite communications, sustaining its leadership through a substantial investment and a powerful network of technology and manufacturing partners.</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Inmarsat operates across a diversified portfolio of sectors with the financial resources to fund its business strategy and holds leading positions in the Maritime, Government, Aviation and Enterprise satcoms sectors, operating consistently as a trusted, responsive and high-quality partner to its customers across the globe. For further information, follow us: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 </w:t>
      </w:r>
      <w:r>
        <w:rPr>
          <w:rFonts w:ascii="Arial" w:cs="Arial" w:eastAsia="Arial" w:hAnsi="Arial"/>
          <w:sz w:val="17"/>
          <w:szCs w:val="17"/>
          <w:u w:val="single" w:color="auto"/>
          <w:color w:val="auto"/>
        </w:rPr>
        <w:t>YouTube</w:t>
      </w:r>
      <w:r>
        <w:rPr>
          <w:rFonts w:ascii="Arial" w:cs="Arial" w:eastAsia="Arial" w:hAnsi="Arial"/>
          <w:sz w:val="17"/>
          <w:szCs w:val="17"/>
          <w:color w:val="auto"/>
        </w:rPr>
        <w:t xml:space="preserve"> | </w:t>
      </w:r>
      <w:r>
        <w:rPr>
          <w:rFonts w:ascii="Arial" w:cs="Arial" w:eastAsia="Arial" w:hAnsi="Arial"/>
          <w:sz w:val="17"/>
          <w:szCs w:val="17"/>
          <w:u w:val="single" w:color="auto"/>
          <w:color w:val="auto"/>
        </w:rPr>
        <w:t>Instagram</w:t>
      </w:r>
      <w:r>
        <w:rPr>
          <w:rFonts w:ascii="Arial" w:cs="Arial" w:eastAsia="Arial" w:hAnsi="Arial"/>
          <w:sz w:val="17"/>
          <w:szCs w:val="17"/>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Viasat</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Viasat is a global communications company that believes everyone and everything in the world can be connected. For more than 35 years, Viasat has helped shape how consumers, businesses, governments and militaries around the world communicate. Today, the Company is developing the ultimate global communications network to power high-quality, secure, affordable, fast connections to impact people’s lives anywhere they are—on the ground, in the air or at sea. To learn more about Viasat, visit: </w:t>
      </w:r>
      <w:r>
        <w:rPr>
          <w:rFonts w:ascii="Arial" w:cs="Arial" w:eastAsia="Arial" w:hAnsi="Arial"/>
          <w:sz w:val="18"/>
          <w:szCs w:val="18"/>
          <w:u w:val="single" w:color="auto"/>
          <w:color w:val="auto"/>
        </w:rPr>
        <w:t>www.viasat.com</w:t>
      </w:r>
      <w:r>
        <w:rPr>
          <w:rFonts w:ascii="Arial" w:cs="Arial" w:eastAsia="Arial" w:hAnsi="Arial"/>
          <w:sz w:val="18"/>
          <w:szCs w:val="18"/>
          <w:color w:val="auto"/>
        </w:rPr>
        <w:t xml:space="preserve">, go to </w:t>
      </w:r>
      <w:r>
        <w:rPr>
          <w:rFonts w:ascii="Arial" w:cs="Arial" w:eastAsia="Arial" w:hAnsi="Arial"/>
          <w:sz w:val="18"/>
          <w:szCs w:val="18"/>
          <w:u w:val="single" w:color="auto"/>
          <w:color w:val="auto"/>
        </w:rPr>
        <w:t>Viasat’s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Blog</w:t>
      </w:r>
      <w:r>
        <w:rPr>
          <w:rFonts w:ascii="Arial" w:cs="Arial" w:eastAsia="Arial" w:hAnsi="Arial"/>
          <w:sz w:val="18"/>
          <w:szCs w:val="18"/>
          <w:color w:val="auto"/>
        </w:rPr>
        <w:t xml:space="preserve">, or follow the Company on social media at: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You Can Find It</w:t>
      </w:r>
    </w:p>
    <w:p>
      <w:pPr>
        <w:spacing w:after="0" w:line="12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8"/>
          <w:szCs w:val="18"/>
          <w:b w:val="1"/>
          <w:bCs w:val="1"/>
          <w:color w:val="auto"/>
        </w:rPr>
        <w:t>INVESTORS AND STOCKHOLDERS ARE URGED TO READ THE DEFINITIVE PROXY STATEMENT AND OTHER</w:t>
      </w:r>
    </w:p>
    <w:p>
      <w:pPr>
        <w:spacing w:after="0" w:line="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RELEVANT MATERIALS CAREFULLY IN THEIR ENTIRETY WHEN THEY BECOME AVAILABLE BECAUSE THEY WILL CONTAIN IMPORTANT INFORMATION ABOUT VIASAT, INMARSAT AND THE PROPOSED TRANSACTION. </w:t>
      </w:r>
      <w:r>
        <w:rPr>
          <w:rFonts w:ascii="Arial" w:cs="Arial" w:eastAsia="Arial" w:hAnsi="Arial"/>
          <w:sz w:val="18"/>
          <w:szCs w:val="18"/>
          <w:color w:val="auto"/>
        </w:rPr>
        <w:t>Investors and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obtain a free copy of these materials (when available) and other documents filed by Viasat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In addition, free copies of these materials will be made available free of charge through Viasat’s website at </w:t>
      </w:r>
      <w:r>
        <w:rPr>
          <w:rFonts w:ascii="Arial" w:cs="Arial" w:eastAsia="Arial" w:hAnsi="Arial"/>
          <w:sz w:val="18"/>
          <w:szCs w:val="18"/>
          <w:u w:val="single" w:color="auto"/>
          <w:color w:val="auto"/>
        </w:rPr>
        <w:t>https://www.viasat.com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w:t>
      </w:r>
    </w:p>
    <w:p>
      <w:pPr>
        <w:ind w:right="60"/>
        <w:spacing w:after="0" w:line="257" w:lineRule="auto"/>
        <w:rPr>
          <w:sz w:val="20"/>
          <w:szCs w:val="20"/>
          <w:color w:val="auto"/>
        </w:rPr>
      </w:pPr>
      <w:r>
        <w:rPr>
          <w:rFonts w:ascii="Arial" w:cs="Arial" w:eastAsia="Arial" w:hAnsi="Arial"/>
          <w:sz w:val="17"/>
          <w:szCs w:val="17"/>
          <w:color w:val="auto"/>
        </w:rPr>
        <w:t>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press release contains forward-looking statements that are subject to the safe harbors created under the Securities Act of 1933 and the Securities Exchange Act of 1934. Forward-looking statements include statements that refer to the agreed upon package of legally-binding undertakings with the UK</w:t>
      </w:r>
    </w:p>
    <w:p>
      <w:pPr>
        <w:sectPr>
          <w:pgSz w:w="11900" w:h="16838" w:orient="portrait"/>
          <w:cols w:equalWidth="0" w:num="1">
            <w:col w:w="10980"/>
          </w:cols>
          <w:pgMar w:left="440" w:top="265" w:right="479" w:bottom="1440" w:gutter="0" w:footer="0" w:header="0"/>
        </w:sectPr>
      </w:pPr>
    </w:p>
    <w:bookmarkStart w:id="4" w:name="page5"/>
    <w:bookmarkEnd w:id="4"/>
    <w:p>
      <w:pPr>
        <w:ind w:right="4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Government’s Department for BEIS as part of the proposed combination of Viasat and Inmarsat, as well as Viasat’s previously announced plan to invest £300 million in the UK. Readers are cautioned that actual results could differ materially and adversely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w:t>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w:t>
      </w:r>
    </w:p>
    <w:p>
      <w:pPr>
        <w:spacing w:after="0" w:line="1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 xml:space="preserve">economy; Viasat’s and the combined company’s level of indebtedness and ability to comply with applicable debt covenants; and other factors affecting the communications industry generally. In addition, please refer to the risk factors contained in Viasat’s SEC filings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p>
      <w:pPr>
        <w:spacing w:after="0" w:line="186" w:lineRule="exact"/>
        <w:rPr>
          <w:sz w:val="20"/>
          <w:szCs w:val="20"/>
          <w:color w:val="auto"/>
        </w:rPr>
      </w:pPr>
    </w:p>
    <w:p>
      <w:pPr>
        <w:jc w:val="both"/>
        <w:ind w:right="100"/>
        <w:spacing w:after="0" w:line="297" w:lineRule="auto"/>
        <w:rPr>
          <w:sz w:val="20"/>
          <w:szCs w:val="20"/>
          <w:color w:val="auto"/>
        </w:rPr>
      </w:pPr>
      <w:r>
        <w:rPr>
          <w:rFonts w:ascii="Arial" w:cs="Arial" w:eastAsia="Arial" w:hAnsi="Arial"/>
          <w:sz w:val="17"/>
          <w:szCs w:val="17"/>
          <w:i w:val="1"/>
          <w:iCs w:val="1"/>
          <w:color w:val="auto"/>
        </w:rPr>
        <w:t xml:space="preserve">Copyright </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2022 Viasat, Inc. All rights reserved. Viasat, the Viasat logo and the Viasat signal are registered trademarks of Viasat, Inc. All other product or company names mentioned are used for identification purposes only and may be trademarks of their respective owners.</w:t>
      </w:r>
    </w:p>
    <w:sectPr>
      <w:pgSz w:w="11900" w:h="16838" w:orient="portrait"/>
      <w:cols w:equalWidth="0" w:num="1">
        <w:col w:w="11000"/>
      </w:cols>
      <w:pgMar w:left="440" w:top="2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2022-03-21T15:54:27Z</dcterms:created>
  <dcterms:modified xsi:type="dcterms:W3CDTF">2022-03-21T15:54:27Z</dcterms:modified>
</cp:coreProperties>
</file>