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8890</wp:posOffset>
            </wp:positionV>
            <wp:extent cx="1036955"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695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VIASAT,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700" w:type="dxa"/>
        <w:tblCellMar>
          <w:top w:w="0" w:type="dxa"/>
          <w:left w:w="0" w:type="dxa"/>
          <w:bottom w:w="0" w:type="dxa"/>
          <w:right w:w="0" w:type="dxa"/>
        </w:tblCellMar>
      </w:tblPr>
      <w:tr>
        <w:trPr>
          <w:trHeight w:val="243"/>
        </w:trPr>
        <w:tc>
          <w:tcPr>
            <w:tcW w:w="700" w:type="dxa"/>
            <w:vAlign w:val="bottom"/>
          </w:tcPr>
          <w:p>
            <w:pPr>
              <w:spacing w:after="0"/>
              <w:rPr>
                <w:sz w:val="21"/>
                <w:szCs w:val="21"/>
                <w:color w:val="auto"/>
              </w:rPr>
            </w:pPr>
          </w:p>
        </w:tc>
        <w:tc>
          <w:tcPr>
            <w:tcW w:w="248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8"/>
              </w:rPr>
              <w:t>Delaware</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000-21767</w:t>
            </w:r>
          </w:p>
        </w:tc>
        <w:tc>
          <w:tcPr>
            <w:tcW w:w="1420" w:type="dxa"/>
            <w:vAlign w:val="bottom"/>
          </w:tcPr>
          <w:p>
            <w:pPr>
              <w:spacing w:after="0"/>
              <w:rPr>
                <w:sz w:val="21"/>
                <w:szCs w:val="21"/>
                <w:color w:val="auto"/>
              </w:rPr>
            </w:pPr>
          </w:p>
        </w:tc>
        <w:tc>
          <w:tcPr>
            <w:tcW w:w="2440" w:type="dxa"/>
            <w:vAlign w:val="bottom"/>
            <w:gridSpan w:val="3"/>
          </w:tcPr>
          <w:p>
            <w:pPr>
              <w:ind w:left="1260"/>
              <w:spacing w:after="0"/>
              <w:rPr>
                <w:sz w:val="20"/>
                <w:szCs w:val="20"/>
                <w:color w:val="auto"/>
              </w:rPr>
            </w:pPr>
            <w:r>
              <w:rPr>
                <w:rFonts w:ascii="Arial" w:cs="Arial" w:eastAsia="Arial" w:hAnsi="Arial"/>
                <w:sz w:val="18"/>
                <w:szCs w:val="18"/>
                <w:b w:val="1"/>
                <w:bCs w:val="1"/>
                <w:color w:val="auto"/>
              </w:rPr>
              <w:t>33-0174996</w:t>
            </w:r>
          </w:p>
        </w:tc>
      </w:tr>
      <w:tr>
        <w:trPr>
          <w:trHeight w:val="194"/>
        </w:trPr>
        <w:tc>
          <w:tcPr>
            <w:tcW w:w="700" w:type="dxa"/>
            <w:vAlign w:val="bottom"/>
          </w:tcPr>
          <w:p>
            <w:pPr>
              <w:spacing w:after="0"/>
              <w:rPr>
                <w:sz w:val="16"/>
                <w:szCs w:val="16"/>
                <w:color w:val="auto"/>
              </w:rPr>
            </w:pPr>
          </w:p>
        </w:tc>
        <w:tc>
          <w:tcPr>
            <w:tcW w:w="940" w:type="dxa"/>
            <w:vAlign w:val="bottom"/>
          </w:tcPr>
          <w:p>
            <w:pPr>
              <w:spacing w:after="0" w:line="195" w:lineRule="exact"/>
              <w:rPr>
                <w:sz w:val="20"/>
                <w:szCs w:val="20"/>
                <w:color w:val="auto"/>
              </w:rPr>
            </w:pPr>
            <w:r>
              <w:rPr>
                <w:rFonts w:ascii="Arial" w:cs="Arial" w:eastAsia="Arial" w:hAnsi="Arial"/>
                <w:sz w:val="18"/>
                <w:szCs w:val="18"/>
                <w:color w:val="auto"/>
              </w:rPr>
              <w:t xml:space="preserve">              </w:t>
            </w:r>
          </w:p>
        </w:tc>
        <w:tc>
          <w:tcPr>
            <w:tcW w:w="1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line="195" w:lineRule="exact"/>
              <w:rPr>
                <w:sz w:val="20"/>
                <w:szCs w:val="20"/>
                <w:color w:val="auto"/>
              </w:rPr>
            </w:pPr>
            <w:r>
              <w:rPr>
                <w:rFonts w:ascii="Arial" w:cs="Arial" w:eastAsia="Arial" w:hAnsi="Arial"/>
                <w:sz w:val="18"/>
                <w:szCs w:val="18"/>
                <w:color w:val="auto"/>
              </w:rPr>
              <w:t xml:space="preserve">              </w:t>
            </w:r>
          </w:p>
        </w:tc>
        <w:tc>
          <w:tcPr>
            <w:tcW w:w="1420" w:type="dxa"/>
            <w:vAlign w:val="bottom"/>
          </w:tcPr>
          <w:p>
            <w:pPr>
              <w:spacing w:after="0"/>
              <w:rPr>
                <w:sz w:val="16"/>
                <w:szCs w:val="16"/>
                <w:color w:val="auto"/>
              </w:rPr>
            </w:pPr>
          </w:p>
        </w:tc>
        <w:tc>
          <w:tcPr>
            <w:tcW w:w="2440" w:type="dxa"/>
            <w:vAlign w:val="bottom"/>
            <w:gridSpan w:val="3"/>
          </w:tcPr>
          <w:p>
            <w:pPr>
              <w:ind w:left="1260"/>
              <w:spacing w:after="0" w:line="195" w:lineRule="exact"/>
              <w:rPr>
                <w:sz w:val="20"/>
                <w:szCs w:val="20"/>
                <w:color w:val="auto"/>
              </w:rPr>
            </w:pPr>
            <w:r>
              <w:rPr>
                <w:rFonts w:ascii="Arial" w:cs="Arial" w:eastAsia="Arial" w:hAnsi="Arial"/>
                <w:sz w:val="18"/>
                <w:szCs w:val="18"/>
                <w:color w:val="auto"/>
              </w:rPr>
              <w:t xml:space="preserve">              </w:t>
            </w:r>
          </w:p>
        </w:tc>
      </w:tr>
      <w:tr>
        <w:trPr>
          <w:trHeight w:val="20"/>
        </w:trPr>
        <w:tc>
          <w:tcPr>
            <w:tcW w:w="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4"/>
        </w:trPr>
        <w:tc>
          <w:tcPr>
            <w:tcW w:w="3180" w:type="dxa"/>
            <w:vAlign w:val="bottom"/>
            <w:gridSpan w:val="3"/>
          </w:tcPr>
          <w:p>
            <w:pPr>
              <w:jc w:val="center"/>
              <w:ind w:right="840"/>
              <w:spacing w:after="0" w:line="204" w:lineRule="exact"/>
              <w:rPr>
                <w:sz w:val="20"/>
                <w:szCs w:val="20"/>
                <w:color w:val="auto"/>
              </w:rPr>
            </w:pPr>
            <w:r>
              <w:rPr>
                <w:rFonts w:ascii="Arial" w:cs="Arial" w:eastAsia="Arial" w:hAnsi="Arial"/>
                <w:sz w:val="18"/>
                <w:szCs w:val="18"/>
                <w:color w:val="auto"/>
                <w:w w:val="99"/>
              </w:rPr>
              <w:t>(State or Other Jurisdiction of</w:t>
            </w:r>
          </w:p>
        </w:tc>
        <w:tc>
          <w:tcPr>
            <w:tcW w:w="3640" w:type="dxa"/>
            <w:vAlign w:val="bottom"/>
            <w:gridSpan w:val="3"/>
          </w:tcPr>
          <w:p>
            <w:pPr>
              <w:jc w:val="center"/>
              <w:ind w:right="180"/>
              <w:spacing w:after="0" w:line="204" w:lineRule="exact"/>
              <w:rPr>
                <w:sz w:val="20"/>
                <w:szCs w:val="20"/>
                <w:color w:val="auto"/>
              </w:rPr>
            </w:pPr>
            <w:r>
              <w:rPr>
                <w:rFonts w:ascii="Arial" w:cs="Arial" w:eastAsia="Arial" w:hAnsi="Arial"/>
                <w:sz w:val="18"/>
                <w:szCs w:val="18"/>
                <w:color w:val="auto"/>
                <w:w w:val="99"/>
              </w:rPr>
              <w:t>(Commission File No.)</w:t>
            </w:r>
          </w:p>
        </w:tc>
        <w:tc>
          <w:tcPr>
            <w:tcW w:w="2440" w:type="dxa"/>
            <w:vAlign w:val="bottom"/>
            <w:gridSpan w:val="3"/>
          </w:tcPr>
          <w:p>
            <w:pPr>
              <w:jc w:val="center"/>
              <w:ind w:left="950"/>
              <w:spacing w:after="0" w:line="204" w:lineRule="exact"/>
              <w:rPr>
                <w:sz w:val="20"/>
                <w:szCs w:val="20"/>
                <w:color w:val="auto"/>
              </w:rPr>
            </w:pPr>
            <w:r>
              <w:rPr>
                <w:rFonts w:ascii="Arial" w:cs="Arial" w:eastAsia="Arial" w:hAnsi="Arial"/>
                <w:sz w:val="18"/>
                <w:szCs w:val="18"/>
                <w:color w:val="auto"/>
                <w:w w:val="99"/>
              </w:rPr>
              <w:t>(I.R.S. Employer</w:t>
            </w:r>
          </w:p>
        </w:tc>
      </w:tr>
      <w:tr>
        <w:trPr>
          <w:trHeight w:val="239"/>
        </w:trPr>
        <w:tc>
          <w:tcPr>
            <w:tcW w:w="3180" w:type="dxa"/>
            <w:vAlign w:val="bottom"/>
            <w:gridSpan w:val="3"/>
          </w:tcPr>
          <w:p>
            <w:pPr>
              <w:jc w:val="center"/>
              <w:ind w:right="840"/>
              <w:spacing w:after="0"/>
              <w:rPr>
                <w:sz w:val="20"/>
                <w:szCs w:val="20"/>
                <w:color w:val="auto"/>
              </w:rPr>
            </w:pPr>
            <w:r>
              <w:rPr>
                <w:rFonts w:ascii="Arial" w:cs="Arial" w:eastAsia="Arial" w:hAnsi="Arial"/>
                <w:sz w:val="18"/>
                <w:szCs w:val="18"/>
                <w:color w:val="auto"/>
                <w:w w:val="99"/>
              </w:rPr>
              <w:t>Incorporation)</w:t>
            </w: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40" w:type="dxa"/>
            <w:vAlign w:val="bottom"/>
            <w:gridSpan w:val="3"/>
          </w:tcPr>
          <w:p>
            <w:pPr>
              <w:jc w:val="center"/>
              <w:ind w:left="950"/>
              <w:spacing w:after="0"/>
              <w:rPr>
                <w:sz w:val="20"/>
                <w:szCs w:val="20"/>
                <w:color w:val="auto"/>
              </w:rPr>
            </w:pPr>
            <w:r>
              <w:rPr>
                <w:rFonts w:ascii="Arial" w:cs="Arial" w:eastAsia="Arial" w:hAnsi="Arial"/>
                <w:sz w:val="18"/>
                <w:szCs w:val="18"/>
                <w:color w:val="auto"/>
                <w:w w:val="99"/>
              </w:rPr>
              <w:t>Identification No.)</w:t>
            </w:r>
          </w:p>
        </w:tc>
      </w:tr>
    </w:tbl>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229235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Written communications pursuant to Rule 425 under the Securities Act (17 CFR 230.425)</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pursuant to Rule 14a-12 under the Exchange Act (17 CFR 240.14a-12)</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Pre-commencement communications pursuant to Rule 14d-2(b) under the Exchange Act (17 CFR 240.14d-2(b))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Pre-commencement communications pursuant to Rule 13e-4(c) under the Exchange Act (17 CFR 240.13e-4(c))</w:t>
      </w:r>
    </w:p>
    <w:p>
      <w:pPr>
        <w:spacing w:after="0" w:line="28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rPr>
              <w:t>(Trading</w:t>
            </w:r>
          </w:p>
        </w:tc>
        <w:tc>
          <w:tcPr>
            <w:tcW w:w="3540" w:type="dxa"/>
            <w:vAlign w:val="bottom"/>
          </w:tcPr>
          <w:p>
            <w:pPr>
              <w:jc w:val="center"/>
              <w:spacing w:after="0"/>
              <w:rPr>
                <w:sz w:val="20"/>
                <w:szCs w:val="20"/>
                <w:color w:val="auto"/>
              </w:rPr>
            </w:pPr>
            <w:r>
              <w:rPr>
                <w:rFonts w:ascii="Arial" w:cs="Arial" w:eastAsia="Arial" w:hAnsi="Arial"/>
                <w:sz w:val="18"/>
                <w:szCs w:val="18"/>
                <w:color w:val="auto"/>
              </w:rPr>
              <w:t>(Name of Each Exchange</w:t>
            </w:r>
          </w:p>
        </w:tc>
      </w:tr>
      <w:tr>
        <w:trPr>
          <w:trHeight w:val="235"/>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Symbol)</w:t>
            </w:r>
          </w:p>
        </w:tc>
        <w:tc>
          <w:tcPr>
            <w:tcW w:w="3540" w:type="dxa"/>
            <w:vAlign w:val="bottom"/>
          </w:tcPr>
          <w:p>
            <w:pPr>
              <w:jc w:val="center"/>
              <w:spacing w:after="0"/>
              <w:rPr>
                <w:sz w:val="20"/>
                <w:szCs w:val="20"/>
                <w:color w:val="auto"/>
              </w:rPr>
            </w:pPr>
            <w:r>
              <w:rPr>
                <w:rFonts w:ascii="Arial" w:cs="Arial" w:eastAsia="Arial" w:hAnsi="Arial"/>
                <w:sz w:val="18"/>
                <w:szCs w:val="18"/>
                <w:color w:val="auto"/>
              </w:rPr>
              <w:t>on which Registered)</w:t>
            </w:r>
          </w:p>
        </w:tc>
      </w:tr>
      <w:tr>
        <w:trPr>
          <w:trHeight w:val="232"/>
        </w:trPr>
        <w:tc>
          <w:tcPr>
            <w:tcW w:w="374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3"/>
              </w:rPr>
              <w:t>VSAT</w:t>
            </w:r>
          </w:p>
        </w:tc>
        <w:tc>
          <w:tcPr>
            <w:tcW w:w="100" w:type="dxa"/>
            <w:vAlign w:val="bottom"/>
          </w:tcPr>
          <w:p>
            <w:pPr>
              <w:spacing w:after="0"/>
              <w:rPr>
                <w:sz w:val="20"/>
                <w:szCs w:val="20"/>
                <w:color w:val="auto"/>
              </w:rPr>
            </w:pPr>
          </w:p>
        </w:tc>
        <w:tc>
          <w:tcPr>
            <w:tcW w:w="354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161" w:lineRule="exact"/>
        <w:rPr>
          <w:sz w:val="24"/>
          <w:szCs w:val="24"/>
          <w:color w:val="auto"/>
        </w:rPr>
      </w:pPr>
    </w:p>
    <w:p>
      <w:pPr>
        <w:ind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0040" w:type="dxa"/>
            <w:vAlign w:val="bottom"/>
          </w:tcPr>
          <w:p>
            <w:pPr>
              <w:ind w:left="7820"/>
              <w:spacing w:after="0"/>
              <w:rPr>
                <w:sz w:val="20"/>
                <w:szCs w:val="20"/>
                <w:color w:val="auto"/>
              </w:rPr>
            </w:pPr>
            <w:r>
              <w:rPr>
                <w:rFonts w:ascii="Arial" w:cs="Arial" w:eastAsia="Arial" w:hAnsi="Arial"/>
                <w:sz w:val="18"/>
                <w:szCs w:val="18"/>
                <w:color w:val="auto"/>
                <w:w w:val="94"/>
              </w:rPr>
              <w:t>Emerging growth company </w:t>
            </w:r>
          </w:p>
        </w:tc>
        <w:tc>
          <w:tcPr>
            <w:tcW w:w="180" w:type="dxa"/>
            <w:vAlign w:val="bottom"/>
          </w:tcPr>
          <w:p>
            <w:pPr>
              <w:ind w:left="100"/>
              <w:spacing w:after="0"/>
              <w:rPr>
                <w:sz w:val="20"/>
                <w:szCs w:val="20"/>
                <w:color w:val="auto"/>
              </w:rPr>
            </w:pPr>
            <w:r>
              <w:rPr>
                <w:rFonts w:ascii="Arial" w:cs="Arial" w:eastAsia="Arial" w:hAnsi="Arial"/>
                <w:sz w:val="8"/>
                <w:szCs w:val="8"/>
                <w:color w:val="auto"/>
                <w:w w:val="74"/>
              </w:rPr>
              <w:t> </w:t>
            </w:r>
          </w:p>
        </w:tc>
        <w:tc>
          <w:tcPr>
            <w:tcW w:w="6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372"/>
        </w:trPr>
        <w:tc>
          <w:tcPr>
            <w:tcW w:w="10220" w:type="dxa"/>
            <w:vAlign w:val="bottom"/>
            <w:gridSpan w:val="2"/>
          </w:tcPr>
          <w:p>
            <w:pPr>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4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10040" w:type="dxa"/>
            <w:vAlign w:val="bottom"/>
          </w:tcPr>
          <w:p>
            <w:pPr>
              <w:spacing w:after="0"/>
              <w:rPr>
                <w:sz w:val="20"/>
                <w:szCs w:val="20"/>
                <w:color w:val="auto"/>
              </w:rPr>
            </w:pPr>
            <w:r>
              <w:rPr>
                <w:rFonts w:ascii="Arial" w:cs="Arial" w:eastAsia="Arial" w:hAnsi="Arial"/>
                <w:sz w:val="18"/>
                <w:szCs w:val="18"/>
                <w:color w:val="auto"/>
              </w:rPr>
              <w:t xml:space="preserve">complying with any new or revised financial accounting standards provided pursuant to Section 13(a) of the Exchange Act. 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29"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04" w:lineRule="exact"/>
        <w:rPr>
          <w:sz w:val="20"/>
          <w:szCs w:val="20"/>
          <w:color w:val="auto"/>
        </w:rPr>
      </w:pPr>
    </w:p>
    <w:p>
      <w:pPr>
        <w:ind w:left="4" w:right="360"/>
        <w:spacing w:after="0" w:line="253" w:lineRule="auto"/>
        <w:rPr>
          <w:sz w:val="20"/>
          <w:szCs w:val="20"/>
          <w:color w:val="auto"/>
        </w:rPr>
      </w:pPr>
      <w:r>
        <w:rPr>
          <w:rFonts w:ascii="Arial" w:cs="Arial" w:eastAsia="Arial" w:hAnsi="Arial"/>
          <w:sz w:val="18"/>
          <w:szCs w:val="18"/>
          <w:color w:val="auto"/>
        </w:rPr>
        <w:t>On May 28, 2026, Viasat, Inc. released its financial results for the fourth quarter and fiscal year 2026 in a letter to shareholders that is available on the investor relations section of its website. A copy of the press release announcing the release of financial results is furnished herewith as Exhibit 99.1 and a copy of the letter to shareholders is furnished herewith as Exhibit 99.2.</w:t>
      </w:r>
    </w:p>
    <w:p>
      <w:pPr>
        <w:spacing w:after="0" w:line="169" w:lineRule="exact"/>
        <w:rPr>
          <w:sz w:val="20"/>
          <w:szCs w:val="20"/>
          <w:color w:val="auto"/>
        </w:rPr>
      </w:pPr>
    </w:p>
    <w:p>
      <w:pPr>
        <w:ind w:left="4"/>
        <w:spacing w:after="0" w:line="244" w:lineRule="auto"/>
        <w:rPr>
          <w:sz w:val="20"/>
          <w:szCs w:val="20"/>
          <w:color w:val="auto"/>
        </w:rPr>
      </w:pPr>
      <w:r>
        <w:rPr>
          <w:rFonts w:ascii="Arial" w:cs="Arial" w:eastAsia="Arial" w:hAnsi="Arial"/>
          <w:sz w:val="18"/>
          <w:szCs w:val="18"/>
          <w:color w:val="auto"/>
        </w:rPr>
        <w:t>The information contained herein and in the accompanying exhibits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360" w:lineRule="exact"/>
        <w:rPr>
          <w:sz w:val="20"/>
          <w:szCs w:val="20"/>
          <w:color w:val="auto"/>
        </w:rPr>
      </w:pPr>
    </w:p>
    <w:p>
      <w:pPr>
        <w:ind w:left="544" w:hanging="544"/>
        <w:spacing w:after="0"/>
        <w:tabs>
          <w:tab w:leader="none" w:pos="544"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3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Arial" w:cs="Arial" w:eastAsia="Arial" w:hAnsi="Arial"/>
                <w:sz w:val="18"/>
                <w:szCs w:val="18"/>
                <w:color w:val="auto"/>
              </w:rPr>
              <w:t>   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1340" w:type="dxa"/>
            <w:vAlign w:val="bottom"/>
            <w:gridSpan w:val="2"/>
          </w:tcPr>
          <w:p>
            <w:pPr>
              <w:spacing w:after="0" w:line="195" w:lineRule="exact"/>
              <w:rPr>
                <w:sz w:val="20"/>
                <w:szCs w:val="20"/>
                <w:color w:val="auto"/>
              </w:rPr>
            </w:pPr>
            <w:r>
              <w:rPr>
                <w:rFonts w:ascii="Arial" w:cs="Arial" w:eastAsia="Arial" w:hAnsi="Arial"/>
                <w:sz w:val="18"/>
                <w:szCs w:val="18"/>
                <w:color w:val="auto"/>
              </w:rPr>
              <w:t xml:space="preserve">   Number   </w:t>
            </w:r>
          </w:p>
        </w:tc>
        <w:tc>
          <w:tcPr>
            <w:tcW w:w="2480" w:type="dxa"/>
            <w:vAlign w:val="bottom"/>
            <w:gridSpan w:val="3"/>
          </w:tcPr>
          <w:p>
            <w:pPr>
              <w:spacing w:after="0" w:line="195" w:lineRule="exact"/>
              <w:rPr>
                <w:sz w:val="20"/>
                <w:szCs w:val="20"/>
                <w:color w:val="auto"/>
              </w:rPr>
            </w:pPr>
            <w:r>
              <w:rPr>
                <w:rFonts w:ascii="Arial" w:cs="Arial" w:eastAsia="Arial" w:hAnsi="Arial"/>
                <w:sz w:val="18"/>
                <w:szCs w:val="18"/>
                <w:color w:val="auto"/>
              </w:rPr>
              <w:t xml:space="preserve">  Description of Exhibit          </w:t>
            </w:r>
          </w:p>
        </w:tc>
        <w:tc>
          <w:tcPr>
            <w:tcW w:w="470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 xml:space="preserve">                                                                            </w:t>
            </w:r>
          </w:p>
        </w:tc>
      </w:tr>
      <w:tr>
        <w:trPr>
          <w:trHeight w:val="183"/>
        </w:trPr>
        <w:tc>
          <w:tcPr>
            <w:tcW w:w="7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   99.1</w:t>
            </w:r>
          </w:p>
        </w:tc>
        <w:tc>
          <w:tcPr>
            <w:tcW w:w="580" w:type="dxa"/>
            <w:vAlign w:val="bottom"/>
          </w:tcPr>
          <w:p>
            <w:pPr>
              <w:spacing w:after="0"/>
              <w:rPr>
                <w:sz w:val="15"/>
                <w:szCs w:val="15"/>
                <w:color w:val="auto"/>
              </w:rPr>
            </w:pPr>
          </w:p>
        </w:tc>
        <w:tc>
          <w:tcPr>
            <w:tcW w:w="248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w w:val="98"/>
              </w:rPr>
              <w:t xml:space="preserve">  </w:t>
            </w:r>
            <w:r>
              <w:rPr>
                <w:rFonts w:ascii="Arial" w:cs="Arial" w:eastAsia="Arial" w:hAnsi="Arial"/>
                <w:sz w:val="18"/>
                <w:szCs w:val="18"/>
                <w:color w:val="0000EE"/>
                <w:w w:val="98"/>
              </w:rPr>
              <w:t>Press Release dated May 28,</w:t>
            </w:r>
          </w:p>
        </w:tc>
        <w:tc>
          <w:tcPr>
            <w:tcW w:w="4700" w:type="dxa"/>
            <w:vAlign w:val="bottom"/>
            <w:tcBorders>
              <w:top w:val="single" w:sz="8" w:color="auto"/>
            </w:tcBorders>
            <w:gridSpan w:val="3"/>
          </w:tcPr>
          <w:p>
            <w:pPr>
              <w:ind w:left="20"/>
              <w:spacing w:after="0" w:line="182" w:lineRule="exact"/>
              <w:rPr>
                <w:sz w:val="20"/>
                <w:szCs w:val="20"/>
                <w:color w:val="auto"/>
              </w:rPr>
            </w:pPr>
            <w:r>
              <w:rPr>
                <w:rFonts w:ascii="Arial" w:cs="Arial" w:eastAsia="Arial" w:hAnsi="Arial"/>
                <w:sz w:val="18"/>
                <w:szCs w:val="18"/>
                <w:color w:val="0000EE"/>
              </w:rPr>
              <w:t>2026 issued by Viasat, Inc.</w:t>
            </w:r>
          </w:p>
        </w:tc>
      </w:tr>
      <w:tr>
        <w:trPr>
          <w:trHeight w:val="183"/>
        </w:trPr>
        <w:tc>
          <w:tcPr>
            <w:tcW w:w="1340" w:type="dxa"/>
            <w:vAlign w:val="bottom"/>
            <w:gridSpan w:val="2"/>
          </w:tcPr>
          <w:p>
            <w:pPr>
              <w:spacing w:after="0" w:line="182" w:lineRule="exact"/>
              <w:rPr>
                <w:sz w:val="20"/>
                <w:szCs w:val="20"/>
                <w:color w:val="auto"/>
              </w:rPr>
            </w:pPr>
            <w:r>
              <w:rPr>
                <w:rFonts w:ascii="Arial" w:cs="Arial" w:eastAsia="Arial" w:hAnsi="Arial"/>
                <w:sz w:val="18"/>
                <w:szCs w:val="18"/>
                <w:color w:val="auto"/>
              </w:rPr>
              <w:t>   99.2</w:t>
            </w:r>
          </w:p>
        </w:tc>
        <w:tc>
          <w:tcPr>
            <w:tcW w:w="100" w:type="dxa"/>
            <w:vAlign w:val="bottom"/>
          </w:tcPr>
          <w:p>
            <w:pPr>
              <w:spacing w:after="0" w:line="182" w:lineRule="exact"/>
              <w:rPr>
                <w:sz w:val="20"/>
                <w:szCs w:val="20"/>
                <w:color w:val="auto"/>
              </w:rPr>
            </w:pPr>
            <w:r>
              <w:rPr>
                <w:rFonts w:ascii="Arial" w:cs="Arial" w:eastAsia="Arial" w:hAnsi="Arial"/>
                <w:sz w:val="18"/>
                <w:szCs w:val="18"/>
                <w:color w:val="auto"/>
                <w:w w:val="88"/>
              </w:rPr>
              <w:t> </w:t>
            </w:r>
          </w:p>
        </w:tc>
        <w:tc>
          <w:tcPr>
            <w:tcW w:w="456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Viasat, Inc. fourth quarter and fiscal year 2026 letter to</w:t>
            </w:r>
          </w:p>
        </w:tc>
        <w:tc>
          <w:tcPr>
            <w:tcW w:w="2520" w:type="dxa"/>
            <w:vAlign w:val="bottom"/>
            <w:gridSpan w:val="2"/>
          </w:tcPr>
          <w:p>
            <w:pPr>
              <w:spacing w:after="0" w:line="182" w:lineRule="exact"/>
              <w:rPr>
                <w:sz w:val="20"/>
                <w:szCs w:val="20"/>
                <w:color w:val="auto"/>
              </w:rPr>
            </w:pPr>
            <w:r>
              <w:rPr>
                <w:rFonts w:ascii="Arial" w:cs="Arial" w:eastAsia="Arial" w:hAnsi="Arial"/>
                <w:sz w:val="18"/>
                <w:szCs w:val="18"/>
                <w:color w:val="0000EE"/>
                <w:w w:val="93"/>
              </w:rPr>
              <w:t>shareholders dated May 28, 2026</w:t>
            </w:r>
          </w:p>
        </w:tc>
      </w:tr>
      <w:tr>
        <w:trPr>
          <w:trHeight w:val="232"/>
        </w:trPr>
        <w:tc>
          <w:tcPr>
            <w:tcW w:w="1340" w:type="dxa"/>
            <w:vAlign w:val="bottom"/>
            <w:gridSpan w:val="2"/>
          </w:tcPr>
          <w:p>
            <w:pPr>
              <w:spacing w:after="0"/>
              <w:rPr>
                <w:sz w:val="20"/>
                <w:szCs w:val="20"/>
                <w:color w:val="auto"/>
              </w:rPr>
            </w:pPr>
            <w:r>
              <w:rPr>
                <w:rFonts w:ascii="Arial" w:cs="Arial" w:eastAsia="Arial" w:hAnsi="Arial"/>
                <w:sz w:val="18"/>
                <w:szCs w:val="18"/>
                <w:color w:val="auto"/>
              </w:rPr>
              <w:t>   104</w:t>
            </w:r>
          </w:p>
        </w:tc>
        <w:tc>
          <w:tcPr>
            <w:tcW w:w="120" w:type="dxa"/>
            <w:vAlign w:val="bottom"/>
            <w:gridSpan w:val="2"/>
          </w:tcPr>
          <w:p>
            <w:pPr>
              <w:spacing w:after="0"/>
              <w:rPr>
                <w:sz w:val="20"/>
                <w:szCs w:val="20"/>
                <w:color w:val="auto"/>
              </w:rPr>
            </w:pPr>
            <w:r>
              <w:rPr>
                <w:rFonts w:ascii="Arial" w:cs="Arial" w:eastAsia="Arial" w:hAnsi="Arial"/>
                <w:sz w:val="18"/>
                <w:szCs w:val="18"/>
                <w:color w:val="auto"/>
              </w:rPr>
              <w:t> </w:t>
            </w:r>
          </w:p>
        </w:tc>
        <w:tc>
          <w:tcPr>
            <w:tcW w:w="70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0" w:type="dxa"/>
            <w:vAlign w:val="bottom"/>
          </w:tcPr>
          <w:p>
            <w:pPr>
              <w:spacing w:after="0"/>
              <w:rPr>
                <w:sz w:val="20"/>
                <w:szCs w:val="20"/>
                <w:color w:val="auto"/>
              </w:rPr>
            </w:pPr>
          </w:p>
        </w:tc>
      </w:tr>
      <w:tr>
        <w:trPr>
          <w:trHeight w:val="710"/>
        </w:trPr>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8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44"/>
          </w:cols>
          <w:pgMar w:left="436" w:top="296" w:right="5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May 28, 2026</w:t>
      </w:r>
      <w:r>
        <w:rPr>
          <w:sz w:val="20"/>
          <w:szCs w:val="20"/>
          <w:color w:val="auto"/>
        </w:rPr>
        <w:tab/>
      </w:r>
      <w:r>
        <w:rPr>
          <w:rFonts w:ascii="Arial" w:cs="Arial" w:eastAsia="Arial" w:hAnsi="Arial"/>
          <w:sz w:val="17"/>
          <w:szCs w:val="17"/>
          <w:color w:val="auto"/>
        </w:rPr>
        <w:t>Viasat, Inc.</w:t>
      </w:r>
    </w:p>
    <w:p>
      <w:pPr>
        <w:spacing w:after="0" w:line="320" w:lineRule="exact"/>
        <w:rPr>
          <w:sz w:val="20"/>
          <w:szCs w:val="20"/>
          <w:color w:val="auto"/>
        </w:rPr>
      </w:pPr>
    </w:p>
    <w:p>
      <w:pPr>
        <w:ind w:left="5520"/>
        <w:spacing w:after="0"/>
        <w:tabs>
          <w:tab w:leader="none" w:pos="5920" w:val="left"/>
        </w:tabs>
        <w:rPr>
          <w:sz w:val="20"/>
          <w:szCs w:val="20"/>
          <w:color w:val="auto"/>
        </w:rPr>
      </w:pPr>
      <w:r>
        <w:rPr>
          <w:rFonts w:ascii="Arial" w:cs="Arial" w:eastAsia="Arial" w:hAnsi="Arial"/>
          <w:sz w:val="18"/>
          <w:szCs w:val="18"/>
          <w:color w:val="auto"/>
        </w:rPr>
        <w:t>By:</w:t>
        <w:tab/>
        <w:t>/s/ Brett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8890</wp:posOffset>
            </wp:positionV>
            <wp:extent cx="321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Brett Church</w:t>
      </w:r>
    </w:p>
    <w:p>
      <w:pPr>
        <w:ind w:left="5940"/>
        <w:spacing w:after="0"/>
        <w:rPr>
          <w:sz w:val="20"/>
          <w:szCs w:val="20"/>
          <w:color w:val="auto"/>
        </w:rPr>
      </w:pPr>
      <w:r>
        <w:rPr>
          <w:rFonts w:ascii="Arial" w:cs="Arial" w:eastAsia="Arial" w:hAnsi="Arial"/>
          <w:sz w:val="18"/>
          <w:szCs w:val="18"/>
          <w:color w:val="auto"/>
        </w:rPr>
        <w:t>Associate General Counsel</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440" w:top="296"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11442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Releases Fourth Quarter and Fiscal Year 2026 Financial Results</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CARLSBAD, Calif., May 28, 2026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Viasat,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VSAT), a global leader in satellite communications, today published its fourth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quarter and fiscal year 2026 financial results. A letter to shareholders and accompanying webcast slides are available on the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Relations</w:t>
      </w:r>
      <w:r>
        <w:rPr>
          <w:rFonts w:ascii="Arial" w:cs="Arial" w:eastAsia="Arial" w:hAnsi="Arial"/>
          <w:sz w:val="18"/>
          <w:szCs w:val="18"/>
          <w:color w:val="auto"/>
        </w:rPr>
        <w:t xml:space="preserve"> section of the company’s website.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As previously announced, Management will host a conference call to discuss the results today, Thursday, May 28, 2026 at 2:30 p.m. PT (5:30 p.m. ET).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Information:</w:t>
      </w:r>
    </w:p>
    <w:p>
      <w:pPr>
        <w:spacing w:after="0" w:line="117"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Dial-in: (800) 715-9871 (U.S./Canada toll-free) or (646) 307-1963 (international)</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Conference ID: 2206055</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Live webcast: Available on Viasat’s </w:t>
      </w:r>
      <w:r>
        <w:rPr>
          <w:rFonts w:ascii="Arial" w:cs="Arial" w:eastAsia="Arial" w:hAnsi="Arial"/>
          <w:sz w:val="18"/>
          <w:szCs w:val="18"/>
          <w:u w:val="single" w:color="auto"/>
          <w:color w:val="auto"/>
        </w:rPr>
        <w:t>Investor Relations</w:t>
      </w:r>
      <w:r>
        <w:rPr>
          <w:rFonts w:ascii="Arial" w:cs="Arial" w:eastAsia="Arial" w:hAnsi="Arial"/>
          <w:sz w:val="18"/>
          <w:szCs w:val="18"/>
          <w:color w:val="auto"/>
        </w:rPr>
        <w:t xml:space="preserve"> website.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be archived on the Investor Relations site.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Viasat</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Viasat is a global communications company that believes everyone and everything in the world can be connected. With offices in 24 countries around the world, our mission shapes how consumers, businesses, governments and militaries around the world communicate and connect. Viasat is developing the ultimate global communications network to power high-quality, reliable, secure, affordable, fast connections to positively impact people’s lives anywhere they are—on the ground, in the air or at sea, while building a sustainable future in space. In May 2023, Viasat completed its acquisition of Inmarsat, combining the teams, technologies and resources of the two companies to create a new global communications partner. Learn more at </w:t>
      </w:r>
      <w:r>
        <w:rPr>
          <w:rFonts w:ascii="Arial" w:cs="Arial" w:eastAsia="Arial" w:hAnsi="Arial"/>
          <w:sz w:val="18"/>
          <w:szCs w:val="18"/>
          <w:u w:val="single" w:color="auto"/>
          <w:color w:val="auto"/>
        </w:rPr>
        <w:t>www.viasat.com</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Viasat News Room</w:t>
      </w:r>
      <w:r>
        <w:rPr>
          <w:rFonts w:ascii="Arial" w:cs="Arial" w:eastAsia="Arial" w:hAnsi="Arial"/>
          <w:sz w:val="18"/>
          <w:szCs w:val="18"/>
          <w:color w:val="auto"/>
        </w:rPr>
        <w:t xml:space="preserve"> or follow us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Instagram</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Bluesky</w:t>
      </w:r>
      <w:r>
        <w:rPr>
          <w:rFonts w:ascii="Arial" w:cs="Arial" w:eastAsia="Arial" w:hAnsi="Arial"/>
          <w:sz w:val="18"/>
          <w:szCs w:val="18"/>
          <w:color w:val="auto"/>
        </w:rPr>
        <w:t xml:space="preserve">, </w:t>
      </w:r>
      <w:r>
        <w:rPr>
          <w:rFonts w:ascii="Arial" w:cs="Arial" w:eastAsia="Arial" w:hAnsi="Arial"/>
          <w:sz w:val="18"/>
          <w:szCs w:val="18"/>
          <w:u w:val="single" w:color="auto"/>
          <w:color w:val="auto"/>
        </w:rPr>
        <w:t>Threads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95"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i w:val="1"/>
          <w:iCs w:val="1"/>
          <w:color w:val="auto"/>
        </w:rPr>
        <w:t xml:space="preserve">Copyright </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2026 Viasat, Inc. All rights reserved. Viasat, the Viasat logo and the Viasat Signal are registered trademarks in the U.S. and in other countries of Viasat, Inc. All other product or company names mentioned are used for identification purposes only and may be trademarks of their respective owners.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Viasat, Inc.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Scott Goryl/Daniel Bleier, Corporate Communications, </w:t>
      </w:r>
      <w:r>
        <w:rPr>
          <w:rFonts w:ascii="Arial" w:cs="Arial" w:eastAsia="Arial" w:hAnsi="Arial"/>
          <w:sz w:val="18"/>
          <w:szCs w:val="18"/>
          <w:u w:val="single" w:color="auto"/>
          <w:color w:val="auto"/>
        </w:rPr>
        <w:t>PR@viasat.com</w:t>
      </w:r>
    </w:p>
    <w:p>
      <w:pPr>
        <w:spacing w:after="0"/>
        <w:rPr>
          <w:sz w:val="20"/>
          <w:szCs w:val="20"/>
          <w:color w:val="auto"/>
        </w:rPr>
      </w:pPr>
      <w:r>
        <w:rPr>
          <w:rFonts w:ascii="Arial" w:cs="Arial" w:eastAsia="Arial" w:hAnsi="Arial"/>
          <w:sz w:val="18"/>
          <w:szCs w:val="18"/>
          <w:color w:val="auto"/>
        </w:rPr>
        <w:t xml:space="preserve">Lisa Curran/Peter Lopez, Investor Relations, </w:t>
      </w:r>
      <w:r>
        <w:rPr>
          <w:rFonts w:ascii="Arial" w:cs="Arial" w:eastAsia="Arial" w:hAnsi="Arial"/>
          <w:sz w:val="18"/>
          <w:szCs w:val="18"/>
          <w:u w:val="single" w:color="auto"/>
          <w:color w:val="auto"/>
        </w:rPr>
        <w:t>IR@viasat.com</w:t>
      </w:r>
    </w:p>
    <w:p>
      <w:pPr>
        <w:sectPr>
          <w:pgSz w:w="11900" w:h="16838" w:orient="portrait"/>
          <w:cols w:equalWidth="0" w:num="1">
            <w:col w:w="11020"/>
          </w:cols>
          <w:pgMar w:left="440" w:top="122" w:right="439" w:bottom="1440" w:gutter="0" w:footer="0" w:header="0"/>
        </w:sectPr>
      </w:pPr>
    </w:p>
    <w:bookmarkStart w:id="4" w:name="page5"/>
    <w:bookmarkEnd w:id="4"/>
    <w:p>
      <w:pPr>
        <w:ind w:left="902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170180</wp:posOffset>
            </wp:positionV>
            <wp:extent cx="5829300" cy="7543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020"/>
          </w:cols>
          <w:pgMar w:left="1440" w:top="122" w:right="4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74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7774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ind w:left="4"/>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 Quarter Fiscal Year 2026 Results</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Financial Results</w:t>
      </w:r>
    </w:p>
    <w:p>
      <w:pPr>
        <w:spacing w:after="0" w:line="14" w:lineRule="exact"/>
        <w:rPr>
          <w:sz w:val="20"/>
          <w:szCs w:val="20"/>
          <w:color w:val="auto"/>
        </w:rPr>
      </w:pPr>
    </w:p>
    <w:tbl>
      <w:tblPr>
        <w:tblLayout w:type="fixed"/>
        <w:tblInd w:w="14" w:type="dxa"/>
        <w:tblCellMar>
          <w:top w:w="0" w:type="dxa"/>
          <w:left w:w="0" w:type="dxa"/>
          <w:bottom w:w="0" w:type="dxa"/>
          <w:right w:w="0" w:type="dxa"/>
        </w:tblCellMar>
      </w:tblPr>
      <w:tr>
        <w:trPr>
          <w:trHeight w:val="186"/>
        </w:trPr>
        <w:tc>
          <w:tcPr>
            <w:tcW w:w="3600" w:type="dxa"/>
            <w:vAlign w:val="bottom"/>
            <w:tcBorders>
              <w:top w:val="single" w:sz="8" w:color="auto"/>
              <w:left w:val="single" w:sz="8" w:color="auto"/>
              <w:right w:val="single" w:sz="8" w:color="auto"/>
            </w:tcBorders>
            <w:vMerge w:val="restart"/>
            <w:shd w:val="clear" w:color="auto" w:fill="D9D9D9"/>
          </w:tcPr>
          <w:p>
            <w:pPr>
              <w:ind w:left="160"/>
              <w:spacing w:after="0"/>
              <w:rPr>
                <w:sz w:val="20"/>
                <w:szCs w:val="20"/>
                <w:color w:val="auto"/>
              </w:rPr>
            </w:pPr>
            <w:r>
              <w:rPr>
                <w:rFonts w:ascii="Arial" w:cs="Arial" w:eastAsia="Arial" w:hAnsi="Arial"/>
                <w:sz w:val="20"/>
                <w:szCs w:val="20"/>
                <w:color w:val="auto"/>
              </w:rPr>
              <w:t>(In millions, except per share data)</w:t>
            </w:r>
          </w:p>
        </w:tc>
        <w:tc>
          <w:tcPr>
            <w:tcW w:w="1020" w:type="dxa"/>
            <w:vAlign w:val="bottom"/>
            <w:tcBorders>
              <w:top w:val="single" w:sz="8" w:color="auto"/>
              <w:right w:val="single" w:sz="8" w:color="auto"/>
            </w:tcBorders>
            <w:vMerge w:val="restart"/>
            <w:shd w:val="clear" w:color="auto" w:fill="D9D9D9"/>
          </w:tcPr>
          <w:p>
            <w:pPr>
              <w:ind w:left="140"/>
              <w:spacing w:after="0"/>
              <w:rPr>
                <w:sz w:val="20"/>
                <w:szCs w:val="20"/>
                <w:color w:val="auto"/>
              </w:rPr>
            </w:pPr>
            <w:r>
              <w:rPr>
                <w:rFonts w:ascii="Arial" w:cs="Arial" w:eastAsia="Arial" w:hAnsi="Arial"/>
                <w:sz w:val="20"/>
                <w:szCs w:val="20"/>
                <w:b w:val="1"/>
                <w:bCs w:val="1"/>
                <w:color w:val="auto"/>
              </w:rPr>
              <w:t>Q4FY26</w:t>
            </w:r>
          </w:p>
        </w:tc>
        <w:tc>
          <w:tcPr>
            <w:tcW w:w="1020" w:type="dxa"/>
            <w:vAlign w:val="bottom"/>
            <w:tcBorders>
              <w:top w:val="single" w:sz="8" w:color="auto"/>
              <w:right w:val="single" w:sz="8" w:color="auto"/>
            </w:tcBorders>
            <w:vMerge w:val="restart"/>
            <w:shd w:val="clear" w:color="auto" w:fill="D9D9D9"/>
          </w:tcPr>
          <w:p>
            <w:pPr>
              <w:ind w:left="140"/>
              <w:spacing w:after="0"/>
              <w:rPr>
                <w:sz w:val="20"/>
                <w:szCs w:val="20"/>
                <w:color w:val="auto"/>
              </w:rPr>
            </w:pPr>
            <w:r>
              <w:rPr>
                <w:rFonts w:ascii="Arial" w:cs="Arial" w:eastAsia="Arial" w:hAnsi="Arial"/>
                <w:sz w:val="20"/>
                <w:szCs w:val="20"/>
                <w:b w:val="1"/>
                <w:bCs w:val="1"/>
                <w:color w:val="auto"/>
              </w:rPr>
              <w:t>Q4FY25</w:t>
            </w:r>
          </w:p>
        </w:tc>
        <w:tc>
          <w:tcPr>
            <w:tcW w:w="1640" w:type="dxa"/>
            <w:vAlign w:val="bottom"/>
            <w:tcBorders>
              <w:top w:val="single" w:sz="8" w:color="auto"/>
              <w:right w:val="single" w:sz="8" w:color="auto"/>
            </w:tcBorders>
            <w:shd w:val="clear" w:color="auto" w:fill="D9D9D9"/>
          </w:tcPr>
          <w:p>
            <w:pPr>
              <w:jc w:val="center"/>
              <w:spacing w:after="0" w:line="185" w:lineRule="exact"/>
              <w:rPr>
                <w:sz w:val="20"/>
                <w:szCs w:val="20"/>
                <w:color w:val="auto"/>
              </w:rPr>
            </w:pPr>
            <w:r>
              <w:rPr>
                <w:rFonts w:ascii="Arial" w:cs="Arial" w:eastAsia="Arial" w:hAnsi="Arial"/>
                <w:sz w:val="20"/>
                <w:szCs w:val="20"/>
                <w:b w:val="1"/>
                <w:bCs w:val="1"/>
                <w:color w:val="auto"/>
                <w:w w:val="98"/>
              </w:rPr>
              <w:t>Year-over-Year</w:t>
            </w:r>
          </w:p>
        </w:tc>
        <w:tc>
          <w:tcPr>
            <w:tcW w:w="1020" w:type="dxa"/>
            <w:vAlign w:val="bottom"/>
            <w:tcBorders>
              <w:top w:val="single" w:sz="8" w:color="auto"/>
              <w:right w:val="single" w:sz="8" w:color="auto"/>
            </w:tcBorders>
            <w:vMerge w:val="restart"/>
            <w:shd w:val="clear" w:color="auto" w:fill="D9D9D9"/>
          </w:tcPr>
          <w:p>
            <w:pPr>
              <w:ind w:left="280"/>
              <w:spacing w:after="0"/>
              <w:rPr>
                <w:sz w:val="20"/>
                <w:szCs w:val="20"/>
                <w:color w:val="auto"/>
              </w:rPr>
            </w:pPr>
            <w:r>
              <w:rPr>
                <w:rFonts w:ascii="Arial" w:cs="Arial" w:eastAsia="Arial" w:hAnsi="Arial"/>
                <w:sz w:val="20"/>
                <w:szCs w:val="20"/>
                <w:b w:val="1"/>
                <w:bCs w:val="1"/>
                <w:color w:val="auto"/>
              </w:rPr>
              <w:t>FY26</w:t>
            </w:r>
          </w:p>
        </w:tc>
        <w:tc>
          <w:tcPr>
            <w:tcW w:w="1040" w:type="dxa"/>
            <w:vAlign w:val="bottom"/>
            <w:tcBorders>
              <w:top w:val="single" w:sz="8" w:color="auto"/>
              <w:right w:val="single" w:sz="8" w:color="auto"/>
            </w:tcBorders>
            <w:vMerge w:val="restart"/>
            <w:shd w:val="clear" w:color="auto" w:fill="D9D9D9"/>
          </w:tcPr>
          <w:p>
            <w:pPr>
              <w:ind w:left="280"/>
              <w:spacing w:after="0"/>
              <w:rPr>
                <w:sz w:val="20"/>
                <w:szCs w:val="20"/>
                <w:color w:val="auto"/>
              </w:rPr>
            </w:pPr>
            <w:r>
              <w:rPr>
                <w:rFonts w:ascii="Arial" w:cs="Arial" w:eastAsia="Arial" w:hAnsi="Arial"/>
                <w:sz w:val="20"/>
                <w:szCs w:val="20"/>
                <w:b w:val="1"/>
                <w:bCs w:val="1"/>
                <w:color w:val="auto"/>
              </w:rPr>
              <w:t>FY25</w:t>
            </w:r>
          </w:p>
        </w:tc>
        <w:tc>
          <w:tcPr>
            <w:tcW w:w="1700" w:type="dxa"/>
            <w:vAlign w:val="bottom"/>
            <w:tcBorders>
              <w:top w:val="single" w:sz="8" w:color="auto"/>
              <w:right w:val="single" w:sz="8" w:color="auto"/>
            </w:tcBorders>
            <w:shd w:val="clear" w:color="auto" w:fill="D9D9D9"/>
          </w:tcPr>
          <w:p>
            <w:pPr>
              <w:jc w:val="center"/>
              <w:spacing w:after="0" w:line="185" w:lineRule="exact"/>
              <w:rPr>
                <w:sz w:val="20"/>
                <w:szCs w:val="20"/>
                <w:color w:val="auto"/>
              </w:rPr>
            </w:pPr>
            <w:r>
              <w:rPr>
                <w:rFonts w:ascii="Arial" w:cs="Arial" w:eastAsia="Arial" w:hAnsi="Arial"/>
                <w:sz w:val="20"/>
                <w:szCs w:val="20"/>
                <w:b w:val="1"/>
                <w:bCs w:val="1"/>
                <w:color w:val="auto"/>
                <w:w w:val="97"/>
              </w:rPr>
              <w:t>Year-Over-Year</w:t>
            </w:r>
          </w:p>
        </w:tc>
        <w:tc>
          <w:tcPr>
            <w:tcW w:w="0" w:type="dxa"/>
            <w:vAlign w:val="bottom"/>
          </w:tcPr>
          <w:p>
            <w:pPr>
              <w:spacing w:after="0"/>
              <w:rPr>
                <w:sz w:val="1"/>
                <w:szCs w:val="1"/>
                <w:color w:val="auto"/>
              </w:rPr>
            </w:pPr>
          </w:p>
        </w:tc>
      </w:tr>
      <w:tr>
        <w:trPr>
          <w:trHeight w:val="165"/>
        </w:trPr>
        <w:tc>
          <w:tcPr>
            <w:tcW w:w="3600" w:type="dxa"/>
            <w:vAlign w:val="bottom"/>
            <w:tcBorders>
              <w:left w:val="single" w:sz="8" w:color="auto"/>
              <w:right w:val="single" w:sz="8" w:color="auto"/>
            </w:tcBorders>
            <w:vMerge w:val="continue"/>
            <w:shd w:val="clear" w:color="auto" w:fill="D9D9D9"/>
          </w:tcPr>
          <w:p>
            <w:pPr>
              <w:spacing w:after="0"/>
              <w:rPr>
                <w:sz w:val="14"/>
                <w:szCs w:val="14"/>
                <w:color w:val="auto"/>
              </w:rPr>
            </w:pPr>
          </w:p>
        </w:tc>
        <w:tc>
          <w:tcPr>
            <w:tcW w:w="1020" w:type="dxa"/>
            <w:vAlign w:val="bottom"/>
            <w:tcBorders>
              <w:right w:val="single" w:sz="8" w:color="auto"/>
            </w:tcBorders>
            <w:vMerge w:val="continue"/>
            <w:shd w:val="clear" w:color="auto" w:fill="D9D9D9"/>
          </w:tcPr>
          <w:p>
            <w:pPr>
              <w:spacing w:after="0"/>
              <w:rPr>
                <w:sz w:val="14"/>
                <w:szCs w:val="14"/>
                <w:color w:val="auto"/>
              </w:rPr>
            </w:pPr>
          </w:p>
        </w:tc>
        <w:tc>
          <w:tcPr>
            <w:tcW w:w="1020" w:type="dxa"/>
            <w:vAlign w:val="bottom"/>
            <w:tcBorders>
              <w:right w:val="single" w:sz="8" w:color="auto"/>
            </w:tcBorders>
            <w:vMerge w:val="continue"/>
            <w:shd w:val="clear" w:color="auto" w:fill="D9D9D9"/>
          </w:tcPr>
          <w:p>
            <w:pPr>
              <w:spacing w:after="0"/>
              <w:rPr>
                <w:sz w:val="14"/>
                <w:szCs w:val="14"/>
                <w:color w:val="auto"/>
              </w:rPr>
            </w:pPr>
          </w:p>
        </w:tc>
        <w:tc>
          <w:tcPr>
            <w:tcW w:w="16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8"/>
              </w:rPr>
              <w:t>Change</w:t>
            </w:r>
          </w:p>
        </w:tc>
        <w:tc>
          <w:tcPr>
            <w:tcW w:w="1020" w:type="dxa"/>
            <w:vAlign w:val="bottom"/>
            <w:tcBorders>
              <w:right w:val="single" w:sz="8" w:color="auto"/>
            </w:tcBorders>
            <w:vMerge w:val="continue"/>
            <w:shd w:val="clear" w:color="auto" w:fill="D9D9D9"/>
          </w:tcPr>
          <w:p>
            <w:pPr>
              <w:spacing w:after="0"/>
              <w:rPr>
                <w:sz w:val="14"/>
                <w:szCs w:val="14"/>
                <w:color w:val="auto"/>
              </w:rPr>
            </w:pPr>
          </w:p>
        </w:tc>
        <w:tc>
          <w:tcPr>
            <w:tcW w:w="1040" w:type="dxa"/>
            <w:vAlign w:val="bottom"/>
            <w:tcBorders>
              <w:right w:val="single" w:sz="8" w:color="auto"/>
            </w:tcBorders>
            <w:vMerge w:val="continue"/>
            <w:shd w:val="clear" w:color="auto" w:fill="D9D9D9"/>
          </w:tcPr>
          <w:p>
            <w:pPr>
              <w:spacing w:after="0"/>
              <w:rPr>
                <w:sz w:val="14"/>
                <w:szCs w:val="14"/>
                <w:color w:val="auto"/>
              </w:rPr>
            </w:pP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rPr>
              <w:t>Change</w:t>
            </w:r>
          </w:p>
        </w:tc>
        <w:tc>
          <w:tcPr>
            <w:tcW w:w="0" w:type="dxa"/>
            <w:vAlign w:val="bottom"/>
          </w:tcPr>
          <w:p>
            <w:pPr>
              <w:spacing w:after="0"/>
              <w:rPr>
                <w:sz w:val="1"/>
                <w:szCs w:val="1"/>
                <w:color w:val="auto"/>
              </w:rPr>
            </w:pPr>
          </w:p>
        </w:tc>
      </w:tr>
      <w:tr>
        <w:trPr>
          <w:trHeight w:val="74"/>
        </w:trPr>
        <w:tc>
          <w:tcPr>
            <w:tcW w:w="360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1020" w:type="dxa"/>
            <w:vAlign w:val="bottom"/>
            <w:tcBorders>
              <w:bottom w:val="single" w:sz="8" w:color="auto"/>
              <w:right w:val="single" w:sz="8" w:color="auto"/>
            </w:tcBorders>
            <w:shd w:val="clear" w:color="auto" w:fill="D9D9D9"/>
          </w:tcPr>
          <w:p>
            <w:pPr>
              <w:spacing w:after="0"/>
              <w:rPr>
                <w:sz w:val="6"/>
                <w:szCs w:val="6"/>
                <w:color w:val="auto"/>
              </w:rPr>
            </w:pPr>
          </w:p>
        </w:tc>
        <w:tc>
          <w:tcPr>
            <w:tcW w:w="1020" w:type="dxa"/>
            <w:vAlign w:val="bottom"/>
            <w:tcBorders>
              <w:bottom w:val="single" w:sz="8" w:color="auto"/>
              <w:right w:val="single" w:sz="8" w:color="auto"/>
            </w:tcBorders>
            <w:shd w:val="clear" w:color="auto" w:fill="D9D9D9"/>
          </w:tcPr>
          <w:p>
            <w:pPr>
              <w:spacing w:after="0"/>
              <w:rPr>
                <w:sz w:val="6"/>
                <w:szCs w:val="6"/>
                <w:color w:val="auto"/>
              </w:rPr>
            </w:pPr>
          </w:p>
        </w:tc>
        <w:tc>
          <w:tcPr>
            <w:tcW w:w="1640" w:type="dxa"/>
            <w:vAlign w:val="bottom"/>
            <w:tcBorders>
              <w:bottom w:val="single" w:sz="8" w:color="auto"/>
              <w:right w:val="single" w:sz="8" w:color="auto"/>
            </w:tcBorders>
            <w:vMerge w:val="continue"/>
            <w:shd w:val="clear" w:color="auto" w:fill="D9D9D9"/>
          </w:tcPr>
          <w:p>
            <w:pPr>
              <w:spacing w:after="0"/>
              <w:rPr>
                <w:sz w:val="6"/>
                <w:szCs w:val="6"/>
                <w:color w:val="auto"/>
              </w:rPr>
            </w:pPr>
          </w:p>
        </w:tc>
        <w:tc>
          <w:tcPr>
            <w:tcW w:w="1020" w:type="dxa"/>
            <w:vAlign w:val="bottom"/>
            <w:tcBorders>
              <w:bottom w:val="single" w:sz="8" w:color="auto"/>
              <w:right w:val="single" w:sz="8" w:color="auto"/>
            </w:tcBorders>
            <w:shd w:val="clear" w:color="auto" w:fill="D9D9D9"/>
          </w:tcPr>
          <w:p>
            <w:pPr>
              <w:spacing w:after="0"/>
              <w:rPr>
                <w:sz w:val="6"/>
                <w:szCs w:val="6"/>
                <w:color w:val="auto"/>
              </w:rPr>
            </w:pPr>
          </w:p>
        </w:tc>
        <w:tc>
          <w:tcPr>
            <w:tcW w:w="1040" w:type="dxa"/>
            <w:vAlign w:val="bottom"/>
            <w:tcBorders>
              <w:bottom w:val="single" w:sz="8" w:color="auto"/>
              <w:right w:val="single" w:sz="8" w:color="auto"/>
            </w:tcBorders>
            <w:shd w:val="clear" w:color="auto" w:fill="D9D9D9"/>
          </w:tcPr>
          <w:p>
            <w:pPr>
              <w:spacing w:after="0"/>
              <w:rPr>
                <w:sz w:val="6"/>
                <w:szCs w:val="6"/>
                <w:color w:val="auto"/>
              </w:rPr>
            </w:pPr>
          </w:p>
        </w:tc>
        <w:tc>
          <w:tcPr>
            <w:tcW w:w="1700" w:type="dxa"/>
            <w:vAlign w:val="bottom"/>
            <w:tcBorders>
              <w:bottom w:val="single" w:sz="8" w:color="auto"/>
              <w:right w:val="single" w:sz="8" w:color="auto"/>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160"/>
              <w:spacing w:after="0" w:line="209" w:lineRule="exact"/>
              <w:rPr>
                <w:sz w:val="20"/>
                <w:szCs w:val="20"/>
                <w:color w:val="auto"/>
              </w:rPr>
            </w:pPr>
            <w:r>
              <w:rPr>
                <w:rFonts w:ascii="Arial" w:cs="Arial" w:eastAsia="Arial" w:hAnsi="Arial"/>
                <w:sz w:val="20"/>
                <w:szCs w:val="20"/>
                <w:color w:val="auto"/>
              </w:rPr>
              <w:t>Revenues</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$1,171.3</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$1,147.1</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2%</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$4,640.3</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$4,519.6</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3%</w:t>
            </w:r>
          </w:p>
        </w:tc>
        <w:tc>
          <w:tcPr>
            <w:tcW w:w="0" w:type="dxa"/>
            <w:vAlign w:val="bottom"/>
          </w:tcPr>
          <w:p>
            <w:pPr>
              <w:spacing w:after="0"/>
              <w:rPr>
                <w:sz w:val="1"/>
                <w:szCs w:val="1"/>
                <w:color w:val="auto"/>
              </w:rPr>
            </w:pPr>
          </w:p>
        </w:tc>
      </w:tr>
      <w:tr>
        <w:trPr>
          <w:trHeight w:val="209"/>
        </w:trPr>
        <w:tc>
          <w:tcPr>
            <w:tcW w:w="3600" w:type="dxa"/>
            <w:vAlign w:val="bottom"/>
            <w:tcBorders>
              <w:left w:val="single" w:sz="8" w:color="auto"/>
              <w:bottom w:val="single" w:sz="8" w:color="auto"/>
              <w:right w:val="single" w:sz="8" w:color="auto"/>
            </w:tcBorders>
          </w:tcPr>
          <w:p>
            <w:pPr>
              <w:ind w:left="160"/>
              <w:spacing w:after="0" w:line="210" w:lineRule="exact"/>
              <w:rPr>
                <w:sz w:val="20"/>
                <w:szCs w:val="20"/>
                <w:color w:val="auto"/>
              </w:rPr>
            </w:pPr>
            <w:r>
              <w:rPr>
                <w:rFonts w:ascii="Arial" w:cs="Arial" w:eastAsia="Arial" w:hAnsi="Arial"/>
                <w:sz w:val="17"/>
                <w:szCs w:val="17"/>
                <w:color w:val="auto"/>
              </w:rPr>
              <w:t xml:space="preserve">Net income (loss) </w:t>
            </w:r>
            <w:r>
              <w:rPr>
                <w:rFonts w:ascii="Arial" w:cs="Arial" w:eastAsia="Arial" w:hAnsi="Arial"/>
                <w:sz w:val="24"/>
                <w:szCs w:val="24"/>
                <w:color w:val="auto"/>
                <w:vertAlign w:val="superscript"/>
              </w:rPr>
              <w:t>(1)</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5"/>
              </w:rPr>
              <w:t>$58.8</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($246.1)</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 *</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($34.1)</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($575.0)</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(94)%</w:t>
            </w:r>
          </w:p>
        </w:tc>
        <w:tc>
          <w:tcPr>
            <w:tcW w:w="0" w:type="dxa"/>
            <w:vAlign w:val="bottom"/>
          </w:tcPr>
          <w:p>
            <w:pPr>
              <w:spacing w:after="0"/>
              <w:rPr>
                <w:sz w:val="1"/>
                <w:szCs w:val="1"/>
                <w:color w:val="auto"/>
              </w:rPr>
            </w:pPr>
          </w:p>
        </w:tc>
      </w:tr>
      <w:tr>
        <w:trPr>
          <w:trHeight w:val="209"/>
        </w:trPr>
        <w:tc>
          <w:tcPr>
            <w:tcW w:w="3600" w:type="dxa"/>
            <w:vAlign w:val="bottom"/>
            <w:tcBorders>
              <w:left w:val="single" w:sz="8" w:color="auto"/>
              <w:bottom w:val="single" w:sz="8" w:color="auto"/>
              <w:right w:val="single" w:sz="8" w:color="auto"/>
            </w:tcBorders>
          </w:tcPr>
          <w:p>
            <w:pPr>
              <w:ind w:left="160"/>
              <w:spacing w:after="0" w:line="210" w:lineRule="exact"/>
              <w:rPr>
                <w:sz w:val="20"/>
                <w:szCs w:val="20"/>
                <w:color w:val="auto"/>
              </w:rPr>
            </w:pPr>
            <w:r>
              <w:rPr>
                <w:rFonts w:ascii="Arial" w:cs="Arial" w:eastAsia="Arial" w:hAnsi="Arial"/>
                <w:sz w:val="17"/>
                <w:szCs w:val="17"/>
                <w:color w:val="auto"/>
              </w:rPr>
              <w:t xml:space="preserve">Non-GAAP net income (loss) </w:t>
            </w:r>
            <w:r>
              <w:rPr>
                <w:rFonts w:ascii="Arial" w:cs="Arial" w:eastAsia="Arial" w:hAnsi="Arial"/>
                <w:sz w:val="24"/>
                <w:szCs w:val="24"/>
                <w:color w:val="auto"/>
                <w:vertAlign w:val="superscript"/>
              </w:rPr>
              <w:t>(1)</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($3.2)</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($3.0)</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5%</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$143.3</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$21.1</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577%</w:t>
            </w: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160"/>
              <w:spacing w:after="0" w:line="209" w:lineRule="exact"/>
              <w:rPr>
                <w:sz w:val="20"/>
                <w:szCs w:val="20"/>
                <w:color w:val="auto"/>
              </w:rPr>
            </w:pPr>
            <w:r>
              <w:rPr>
                <w:rFonts w:ascii="Arial" w:cs="Arial" w:eastAsia="Arial" w:hAnsi="Arial"/>
                <w:sz w:val="20"/>
                <w:szCs w:val="20"/>
                <w:color w:val="auto"/>
              </w:rPr>
              <w:t>Adjusted EBITDA</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$369.9</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$374.8</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$1,550.1</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$1,547.0</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0%</w:t>
            </w:r>
          </w:p>
        </w:tc>
        <w:tc>
          <w:tcPr>
            <w:tcW w:w="0" w:type="dxa"/>
            <w:vAlign w:val="bottom"/>
          </w:tcPr>
          <w:p>
            <w:pPr>
              <w:spacing w:after="0"/>
              <w:rPr>
                <w:sz w:val="1"/>
                <w:szCs w:val="1"/>
                <w:color w:val="auto"/>
              </w:rPr>
            </w:pPr>
          </w:p>
        </w:tc>
      </w:tr>
      <w:tr>
        <w:trPr>
          <w:trHeight w:val="209"/>
        </w:trPr>
        <w:tc>
          <w:tcPr>
            <w:tcW w:w="3600" w:type="dxa"/>
            <w:vAlign w:val="bottom"/>
            <w:tcBorders>
              <w:left w:val="single" w:sz="8" w:color="auto"/>
              <w:bottom w:val="single" w:sz="8" w:color="auto"/>
              <w:right w:val="single" w:sz="8" w:color="auto"/>
            </w:tcBorders>
          </w:tcPr>
          <w:p>
            <w:pPr>
              <w:ind w:left="160"/>
              <w:spacing w:after="0" w:line="210" w:lineRule="exact"/>
              <w:rPr>
                <w:sz w:val="20"/>
                <w:szCs w:val="20"/>
                <w:color w:val="auto"/>
              </w:rPr>
            </w:pPr>
            <w:r>
              <w:rPr>
                <w:rFonts w:ascii="Arial" w:cs="Arial" w:eastAsia="Arial" w:hAnsi="Arial"/>
                <w:sz w:val="17"/>
                <w:szCs w:val="17"/>
                <w:color w:val="auto"/>
              </w:rPr>
              <w:t xml:space="preserve">Diluted per share net income (loss) </w:t>
            </w:r>
            <w:r>
              <w:rPr>
                <w:rFonts w:ascii="Arial" w:cs="Arial" w:eastAsia="Arial" w:hAnsi="Arial"/>
                <w:sz w:val="24"/>
                <w:szCs w:val="24"/>
                <w:color w:val="auto"/>
                <w:vertAlign w:val="superscript"/>
              </w:rPr>
              <w:t>(1)</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5"/>
              </w:rPr>
              <w:t>$0.41</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($1.89)</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 *</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($0.25)</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($4.48)</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(94)%</w:t>
            </w:r>
          </w:p>
        </w:tc>
        <w:tc>
          <w:tcPr>
            <w:tcW w:w="0" w:type="dxa"/>
            <w:vAlign w:val="bottom"/>
          </w:tcPr>
          <w:p>
            <w:pPr>
              <w:spacing w:after="0"/>
              <w:rPr>
                <w:sz w:val="1"/>
                <w:szCs w:val="1"/>
                <w:color w:val="auto"/>
              </w:rPr>
            </w:pPr>
          </w:p>
        </w:tc>
      </w:tr>
      <w:tr>
        <w:trPr>
          <w:trHeight w:val="188"/>
        </w:trPr>
        <w:tc>
          <w:tcPr>
            <w:tcW w:w="3600" w:type="dxa"/>
            <w:vAlign w:val="bottom"/>
            <w:tcBorders>
              <w:left w:val="single" w:sz="8" w:color="auto"/>
              <w:right w:val="single" w:sz="8" w:color="auto"/>
            </w:tcBorders>
          </w:tcPr>
          <w:p>
            <w:pPr>
              <w:ind w:left="160"/>
              <w:spacing w:after="0" w:line="188" w:lineRule="exact"/>
              <w:rPr>
                <w:sz w:val="20"/>
                <w:szCs w:val="20"/>
                <w:color w:val="auto"/>
              </w:rPr>
            </w:pPr>
            <w:r>
              <w:rPr>
                <w:rFonts w:ascii="Arial" w:cs="Arial" w:eastAsia="Arial" w:hAnsi="Arial"/>
                <w:sz w:val="20"/>
                <w:szCs w:val="20"/>
                <w:color w:val="auto"/>
              </w:rPr>
              <w:t>Non-GAAP diluted per share net</w:t>
            </w:r>
          </w:p>
        </w:tc>
        <w:tc>
          <w:tcPr>
            <w:tcW w:w="10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00" w:type="dxa"/>
            <w:vAlign w:val="bottom"/>
            <w:tcBorders>
              <w:left w:val="single" w:sz="8" w:color="auto"/>
              <w:bottom w:val="single" w:sz="8" w:color="auto"/>
              <w:right w:val="single" w:sz="8" w:color="auto"/>
            </w:tcBorders>
          </w:tcPr>
          <w:p>
            <w:pPr>
              <w:ind w:left="360"/>
              <w:spacing w:after="0" w:line="237" w:lineRule="exact"/>
              <w:rPr>
                <w:sz w:val="20"/>
                <w:szCs w:val="20"/>
                <w:color w:val="auto"/>
              </w:rPr>
            </w:pPr>
            <w:r>
              <w:rPr>
                <w:rFonts w:ascii="Arial" w:cs="Arial" w:eastAsia="Arial" w:hAnsi="Arial"/>
                <w:sz w:val="19"/>
                <w:szCs w:val="19"/>
                <w:color w:val="auto"/>
              </w:rPr>
              <w:t xml:space="preserve">income (loss) </w:t>
            </w:r>
            <w:r>
              <w:rPr>
                <w:rFonts w:ascii="Arial" w:cs="Arial" w:eastAsia="Arial" w:hAnsi="Arial"/>
                <w:sz w:val="27"/>
                <w:szCs w:val="27"/>
                <w:color w:val="auto"/>
                <w:vertAlign w:val="superscript"/>
              </w:rPr>
              <w:t>(1), (2)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($0.02)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($0.02)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$1.03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$0.16</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544%</w:t>
            </w:r>
          </w:p>
        </w:tc>
        <w:tc>
          <w:tcPr>
            <w:tcW w:w="0" w:type="dxa"/>
            <w:vAlign w:val="bottom"/>
          </w:tcPr>
          <w:p>
            <w:pPr>
              <w:spacing w:after="0"/>
              <w:rPr>
                <w:sz w:val="1"/>
                <w:szCs w:val="1"/>
                <w:color w:val="auto"/>
              </w:rPr>
            </w:pPr>
          </w:p>
        </w:tc>
      </w:tr>
      <w:tr>
        <w:trPr>
          <w:trHeight w:val="196"/>
        </w:trPr>
        <w:tc>
          <w:tcPr>
            <w:tcW w:w="3600" w:type="dxa"/>
            <w:vAlign w:val="bottom"/>
            <w:tcBorders>
              <w:left w:val="single" w:sz="8" w:color="auto"/>
              <w:right w:val="single" w:sz="8" w:color="auto"/>
            </w:tcBorders>
          </w:tcPr>
          <w:p>
            <w:pPr>
              <w:ind w:left="160"/>
              <w:spacing w:after="0" w:line="196" w:lineRule="exact"/>
              <w:rPr>
                <w:sz w:val="20"/>
                <w:szCs w:val="20"/>
                <w:color w:val="auto"/>
              </w:rPr>
            </w:pPr>
            <w:r>
              <w:rPr>
                <w:rFonts w:ascii="Arial" w:cs="Arial" w:eastAsia="Arial" w:hAnsi="Arial"/>
                <w:sz w:val="20"/>
                <w:szCs w:val="20"/>
                <w:color w:val="auto"/>
              </w:rPr>
              <w:t>Fully diluted weighted average shares</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143.0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130.0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10%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134.7</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128.5</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5%</w:t>
            </w:r>
          </w:p>
        </w:tc>
        <w:tc>
          <w:tcPr>
            <w:tcW w:w="0" w:type="dxa"/>
            <w:vAlign w:val="bottom"/>
          </w:tcPr>
          <w:p>
            <w:pPr>
              <w:spacing w:after="0"/>
              <w:rPr>
                <w:sz w:val="1"/>
                <w:szCs w:val="1"/>
                <w:color w:val="auto"/>
              </w:rPr>
            </w:pPr>
          </w:p>
        </w:tc>
      </w:tr>
      <w:tr>
        <w:trPr>
          <w:trHeight w:val="175"/>
        </w:trPr>
        <w:tc>
          <w:tcPr>
            <w:tcW w:w="360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5"/>
                <w:szCs w:val="15"/>
                <w:color w:val="auto"/>
              </w:rPr>
              <w:t>(2)</w:t>
            </w:r>
          </w:p>
        </w:tc>
        <w:tc>
          <w:tcPr>
            <w:tcW w:w="1020" w:type="dxa"/>
            <w:vAlign w:val="bottom"/>
            <w:tcBorders>
              <w:bottom w:val="single" w:sz="8" w:color="auto"/>
              <w:right w:val="single" w:sz="8" w:color="auto"/>
            </w:tcBorders>
            <w:vMerge w:val="continue"/>
          </w:tcPr>
          <w:p>
            <w:pPr>
              <w:spacing w:after="0"/>
              <w:rPr>
                <w:sz w:val="15"/>
                <w:szCs w:val="15"/>
                <w:color w:val="auto"/>
              </w:rPr>
            </w:pPr>
          </w:p>
        </w:tc>
        <w:tc>
          <w:tcPr>
            <w:tcW w:w="1020" w:type="dxa"/>
            <w:vAlign w:val="bottom"/>
            <w:tcBorders>
              <w:bottom w:val="single" w:sz="8" w:color="auto"/>
              <w:right w:val="single" w:sz="8" w:color="auto"/>
            </w:tcBorders>
            <w:vMerge w:val="continue"/>
          </w:tcPr>
          <w:p>
            <w:pPr>
              <w:spacing w:after="0"/>
              <w:rPr>
                <w:sz w:val="15"/>
                <w:szCs w:val="15"/>
                <w:color w:val="auto"/>
              </w:rPr>
            </w:pPr>
          </w:p>
        </w:tc>
        <w:tc>
          <w:tcPr>
            <w:tcW w:w="1640" w:type="dxa"/>
            <w:vAlign w:val="bottom"/>
            <w:tcBorders>
              <w:bottom w:val="single" w:sz="8" w:color="auto"/>
              <w:right w:val="single" w:sz="8" w:color="auto"/>
            </w:tcBorders>
            <w:vMerge w:val="continue"/>
          </w:tcPr>
          <w:p>
            <w:pPr>
              <w:spacing w:after="0"/>
              <w:rPr>
                <w:sz w:val="15"/>
                <w:szCs w:val="15"/>
                <w:color w:val="auto"/>
              </w:rPr>
            </w:pPr>
          </w:p>
        </w:tc>
        <w:tc>
          <w:tcPr>
            <w:tcW w:w="1020" w:type="dxa"/>
            <w:vAlign w:val="bottom"/>
            <w:tcBorders>
              <w:bottom w:val="single" w:sz="8" w:color="auto"/>
              <w:right w:val="single" w:sz="8" w:color="auto"/>
            </w:tcBorders>
            <w:vMerge w:val="continue"/>
          </w:tcPr>
          <w:p>
            <w:pPr>
              <w:spacing w:after="0"/>
              <w:rPr>
                <w:sz w:val="15"/>
                <w:szCs w:val="15"/>
                <w:color w:val="auto"/>
              </w:rPr>
            </w:pPr>
          </w:p>
        </w:tc>
        <w:tc>
          <w:tcPr>
            <w:tcW w:w="1040" w:type="dxa"/>
            <w:vAlign w:val="bottom"/>
            <w:tcBorders>
              <w:bottom w:val="single" w:sz="8" w:color="auto"/>
              <w:right w:val="single" w:sz="8" w:color="auto"/>
            </w:tcBorders>
            <w:vMerge w:val="continue"/>
          </w:tcPr>
          <w:p>
            <w:pPr>
              <w:spacing w:after="0"/>
              <w:rPr>
                <w:sz w:val="15"/>
                <w:szCs w:val="15"/>
                <w:color w:val="auto"/>
              </w:rPr>
            </w:pPr>
          </w:p>
        </w:tc>
        <w:tc>
          <w:tcPr>
            <w:tcW w:w="17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0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1020" w:type="dxa"/>
            <w:vAlign w:val="bottom"/>
            <w:tcBorders>
              <w:bottom w:val="single" w:sz="8" w:color="auto"/>
              <w:right w:val="single" w:sz="8" w:color="auto"/>
            </w:tcBorders>
            <w:shd w:val="clear" w:color="auto" w:fill="D9D9D9"/>
          </w:tcPr>
          <w:p>
            <w:pPr>
              <w:spacing w:after="0"/>
              <w:rPr>
                <w:sz w:val="13"/>
                <w:szCs w:val="13"/>
                <w:color w:val="auto"/>
              </w:rPr>
            </w:pPr>
          </w:p>
        </w:tc>
        <w:tc>
          <w:tcPr>
            <w:tcW w:w="1020" w:type="dxa"/>
            <w:vAlign w:val="bottom"/>
            <w:tcBorders>
              <w:bottom w:val="single" w:sz="8" w:color="auto"/>
              <w:right w:val="single" w:sz="8" w:color="auto"/>
            </w:tcBorders>
            <w:shd w:val="clear" w:color="auto" w:fill="D9D9D9"/>
          </w:tcPr>
          <w:p>
            <w:pPr>
              <w:spacing w:after="0"/>
              <w:rPr>
                <w:sz w:val="13"/>
                <w:szCs w:val="13"/>
                <w:color w:val="auto"/>
              </w:rPr>
            </w:pPr>
          </w:p>
        </w:tc>
        <w:tc>
          <w:tcPr>
            <w:tcW w:w="1640" w:type="dxa"/>
            <w:vAlign w:val="bottom"/>
            <w:tcBorders>
              <w:bottom w:val="single" w:sz="8" w:color="auto"/>
              <w:right w:val="single" w:sz="8" w:color="auto"/>
            </w:tcBorders>
            <w:shd w:val="clear" w:color="auto" w:fill="D9D9D9"/>
          </w:tcPr>
          <w:p>
            <w:pPr>
              <w:spacing w:after="0"/>
              <w:rPr>
                <w:sz w:val="13"/>
                <w:szCs w:val="13"/>
                <w:color w:val="auto"/>
              </w:rPr>
            </w:pPr>
          </w:p>
        </w:tc>
        <w:tc>
          <w:tcPr>
            <w:tcW w:w="1020" w:type="dxa"/>
            <w:vAlign w:val="bottom"/>
            <w:tcBorders>
              <w:bottom w:val="single" w:sz="8" w:color="auto"/>
              <w:right w:val="single" w:sz="8" w:color="auto"/>
            </w:tcBorders>
            <w:shd w:val="clear" w:color="auto" w:fill="D9D9D9"/>
          </w:tcPr>
          <w:p>
            <w:pPr>
              <w:spacing w:after="0"/>
              <w:rPr>
                <w:sz w:val="13"/>
                <w:szCs w:val="13"/>
                <w:color w:val="auto"/>
              </w:rPr>
            </w:pPr>
          </w:p>
        </w:tc>
        <w:tc>
          <w:tcPr>
            <w:tcW w:w="1040" w:type="dxa"/>
            <w:vAlign w:val="bottom"/>
            <w:tcBorders>
              <w:bottom w:val="single" w:sz="8" w:color="auto"/>
              <w:right w:val="single" w:sz="8" w:color="auto"/>
            </w:tcBorders>
            <w:shd w:val="clear" w:color="auto" w:fill="D9D9D9"/>
          </w:tcPr>
          <w:p>
            <w:pPr>
              <w:spacing w:after="0"/>
              <w:rPr>
                <w:sz w:val="13"/>
                <w:szCs w:val="13"/>
                <w:color w:val="auto"/>
              </w:rPr>
            </w:pPr>
          </w:p>
        </w:tc>
        <w:tc>
          <w:tcPr>
            <w:tcW w:w="170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00" w:type="dxa"/>
            <w:vAlign w:val="bottom"/>
            <w:tcBorders>
              <w:left w:val="single" w:sz="8" w:color="auto"/>
              <w:bottom w:val="single" w:sz="8" w:color="auto"/>
              <w:right w:val="single" w:sz="8" w:color="auto"/>
            </w:tcBorders>
          </w:tcPr>
          <w:p>
            <w:pPr>
              <w:ind w:left="160"/>
              <w:spacing w:after="0" w:line="210" w:lineRule="exact"/>
              <w:rPr>
                <w:sz w:val="20"/>
                <w:szCs w:val="20"/>
                <w:color w:val="auto"/>
              </w:rPr>
            </w:pPr>
            <w:r>
              <w:rPr>
                <w:rFonts w:ascii="Arial" w:cs="Arial" w:eastAsia="Arial" w:hAnsi="Arial"/>
                <w:sz w:val="17"/>
                <w:szCs w:val="17"/>
                <w:color w:val="auto"/>
              </w:rPr>
              <w:t xml:space="preserve">New contract awards </w:t>
            </w:r>
            <w:r>
              <w:rPr>
                <w:rFonts w:ascii="Arial" w:cs="Arial" w:eastAsia="Arial" w:hAnsi="Arial"/>
                <w:sz w:val="24"/>
                <w:szCs w:val="24"/>
                <w:color w:val="auto"/>
                <w:vertAlign w:val="superscript"/>
              </w:rPr>
              <w:t>(3)</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$1,279.8</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$1,169.7</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9%</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$4,931.5</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$4,684.4</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5%</w:t>
            </w: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160"/>
              <w:spacing w:after="0" w:line="210" w:lineRule="exact"/>
              <w:rPr>
                <w:sz w:val="20"/>
                <w:szCs w:val="20"/>
                <w:color w:val="auto"/>
              </w:rPr>
            </w:pPr>
            <w:r>
              <w:rPr>
                <w:rFonts w:ascii="Arial" w:cs="Arial" w:eastAsia="Arial" w:hAnsi="Arial"/>
                <w:sz w:val="17"/>
                <w:szCs w:val="17"/>
                <w:color w:val="auto"/>
              </w:rPr>
              <w:t xml:space="preserve">Backlog </w:t>
            </w:r>
            <w:r>
              <w:rPr>
                <w:rFonts w:ascii="Arial" w:cs="Arial" w:eastAsia="Arial" w:hAnsi="Arial"/>
                <w:sz w:val="24"/>
                <w:szCs w:val="24"/>
                <w:color w:val="auto"/>
                <w:vertAlign w:val="superscript"/>
              </w:rPr>
              <w:t>(4)</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$4,072.9</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$3,552.8</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15%</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$4,072.9</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$3,552.8</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15%</w:t>
            </w:r>
          </w:p>
        </w:tc>
        <w:tc>
          <w:tcPr>
            <w:tcW w:w="0" w:type="dxa"/>
            <w:vAlign w:val="bottom"/>
          </w:tcPr>
          <w:p>
            <w:pPr>
              <w:spacing w:after="0"/>
              <w:rPr>
                <w:sz w:val="1"/>
                <w:szCs w:val="1"/>
                <w:color w:val="auto"/>
              </w:rPr>
            </w:pPr>
          </w:p>
        </w:tc>
      </w:tr>
      <w:tr>
        <w:trPr>
          <w:trHeight w:val="452"/>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Segment Results</w:t>
            </w:r>
          </w:p>
        </w:tc>
        <w:tc>
          <w:tcPr>
            <w:tcW w:w="1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600" w:type="dxa"/>
            <w:vAlign w:val="bottom"/>
            <w:tcBorders>
              <w:left w:val="single" w:sz="8" w:color="auto"/>
              <w:right w:val="single" w:sz="8" w:color="auto"/>
            </w:tcBorders>
            <w:vMerge w:val="restart"/>
            <w:shd w:val="clear" w:color="auto" w:fill="D9D9D9"/>
          </w:tcPr>
          <w:p>
            <w:pPr>
              <w:ind w:left="160"/>
              <w:spacing w:after="0"/>
              <w:rPr>
                <w:sz w:val="20"/>
                <w:szCs w:val="20"/>
                <w:color w:val="auto"/>
              </w:rPr>
            </w:pPr>
            <w:r>
              <w:rPr>
                <w:rFonts w:ascii="Arial" w:cs="Arial" w:eastAsia="Arial" w:hAnsi="Arial"/>
                <w:sz w:val="20"/>
                <w:szCs w:val="20"/>
                <w:color w:val="auto"/>
              </w:rPr>
              <w:t>(In millions)</w:t>
            </w:r>
          </w:p>
        </w:tc>
        <w:tc>
          <w:tcPr>
            <w:tcW w:w="10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6"/>
              </w:rPr>
              <w:t>Q4FY26</w:t>
            </w:r>
          </w:p>
        </w:tc>
        <w:tc>
          <w:tcPr>
            <w:tcW w:w="10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9"/>
              </w:rPr>
              <w:t>Q4FY25</w:t>
            </w:r>
          </w:p>
        </w:tc>
        <w:tc>
          <w:tcPr>
            <w:tcW w:w="1640" w:type="dxa"/>
            <w:vAlign w:val="bottom"/>
            <w:tcBorders>
              <w:right w:val="single" w:sz="8" w:color="auto"/>
            </w:tcBorders>
            <w:shd w:val="clear" w:color="auto" w:fill="D9D9D9"/>
          </w:tcPr>
          <w:p>
            <w:pPr>
              <w:jc w:val="center"/>
              <w:spacing w:after="0" w:line="185" w:lineRule="exact"/>
              <w:rPr>
                <w:sz w:val="20"/>
                <w:szCs w:val="20"/>
                <w:color w:val="auto"/>
              </w:rPr>
            </w:pPr>
            <w:r>
              <w:rPr>
                <w:rFonts w:ascii="Arial" w:cs="Arial" w:eastAsia="Arial" w:hAnsi="Arial"/>
                <w:sz w:val="20"/>
                <w:szCs w:val="20"/>
                <w:b w:val="1"/>
                <w:bCs w:val="1"/>
                <w:color w:val="auto"/>
                <w:w w:val="96"/>
              </w:rPr>
              <w:t>Year-over-Year</w:t>
            </w:r>
          </w:p>
        </w:tc>
        <w:tc>
          <w:tcPr>
            <w:tcW w:w="102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20"/>
                <w:szCs w:val="20"/>
                <w:b w:val="1"/>
                <w:bCs w:val="1"/>
                <w:color w:val="auto"/>
              </w:rPr>
              <w:t>FY26 </w:t>
            </w:r>
          </w:p>
        </w:tc>
        <w:tc>
          <w:tcPr>
            <w:tcW w:w="1040" w:type="dxa"/>
            <w:vAlign w:val="bottom"/>
            <w:tcBorders>
              <w:right w:val="single" w:sz="8" w:color="auto"/>
            </w:tcBorders>
            <w:vMerge w:val="restart"/>
            <w:shd w:val="clear" w:color="auto" w:fill="D9D9D9"/>
          </w:tcPr>
          <w:p>
            <w:pPr>
              <w:ind w:left="300"/>
              <w:spacing w:after="0"/>
              <w:rPr>
                <w:sz w:val="20"/>
                <w:szCs w:val="20"/>
                <w:color w:val="auto"/>
              </w:rPr>
            </w:pPr>
            <w:r>
              <w:rPr>
                <w:rFonts w:ascii="Arial" w:cs="Arial" w:eastAsia="Arial" w:hAnsi="Arial"/>
                <w:sz w:val="20"/>
                <w:szCs w:val="20"/>
                <w:b w:val="1"/>
                <w:bCs w:val="1"/>
                <w:color w:val="auto"/>
              </w:rPr>
              <w:t>FY25 </w:t>
            </w:r>
          </w:p>
        </w:tc>
        <w:tc>
          <w:tcPr>
            <w:tcW w:w="1700" w:type="dxa"/>
            <w:vAlign w:val="bottom"/>
            <w:tcBorders>
              <w:right w:val="single" w:sz="8" w:color="auto"/>
            </w:tcBorders>
            <w:shd w:val="clear" w:color="auto" w:fill="D9D9D9"/>
          </w:tcPr>
          <w:p>
            <w:pPr>
              <w:jc w:val="center"/>
              <w:spacing w:after="0" w:line="185" w:lineRule="exact"/>
              <w:rPr>
                <w:sz w:val="20"/>
                <w:szCs w:val="20"/>
                <w:color w:val="auto"/>
              </w:rPr>
            </w:pPr>
            <w:r>
              <w:rPr>
                <w:rFonts w:ascii="Arial" w:cs="Arial" w:eastAsia="Arial" w:hAnsi="Arial"/>
                <w:sz w:val="20"/>
                <w:szCs w:val="20"/>
                <w:b w:val="1"/>
                <w:bCs w:val="1"/>
                <w:color w:val="auto"/>
                <w:w w:val="97"/>
              </w:rPr>
              <w:t>Year-Over-Year</w:t>
            </w:r>
          </w:p>
        </w:tc>
        <w:tc>
          <w:tcPr>
            <w:tcW w:w="0" w:type="dxa"/>
            <w:vAlign w:val="bottom"/>
          </w:tcPr>
          <w:p>
            <w:pPr>
              <w:spacing w:after="0"/>
              <w:rPr>
                <w:sz w:val="1"/>
                <w:szCs w:val="1"/>
                <w:color w:val="auto"/>
              </w:rPr>
            </w:pPr>
          </w:p>
        </w:tc>
      </w:tr>
      <w:tr>
        <w:trPr>
          <w:trHeight w:val="165"/>
        </w:trPr>
        <w:tc>
          <w:tcPr>
            <w:tcW w:w="3600" w:type="dxa"/>
            <w:vAlign w:val="bottom"/>
            <w:tcBorders>
              <w:left w:val="single" w:sz="8" w:color="auto"/>
              <w:right w:val="single" w:sz="8" w:color="auto"/>
            </w:tcBorders>
            <w:vMerge w:val="continue"/>
            <w:shd w:val="clear" w:color="auto" w:fill="D9D9D9"/>
          </w:tcPr>
          <w:p>
            <w:pPr>
              <w:spacing w:after="0"/>
              <w:rPr>
                <w:sz w:val="14"/>
                <w:szCs w:val="14"/>
                <w:color w:val="auto"/>
              </w:rPr>
            </w:pPr>
          </w:p>
        </w:tc>
        <w:tc>
          <w:tcPr>
            <w:tcW w:w="1020" w:type="dxa"/>
            <w:vAlign w:val="bottom"/>
            <w:tcBorders>
              <w:right w:val="single" w:sz="8" w:color="auto"/>
            </w:tcBorders>
            <w:vMerge w:val="continue"/>
            <w:shd w:val="clear" w:color="auto" w:fill="D9D9D9"/>
          </w:tcPr>
          <w:p>
            <w:pPr>
              <w:spacing w:after="0"/>
              <w:rPr>
                <w:sz w:val="14"/>
                <w:szCs w:val="14"/>
                <w:color w:val="auto"/>
              </w:rPr>
            </w:pPr>
          </w:p>
        </w:tc>
        <w:tc>
          <w:tcPr>
            <w:tcW w:w="1020" w:type="dxa"/>
            <w:vAlign w:val="bottom"/>
            <w:tcBorders>
              <w:right w:val="single" w:sz="8" w:color="auto"/>
            </w:tcBorders>
            <w:vMerge w:val="continue"/>
            <w:shd w:val="clear" w:color="auto" w:fill="D9D9D9"/>
          </w:tcPr>
          <w:p>
            <w:pPr>
              <w:spacing w:after="0"/>
              <w:rPr>
                <w:sz w:val="14"/>
                <w:szCs w:val="14"/>
                <w:color w:val="auto"/>
              </w:rPr>
            </w:pPr>
          </w:p>
        </w:tc>
        <w:tc>
          <w:tcPr>
            <w:tcW w:w="16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8"/>
              </w:rPr>
              <w:t>Change</w:t>
            </w:r>
          </w:p>
        </w:tc>
        <w:tc>
          <w:tcPr>
            <w:tcW w:w="1020" w:type="dxa"/>
            <w:vAlign w:val="bottom"/>
            <w:tcBorders>
              <w:right w:val="single" w:sz="8" w:color="auto"/>
            </w:tcBorders>
            <w:vMerge w:val="continue"/>
            <w:shd w:val="clear" w:color="auto" w:fill="D9D9D9"/>
          </w:tcPr>
          <w:p>
            <w:pPr>
              <w:spacing w:after="0"/>
              <w:rPr>
                <w:sz w:val="14"/>
                <w:szCs w:val="14"/>
                <w:color w:val="auto"/>
              </w:rPr>
            </w:pPr>
          </w:p>
        </w:tc>
        <w:tc>
          <w:tcPr>
            <w:tcW w:w="1040" w:type="dxa"/>
            <w:vAlign w:val="bottom"/>
            <w:tcBorders>
              <w:right w:val="single" w:sz="8" w:color="auto"/>
            </w:tcBorders>
            <w:vMerge w:val="continue"/>
            <w:shd w:val="clear" w:color="auto" w:fill="D9D9D9"/>
          </w:tcPr>
          <w:p>
            <w:pPr>
              <w:spacing w:after="0"/>
              <w:rPr>
                <w:sz w:val="14"/>
                <w:szCs w:val="14"/>
                <w:color w:val="auto"/>
              </w:rPr>
            </w:pP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8"/>
              </w:rPr>
              <w:t>Change</w:t>
            </w:r>
          </w:p>
        </w:tc>
        <w:tc>
          <w:tcPr>
            <w:tcW w:w="0" w:type="dxa"/>
            <w:vAlign w:val="bottom"/>
          </w:tcPr>
          <w:p>
            <w:pPr>
              <w:spacing w:after="0"/>
              <w:rPr>
                <w:sz w:val="1"/>
                <w:szCs w:val="1"/>
                <w:color w:val="auto"/>
              </w:rPr>
            </w:pPr>
          </w:p>
        </w:tc>
      </w:tr>
      <w:tr>
        <w:trPr>
          <w:trHeight w:val="74"/>
        </w:trPr>
        <w:tc>
          <w:tcPr>
            <w:tcW w:w="360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1020" w:type="dxa"/>
            <w:vAlign w:val="bottom"/>
            <w:tcBorders>
              <w:bottom w:val="single" w:sz="8" w:color="auto"/>
              <w:right w:val="single" w:sz="8" w:color="auto"/>
            </w:tcBorders>
            <w:shd w:val="clear" w:color="auto" w:fill="D9D9D9"/>
          </w:tcPr>
          <w:p>
            <w:pPr>
              <w:spacing w:after="0"/>
              <w:rPr>
                <w:sz w:val="6"/>
                <w:szCs w:val="6"/>
                <w:color w:val="auto"/>
              </w:rPr>
            </w:pPr>
          </w:p>
        </w:tc>
        <w:tc>
          <w:tcPr>
            <w:tcW w:w="1020" w:type="dxa"/>
            <w:vAlign w:val="bottom"/>
            <w:tcBorders>
              <w:bottom w:val="single" w:sz="8" w:color="auto"/>
              <w:right w:val="single" w:sz="8" w:color="auto"/>
            </w:tcBorders>
            <w:shd w:val="clear" w:color="auto" w:fill="D9D9D9"/>
          </w:tcPr>
          <w:p>
            <w:pPr>
              <w:spacing w:after="0"/>
              <w:rPr>
                <w:sz w:val="6"/>
                <w:szCs w:val="6"/>
                <w:color w:val="auto"/>
              </w:rPr>
            </w:pPr>
          </w:p>
        </w:tc>
        <w:tc>
          <w:tcPr>
            <w:tcW w:w="1640" w:type="dxa"/>
            <w:vAlign w:val="bottom"/>
            <w:tcBorders>
              <w:bottom w:val="single" w:sz="8" w:color="auto"/>
              <w:right w:val="single" w:sz="8" w:color="auto"/>
            </w:tcBorders>
            <w:vMerge w:val="continue"/>
            <w:shd w:val="clear" w:color="auto" w:fill="D9D9D9"/>
          </w:tcPr>
          <w:p>
            <w:pPr>
              <w:spacing w:after="0"/>
              <w:rPr>
                <w:sz w:val="6"/>
                <w:szCs w:val="6"/>
                <w:color w:val="auto"/>
              </w:rPr>
            </w:pPr>
          </w:p>
        </w:tc>
        <w:tc>
          <w:tcPr>
            <w:tcW w:w="1020" w:type="dxa"/>
            <w:vAlign w:val="bottom"/>
            <w:tcBorders>
              <w:bottom w:val="single" w:sz="8" w:color="auto"/>
              <w:right w:val="single" w:sz="8" w:color="auto"/>
            </w:tcBorders>
            <w:shd w:val="clear" w:color="auto" w:fill="D9D9D9"/>
          </w:tcPr>
          <w:p>
            <w:pPr>
              <w:spacing w:after="0"/>
              <w:rPr>
                <w:sz w:val="6"/>
                <w:szCs w:val="6"/>
                <w:color w:val="auto"/>
              </w:rPr>
            </w:pPr>
          </w:p>
        </w:tc>
        <w:tc>
          <w:tcPr>
            <w:tcW w:w="1040" w:type="dxa"/>
            <w:vAlign w:val="bottom"/>
            <w:tcBorders>
              <w:bottom w:val="single" w:sz="8" w:color="auto"/>
              <w:right w:val="single" w:sz="8" w:color="auto"/>
            </w:tcBorders>
            <w:shd w:val="clear" w:color="auto" w:fill="D9D9D9"/>
          </w:tcPr>
          <w:p>
            <w:pPr>
              <w:spacing w:after="0"/>
              <w:rPr>
                <w:sz w:val="6"/>
                <w:szCs w:val="6"/>
                <w:color w:val="auto"/>
              </w:rPr>
            </w:pPr>
          </w:p>
        </w:tc>
        <w:tc>
          <w:tcPr>
            <w:tcW w:w="1700" w:type="dxa"/>
            <w:vAlign w:val="bottom"/>
            <w:tcBorders>
              <w:bottom w:val="single" w:sz="8" w:color="auto"/>
              <w:right w:val="single" w:sz="8" w:color="auto"/>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160"/>
              <w:spacing w:after="0" w:line="209" w:lineRule="exact"/>
              <w:rPr>
                <w:sz w:val="20"/>
                <w:szCs w:val="20"/>
                <w:color w:val="auto"/>
              </w:rPr>
            </w:pPr>
            <w:r>
              <w:rPr>
                <w:rFonts w:ascii="Arial" w:cs="Arial" w:eastAsia="Arial" w:hAnsi="Arial"/>
                <w:sz w:val="20"/>
                <w:szCs w:val="20"/>
                <w:b w:val="1"/>
                <w:bCs w:val="1"/>
                <w:color w:val="auto"/>
              </w:rPr>
              <w:t>Communication Services</w:t>
            </w:r>
          </w:p>
        </w:tc>
        <w:tc>
          <w:tcPr>
            <w:tcW w:w="10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left w:val="single" w:sz="8" w:color="auto"/>
              <w:bottom w:val="single" w:sz="8" w:color="auto"/>
              <w:right w:val="single" w:sz="8" w:color="auto"/>
            </w:tcBorders>
          </w:tcPr>
          <w:p>
            <w:pPr>
              <w:ind w:left="260"/>
              <w:spacing w:after="0" w:line="210" w:lineRule="exact"/>
              <w:rPr>
                <w:sz w:val="20"/>
                <w:szCs w:val="20"/>
                <w:color w:val="auto"/>
              </w:rPr>
            </w:pPr>
            <w:r>
              <w:rPr>
                <w:rFonts w:ascii="Arial" w:cs="Arial" w:eastAsia="Arial" w:hAnsi="Arial"/>
                <w:sz w:val="17"/>
                <w:szCs w:val="17"/>
                <w:color w:val="auto"/>
              </w:rPr>
              <w:t xml:space="preserve">New contract awards </w:t>
            </w:r>
            <w:r>
              <w:rPr>
                <w:rFonts w:ascii="Arial" w:cs="Arial" w:eastAsia="Arial" w:hAnsi="Arial"/>
                <w:sz w:val="24"/>
                <w:szCs w:val="24"/>
                <w:color w:val="auto"/>
                <w:vertAlign w:val="superscript"/>
              </w:rPr>
              <w:t>(3)</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$876.7</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$774.4</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13%</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$3,333.4</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$3,100.8</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8%</w:t>
            </w:r>
          </w:p>
        </w:tc>
        <w:tc>
          <w:tcPr>
            <w:tcW w:w="0" w:type="dxa"/>
            <w:vAlign w:val="bottom"/>
          </w:tcPr>
          <w:p>
            <w:pPr>
              <w:spacing w:after="0"/>
              <w:rPr>
                <w:sz w:val="1"/>
                <w:szCs w:val="1"/>
                <w:color w:val="auto"/>
              </w:rPr>
            </w:pPr>
          </w:p>
        </w:tc>
      </w:tr>
      <w:tr>
        <w:trPr>
          <w:trHeight w:val="209"/>
        </w:trPr>
        <w:tc>
          <w:tcPr>
            <w:tcW w:w="3600" w:type="dxa"/>
            <w:vAlign w:val="bottom"/>
            <w:tcBorders>
              <w:left w:val="single" w:sz="8" w:color="auto"/>
              <w:bottom w:val="single" w:sz="8" w:color="auto"/>
              <w:right w:val="single" w:sz="8" w:color="auto"/>
            </w:tcBorders>
          </w:tcPr>
          <w:p>
            <w:pPr>
              <w:ind w:left="260"/>
              <w:spacing w:after="0" w:line="209" w:lineRule="exact"/>
              <w:rPr>
                <w:sz w:val="20"/>
                <w:szCs w:val="20"/>
                <w:color w:val="auto"/>
              </w:rPr>
            </w:pPr>
            <w:r>
              <w:rPr>
                <w:rFonts w:ascii="Arial" w:cs="Arial" w:eastAsia="Arial" w:hAnsi="Arial"/>
                <w:sz w:val="20"/>
                <w:szCs w:val="20"/>
                <w:color w:val="auto"/>
              </w:rPr>
              <w:t>Revenues</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$810.3</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$825.0</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(2)%</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$3,299.7</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$3,298.5</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0%</w:t>
            </w: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260"/>
              <w:spacing w:after="0" w:line="210" w:lineRule="exact"/>
              <w:rPr>
                <w:sz w:val="20"/>
                <w:szCs w:val="20"/>
                <w:color w:val="auto"/>
              </w:rPr>
            </w:pPr>
            <w:r>
              <w:rPr>
                <w:rFonts w:ascii="Arial" w:cs="Arial" w:eastAsia="Arial" w:hAnsi="Arial"/>
                <w:sz w:val="17"/>
                <w:szCs w:val="17"/>
                <w:color w:val="auto"/>
              </w:rPr>
              <w:t xml:space="preserve">Operating profit (loss) </w:t>
            </w:r>
            <w:r>
              <w:rPr>
                <w:rFonts w:ascii="Arial" w:cs="Arial" w:eastAsia="Arial" w:hAnsi="Arial"/>
                <w:sz w:val="24"/>
                <w:szCs w:val="24"/>
                <w:color w:val="auto"/>
                <w:vertAlign w:val="superscript"/>
              </w:rPr>
              <w:t>(5)</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$2.3</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($136.1)</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 *</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$152.6</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7"/>
              </w:rPr>
              <w:t>($50.2)</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76"/>
              </w:rPr>
              <w:t>  *</w:t>
            </w:r>
          </w:p>
        </w:tc>
        <w:tc>
          <w:tcPr>
            <w:tcW w:w="0" w:type="dxa"/>
            <w:vAlign w:val="bottom"/>
          </w:tcPr>
          <w:p>
            <w:pPr>
              <w:spacing w:after="0"/>
              <w:rPr>
                <w:sz w:val="1"/>
                <w:szCs w:val="1"/>
                <w:color w:val="auto"/>
              </w:rPr>
            </w:pPr>
          </w:p>
        </w:tc>
      </w:tr>
      <w:tr>
        <w:trPr>
          <w:trHeight w:val="209"/>
        </w:trPr>
        <w:tc>
          <w:tcPr>
            <w:tcW w:w="3600" w:type="dxa"/>
            <w:vAlign w:val="bottom"/>
            <w:tcBorders>
              <w:left w:val="single" w:sz="8" w:color="auto"/>
              <w:bottom w:val="single" w:sz="8" w:color="auto"/>
              <w:right w:val="single" w:sz="8" w:color="auto"/>
            </w:tcBorders>
          </w:tcPr>
          <w:p>
            <w:pPr>
              <w:ind w:left="260"/>
              <w:spacing w:after="0" w:line="209" w:lineRule="exact"/>
              <w:rPr>
                <w:sz w:val="20"/>
                <w:szCs w:val="20"/>
                <w:color w:val="auto"/>
              </w:rPr>
            </w:pPr>
            <w:r>
              <w:rPr>
                <w:rFonts w:ascii="Arial" w:cs="Arial" w:eastAsia="Arial" w:hAnsi="Arial"/>
                <w:sz w:val="20"/>
                <w:szCs w:val="20"/>
                <w:color w:val="auto"/>
              </w:rPr>
              <w:t>Adjusted EBITDA</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$287.3</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$306.2</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(6)%</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$1,264.1</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$1,261.7</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0%</w:t>
            </w:r>
          </w:p>
        </w:tc>
        <w:tc>
          <w:tcPr>
            <w:tcW w:w="0" w:type="dxa"/>
            <w:vAlign w:val="bottom"/>
          </w:tcPr>
          <w:p>
            <w:pPr>
              <w:spacing w:after="0"/>
              <w:rPr>
                <w:sz w:val="1"/>
                <w:szCs w:val="1"/>
                <w:color w:val="auto"/>
              </w:rPr>
            </w:pPr>
          </w:p>
        </w:tc>
      </w:tr>
      <w:tr>
        <w:trPr>
          <w:trHeight w:val="156"/>
        </w:trPr>
        <w:tc>
          <w:tcPr>
            <w:tcW w:w="360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1020" w:type="dxa"/>
            <w:vAlign w:val="bottom"/>
            <w:tcBorders>
              <w:bottom w:val="single" w:sz="8" w:color="auto"/>
              <w:right w:val="single" w:sz="8" w:color="auto"/>
            </w:tcBorders>
            <w:shd w:val="clear" w:color="auto" w:fill="D9D9D9"/>
          </w:tcPr>
          <w:p>
            <w:pPr>
              <w:spacing w:after="0"/>
              <w:rPr>
                <w:sz w:val="13"/>
                <w:szCs w:val="13"/>
                <w:color w:val="auto"/>
              </w:rPr>
            </w:pPr>
          </w:p>
        </w:tc>
        <w:tc>
          <w:tcPr>
            <w:tcW w:w="1020" w:type="dxa"/>
            <w:vAlign w:val="bottom"/>
            <w:tcBorders>
              <w:bottom w:val="single" w:sz="8" w:color="auto"/>
              <w:right w:val="single" w:sz="8" w:color="auto"/>
            </w:tcBorders>
            <w:shd w:val="clear" w:color="auto" w:fill="D9D9D9"/>
          </w:tcPr>
          <w:p>
            <w:pPr>
              <w:spacing w:after="0"/>
              <w:rPr>
                <w:sz w:val="13"/>
                <w:szCs w:val="13"/>
                <w:color w:val="auto"/>
              </w:rPr>
            </w:pPr>
          </w:p>
        </w:tc>
        <w:tc>
          <w:tcPr>
            <w:tcW w:w="1640" w:type="dxa"/>
            <w:vAlign w:val="bottom"/>
            <w:tcBorders>
              <w:bottom w:val="single" w:sz="8" w:color="auto"/>
              <w:right w:val="single" w:sz="8" w:color="auto"/>
            </w:tcBorders>
            <w:shd w:val="clear" w:color="auto" w:fill="D9D9D9"/>
          </w:tcPr>
          <w:p>
            <w:pPr>
              <w:spacing w:after="0"/>
              <w:rPr>
                <w:sz w:val="13"/>
                <w:szCs w:val="13"/>
                <w:color w:val="auto"/>
              </w:rPr>
            </w:pPr>
          </w:p>
        </w:tc>
        <w:tc>
          <w:tcPr>
            <w:tcW w:w="1020" w:type="dxa"/>
            <w:vAlign w:val="bottom"/>
            <w:tcBorders>
              <w:bottom w:val="single" w:sz="8" w:color="auto"/>
              <w:right w:val="single" w:sz="8" w:color="auto"/>
            </w:tcBorders>
            <w:shd w:val="clear" w:color="auto" w:fill="D9D9D9"/>
          </w:tcPr>
          <w:p>
            <w:pPr>
              <w:spacing w:after="0"/>
              <w:rPr>
                <w:sz w:val="13"/>
                <w:szCs w:val="13"/>
                <w:color w:val="auto"/>
              </w:rPr>
            </w:pPr>
          </w:p>
        </w:tc>
        <w:tc>
          <w:tcPr>
            <w:tcW w:w="1040" w:type="dxa"/>
            <w:vAlign w:val="bottom"/>
            <w:tcBorders>
              <w:bottom w:val="single" w:sz="8" w:color="auto"/>
              <w:right w:val="single" w:sz="8" w:color="auto"/>
            </w:tcBorders>
            <w:shd w:val="clear" w:color="auto" w:fill="D9D9D9"/>
          </w:tcPr>
          <w:p>
            <w:pPr>
              <w:spacing w:after="0"/>
              <w:rPr>
                <w:sz w:val="13"/>
                <w:szCs w:val="13"/>
                <w:color w:val="auto"/>
              </w:rPr>
            </w:pPr>
          </w:p>
        </w:tc>
        <w:tc>
          <w:tcPr>
            <w:tcW w:w="1700" w:type="dxa"/>
            <w:vAlign w:val="bottom"/>
            <w:tcBorders>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600" w:type="dxa"/>
            <w:vAlign w:val="bottom"/>
            <w:tcBorders>
              <w:left w:val="single" w:sz="8" w:color="auto"/>
              <w:right w:val="single" w:sz="8" w:color="auto"/>
            </w:tcBorders>
          </w:tcPr>
          <w:p>
            <w:pPr>
              <w:ind w:left="160"/>
              <w:spacing w:after="0" w:line="185" w:lineRule="exact"/>
              <w:rPr>
                <w:sz w:val="20"/>
                <w:szCs w:val="20"/>
                <w:color w:val="auto"/>
              </w:rPr>
            </w:pPr>
            <w:r>
              <w:rPr>
                <w:rFonts w:ascii="Arial" w:cs="Arial" w:eastAsia="Arial" w:hAnsi="Arial"/>
                <w:sz w:val="20"/>
                <w:szCs w:val="20"/>
                <w:b w:val="1"/>
                <w:bCs w:val="1"/>
                <w:color w:val="auto"/>
              </w:rPr>
              <w:t>Defense and Advanced</w:t>
            </w:r>
          </w:p>
        </w:tc>
        <w:tc>
          <w:tcPr>
            <w:tcW w:w="10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60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20"/>
                <w:szCs w:val="20"/>
                <w:b w:val="1"/>
                <w:bCs w:val="1"/>
                <w:color w:val="auto"/>
              </w:rPr>
              <w:t>Technologies</w:t>
            </w:r>
          </w:p>
        </w:tc>
        <w:tc>
          <w:tcPr>
            <w:tcW w:w="102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00" w:type="dxa"/>
            <w:vAlign w:val="bottom"/>
            <w:tcBorders>
              <w:left w:val="single" w:sz="8" w:color="auto"/>
              <w:bottom w:val="single" w:sz="8" w:color="auto"/>
              <w:right w:val="single" w:sz="8" w:color="auto"/>
            </w:tcBorders>
          </w:tcPr>
          <w:p>
            <w:pPr>
              <w:ind w:left="260"/>
              <w:spacing w:after="0" w:line="210" w:lineRule="exact"/>
              <w:rPr>
                <w:sz w:val="20"/>
                <w:szCs w:val="20"/>
                <w:color w:val="auto"/>
              </w:rPr>
            </w:pPr>
            <w:r>
              <w:rPr>
                <w:rFonts w:ascii="Arial" w:cs="Arial" w:eastAsia="Arial" w:hAnsi="Arial"/>
                <w:sz w:val="17"/>
                <w:szCs w:val="17"/>
                <w:color w:val="auto"/>
              </w:rPr>
              <w:t xml:space="preserve">New contract awards </w:t>
            </w:r>
            <w:r>
              <w:rPr>
                <w:rFonts w:ascii="Arial" w:cs="Arial" w:eastAsia="Arial" w:hAnsi="Arial"/>
                <w:sz w:val="24"/>
                <w:szCs w:val="24"/>
                <w:color w:val="auto"/>
                <w:vertAlign w:val="superscript"/>
              </w:rPr>
              <w:t>(3)</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$403.1</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$395.3</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2%</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$1,598.1</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$1,583.7</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1%</w:t>
            </w: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260"/>
              <w:spacing w:after="0" w:line="209" w:lineRule="exact"/>
              <w:rPr>
                <w:sz w:val="20"/>
                <w:szCs w:val="20"/>
                <w:color w:val="auto"/>
              </w:rPr>
            </w:pPr>
            <w:r>
              <w:rPr>
                <w:rFonts w:ascii="Arial" w:cs="Arial" w:eastAsia="Arial" w:hAnsi="Arial"/>
                <w:sz w:val="20"/>
                <w:szCs w:val="20"/>
                <w:color w:val="auto"/>
              </w:rPr>
              <w:t>Revenues</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$361.0</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$322.1</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12%</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$1,340.6</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$1,221.1</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10%</w:t>
            </w: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260"/>
              <w:spacing w:after="0" w:line="210" w:lineRule="exact"/>
              <w:rPr>
                <w:sz w:val="20"/>
                <w:szCs w:val="20"/>
                <w:color w:val="auto"/>
              </w:rPr>
            </w:pPr>
            <w:r>
              <w:rPr>
                <w:rFonts w:ascii="Arial" w:cs="Arial" w:eastAsia="Arial" w:hAnsi="Arial"/>
                <w:sz w:val="17"/>
                <w:szCs w:val="17"/>
                <w:color w:val="auto"/>
              </w:rPr>
              <w:t xml:space="preserve">Operating profit (loss) </w:t>
            </w:r>
            <w:r>
              <w:rPr>
                <w:rFonts w:ascii="Arial" w:cs="Arial" w:eastAsia="Arial" w:hAnsi="Arial"/>
                <w:sz w:val="24"/>
                <w:szCs w:val="24"/>
                <w:color w:val="auto"/>
                <w:vertAlign w:val="superscript"/>
              </w:rPr>
              <w:t>(5)</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5"/>
              </w:rPr>
              <w:t>$62.2</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$48.1</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29%</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$216.3</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$216.7</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0%</w:t>
            </w:r>
          </w:p>
        </w:tc>
        <w:tc>
          <w:tcPr>
            <w:tcW w:w="0" w:type="dxa"/>
            <w:vAlign w:val="bottom"/>
          </w:tcPr>
          <w:p>
            <w:pPr>
              <w:spacing w:after="0"/>
              <w:rPr>
                <w:sz w:val="1"/>
                <w:szCs w:val="1"/>
                <w:color w:val="auto"/>
              </w:rPr>
            </w:pPr>
          </w:p>
        </w:tc>
      </w:tr>
      <w:tr>
        <w:trPr>
          <w:trHeight w:val="210"/>
        </w:trPr>
        <w:tc>
          <w:tcPr>
            <w:tcW w:w="3600" w:type="dxa"/>
            <w:vAlign w:val="bottom"/>
            <w:tcBorders>
              <w:left w:val="single" w:sz="8" w:color="auto"/>
              <w:bottom w:val="single" w:sz="8" w:color="auto"/>
              <w:right w:val="single" w:sz="8" w:color="auto"/>
            </w:tcBorders>
          </w:tcPr>
          <w:p>
            <w:pPr>
              <w:ind w:left="260"/>
              <w:spacing w:after="0" w:line="209" w:lineRule="exact"/>
              <w:rPr>
                <w:sz w:val="20"/>
                <w:szCs w:val="20"/>
                <w:color w:val="auto"/>
              </w:rPr>
            </w:pPr>
            <w:r>
              <w:rPr>
                <w:rFonts w:ascii="Arial" w:cs="Arial" w:eastAsia="Arial" w:hAnsi="Arial"/>
                <w:sz w:val="20"/>
                <w:szCs w:val="20"/>
                <w:color w:val="auto"/>
              </w:rPr>
              <w:t>Adjusted EBITDA</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5"/>
              </w:rPr>
              <w:t>$82.5</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$68.6</w:t>
            </w:r>
          </w:p>
        </w:tc>
        <w:tc>
          <w:tcPr>
            <w:tcW w:w="16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20%</w:t>
            </w:r>
          </w:p>
        </w:tc>
        <w:tc>
          <w:tcPr>
            <w:tcW w:w="102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$286.0</w:t>
            </w:r>
          </w:p>
        </w:tc>
        <w:tc>
          <w:tcPr>
            <w:tcW w:w="10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$285.3</w:t>
            </w:r>
          </w:p>
        </w:tc>
        <w:tc>
          <w:tcPr>
            <w:tcW w:w="17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6"/>
              </w:rPr>
              <w:t>0%</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24" w:hanging="324"/>
        <w:spacing w:after="0"/>
        <w:tabs>
          <w:tab w:leader="none" w:pos="324"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Attributable to Viasat, Inc. common stockholders.</w:t>
      </w:r>
    </w:p>
    <w:p>
      <w:pPr>
        <w:ind w:left="324" w:right="260" w:hanging="324"/>
        <w:spacing w:after="0" w:line="211" w:lineRule="auto"/>
        <w:tabs>
          <w:tab w:leader="none" w:pos="324"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As the twelve months ended March 31, 2026 and three and twelve months ended March 31, 2025 financial information resulted in a net loss, the weighted average number of shares used to calculate basic and diluted net loss per share is the same, as diluted shares would be anti-dilutive. However, as the non-GAAP financial information for the twelve months ended March 31, 2026 and March 31, 2025 resulted in non-GAAP net income, 139.4 million and 130.4 million, respectively, diluted weighted average number of shares were used instead to calculate non-GAAP diluted net income per share.</w:t>
      </w:r>
    </w:p>
    <w:p>
      <w:pPr>
        <w:ind w:left="324" w:hanging="324"/>
        <w:spacing w:after="0" w:line="187" w:lineRule="auto"/>
        <w:tabs>
          <w:tab w:leader="none" w:pos="324" w:val="left"/>
        </w:tabs>
        <w:numPr>
          <w:ilvl w:val="0"/>
          <w:numId w:val="3"/>
        </w:numPr>
        <w:rPr>
          <w:rFonts w:ascii="Arial" w:cs="Arial" w:eastAsia="Arial" w:hAnsi="Arial"/>
          <w:sz w:val="18"/>
          <w:szCs w:val="18"/>
          <w:color w:val="auto"/>
          <w:vertAlign w:val="superscript"/>
        </w:rPr>
      </w:pPr>
      <w:r>
        <w:rPr>
          <w:rFonts w:ascii="Arial" w:cs="Arial" w:eastAsia="Arial" w:hAnsi="Arial"/>
          <w:sz w:val="12"/>
          <w:szCs w:val="12"/>
          <w:color w:val="auto"/>
        </w:rPr>
        <w:t>Awards exclude future revenue under recurring consumer commitment arrangements.</w:t>
      </w:r>
    </w:p>
    <w:p>
      <w:pPr>
        <w:ind w:left="324" w:right="120" w:hanging="324"/>
        <w:spacing w:after="0" w:line="202" w:lineRule="auto"/>
        <w:tabs>
          <w:tab w:leader="none" w:pos="324"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Amounts include certain backlog adjustments due to contract changes and amendments. Our backlog includes contracts with subscribers for fixed broadband services in our Communication Services segment. Backlog does not include anticipated purchase orders and requests for the installation of in-flight connectivity systems or future recurring in-flight internet service revenues under our commercial in-flight internet agreements in our Communication Services segment.</w:t>
      </w:r>
    </w:p>
    <w:p>
      <w:pPr>
        <w:spacing w:after="0" w:line="2" w:lineRule="exact"/>
        <w:rPr>
          <w:rFonts w:ascii="Arial" w:cs="Arial" w:eastAsia="Arial" w:hAnsi="Arial"/>
          <w:sz w:val="22"/>
          <w:szCs w:val="22"/>
          <w:color w:val="auto"/>
          <w:vertAlign w:val="superscript"/>
        </w:rPr>
      </w:pPr>
    </w:p>
    <w:p>
      <w:pPr>
        <w:ind w:left="324" w:hanging="324"/>
        <w:spacing w:after="0" w:line="187" w:lineRule="auto"/>
        <w:tabs>
          <w:tab w:leader="none" w:pos="324" w:val="left"/>
        </w:tabs>
        <w:numPr>
          <w:ilvl w:val="0"/>
          <w:numId w:val="3"/>
        </w:numPr>
        <w:rPr>
          <w:rFonts w:ascii="Arial" w:cs="Arial" w:eastAsia="Arial" w:hAnsi="Arial"/>
          <w:sz w:val="18"/>
          <w:szCs w:val="18"/>
          <w:color w:val="auto"/>
          <w:vertAlign w:val="superscript"/>
        </w:rPr>
      </w:pPr>
      <w:r>
        <w:rPr>
          <w:rFonts w:ascii="Arial" w:cs="Arial" w:eastAsia="Arial" w:hAnsi="Arial"/>
          <w:sz w:val="12"/>
          <w:szCs w:val="12"/>
          <w:color w:val="auto"/>
        </w:rPr>
        <w:t>Before corporate.</w:t>
      </w:r>
    </w:p>
    <w:p>
      <w:pPr>
        <w:spacing w:after="0" w:line="1" w:lineRule="exact"/>
        <w:rPr>
          <w:sz w:val="20"/>
          <w:szCs w:val="20"/>
          <w:color w:val="auto"/>
        </w:rPr>
      </w:pPr>
    </w:p>
    <w:p>
      <w:pPr>
        <w:ind w:left="324" w:hanging="324"/>
        <w:spacing w:after="0"/>
        <w:tabs>
          <w:tab w:leader="none" w:pos="324"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Percentage not meaningful.</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auto"/>
        </w:rPr>
        <w:t>Note:Some totals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029450" cy="111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0" cy="111125"/>
                    </a:xfrm>
                    <a:prstGeom prst="rect">
                      <a:avLst/>
                    </a:prstGeom>
                    <a:noFill/>
                  </pic:spPr>
                </pic:pic>
              </a:graphicData>
            </a:graphic>
          </wp:anchor>
        </w:drawing>
      </w:r>
    </w:p>
    <w:p>
      <w:pPr>
        <w:spacing w:after="0" w:line="291" w:lineRule="exact"/>
        <w:rPr>
          <w:sz w:val="20"/>
          <w:szCs w:val="20"/>
          <w:color w:val="auto"/>
        </w:rPr>
      </w:pPr>
    </w:p>
    <w:p>
      <w:pPr>
        <w:ind w:left="7924"/>
        <w:spacing w:after="0"/>
        <w:rPr>
          <w:sz w:val="20"/>
          <w:szCs w:val="20"/>
          <w:color w:val="auto"/>
        </w:rPr>
      </w:pPr>
      <w:r>
        <w:rPr>
          <w:rFonts w:ascii="Arial" w:cs="Arial" w:eastAsia="Arial" w:hAnsi="Arial"/>
          <w:sz w:val="14"/>
          <w:szCs w:val="14"/>
          <w:color w:val="auto"/>
        </w:rPr>
        <w:t>Shareholder Letter | Q4 Fiscal Year 2026       13</w:t>
      </w:r>
    </w:p>
    <w:p>
      <w:pPr>
        <w:sectPr>
          <w:pgSz w:w="11900" w:h="16838" w:orient="portrait"/>
          <w:cols w:equalWidth="0" w:num="1">
            <w:col w:w="11024"/>
          </w:cols>
          <w:pgMar w:left="436" w:top="358"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35"/>
          <w:szCs w:val="3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 Quarter Fiscal Year 2026 Results (cont.)</w:t>
      </w:r>
    </w:p>
    <w:p>
      <w:pPr>
        <w:sectPr>
          <w:pgSz w:w="11900" w:h="16838" w:orient="portrait"/>
          <w:cols w:equalWidth="0" w:num="1">
            <w:col w:w="11024"/>
          </w:cols>
          <w:pgMar w:left="436" w:top="250" w:right="439" w:bottom="1440" w:gutter="0" w:footer="0" w:header="0"/>
        </w:sectPr>
      </w:pPr>
    </w:p>
    <w:p>
      <w:pPr>
        <w:spacing w:after="0" w:line="28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280" w:type="dxa"/>
            <w:vAlign w:val="bottom"/>
            <w:gridSpan w:val="6"/>
          </w:tcPr>
          <w:p>
            <w:pPr>
              <w:jc w:val="right"/>
              <w:spacing w:after="0"/>
              <w:rPr>
                <w:sz w:val="20"/>
                <w:szCs w:val="20"/>
                <w:color w:val="auto"/>
              </w:rPr>
            </w:pPr>
            <w:r>
              <w:rPr>
                <w:rFonts w:ascii="Arial" w:cs="Arial" w:eastAsia="Arial" w:hAnsi="Arial"/>
                <w:sz w:val="14"/>
                <w:szCs w:val="14"/>
                <w:b w:val="1"/>
                <w:bCs w:val="1"/>
                <w:color w:val="auto"/>
              </w:rPr>
              <w:t>Condensed Consolidated Statements of Operations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8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80" w:type="dxa"/>
            <w:vAlign w:val="bottom"/>
            <w:gridSpan w:val="6"/>
          </w:tcPr>
          <w:p>
            <w:pPr>
              <w:ind w:left="4220"/>
              <w:spacing w:after="0"/>
              <w:rPr>
                <w:sz w:val="20"/>
                <w:szCs w:val="20"/>
                <w:color w:val="auto"/>
              </w:rPr>
            </w:pPr>
            <w:r>
              <w:rPr>
                <w:rFonts w:ascii="Arial" w:cs="Arial" w:eastAsia="Arial" w:hAnsi="Arial"/>
                <w:sz w:val="14"/>
                <w:szCs w:val="14"/>
                <w:b w:val="1"/>
                <w:bCs w:val="1"/>
                <w:color w:val="auto"/>
              </w:rPr>
              <w:t>(In thousands, except per share data)</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960" w:type="dxa"/>
            <w:vAlign w:val="bottom"/>
            <w:vMerge w:val="restart"/>
          </w:tcPr>
          <w:p>
            <w:pPr>
              <w:spacing w:after="0"/>
              <w:rPr>
                <w:sz w:val="20"/>
                <w:szCs w:val="20"/>
                <w:color w:val="auto"/>
              </w:rPr>
            </w:pPr>
            <w:r>
              <w:rPr>
                <w:rFonts w:ascii="Arial" w:cs="Arial" w:eastAsia="Arial" w:hAnsi="Arial"/>
                <w:sz w:val="14"/>
                <w:szCs w:val="14"/>
                <w:color w:val="auto"/>
              </w:rPr>
              <w:t>Revenues:</w:t>
            </w:r>
          </w:p>
        </w:tc>
        <w:tc>
          <w:tcPr>
            <w:tcW w:w="280" w:type="dxa"/>
            <w:vAlign w:val="bottom"/>
          </w:tcPr>
          <w:p>
            <w:pPr>
              <w:spacing w:after="0"/>
              <w:rPr>
                <w:sz w:val="13"/>
                <w:szCs w:val="13"/>
                <w:color w:val="auto"/>
              </w:rPr>
            </w:pPr>
          </w:p>
        </w:tc>
        <w:tc>
          <w:tcPr>
            <w:tcW w:w="15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 xml:space="preserve"> March 31, 2026 </w:t>
            </w:r>
          </w:p>
        </w:tc>
        <w:tc>
          <w:tcPr>
            <w:tcW w:w="1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 xml:space="preserve"> March 31, 2025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Service revenues</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 $</w:t>
            </w:r>
          </w:p>
        </w:tc>
        <w:tc>
          <w:tcPr>
            <w:tcW w:w="820" w:type="dxa"/>
            <w:vAlign w:val="bottom"/>
          </w:tcPr>
          <w:p>
            <w:pPr>
              <w:jc w:val="right"/>
              <w:spacing w:after="0"/>
              <w:rPr>
                <w:sz w:val="20"/>
                <w:szCs w:val="20"/>
                <w:color w:val="auto"/>
              </w:rPr>
            </w:pPr>
            <w:r>
              <w:rPr>
                <w:rFonts w:ascii="Arial" w:cs="Arial" w:eastAsia="Arial" w:hAnsi="Arial"/>
                <w:sz w:val="14"/>
                <w:szCs w:val="14"/>
                <w:color w:val="auto"/>
              </w:rPr>
              <w:t>803,725</w:t>
            </w:r>
          </w:p>
        </w:tc>
        <w:tc>
          <w:tcPr>
            <w:tcW w:w="44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rPr>
              <w:t> $</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797,371</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20"/>
                <w:szCs w:val="20"/>
                <w:color w:val="auto"/>
              </w:rPr>
            </w:pPr>
            <w:r>
              <w:rPr>
                <w:rFonts w:ascii="Arial" w:cs="Arial" w:eastAsia="Arial" w:hAnsi="Arial"/>
                <w:sz w:val="14"/>
                <w:szCs w:val="14"/>
                <w:color w:val="auto"/>
              </w:rPr>
              <w:t>Product revenues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367,563</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349,711</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color w:val="auto"/>
              </w:rPr>
              <w:t>Total revenues</w:t>
            </w: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1,171,288</w:t>
            </w:r>
          </w:p>
        </w:tc>
        <w:tc>
          <w:tcPr>
            <w:tcW w:w="44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1,147,082</w:t>
            </w:r>
          </w:p>
        </w:tc>
        <w:tc>
          <w:tcPr>
            <w:tcW w:w="0" w:type="dxa"/>
            <w:vAlign w:val="bottom"/>
          </w:tcPr>
          <w:p>
            <w:pPr>
              <w:spacing w:after="0"/>
              <w:rPr>
                <w:sz w:val="1"/>
                <w:szCs w:val="1"/>
                <w:color w:val="auto"/>
              </w:rPr>
            </w:pPr>
          </w:p>
        </w:tc>
      </w:tr>
      <w:tr>
        <w:trPr>
          <w:trHeight w:val="242"/>
        </w:trPr>
        <w:tc>
          <w:tcPr>
            <w:tcW w:w="4960" w:type="dxa"/>
            <w:vAlign w:val="bottom"/>
          </w:tcPr>
          <w:p>
            <w:pPr>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Cost of service revenues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546,571</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515,743</w:t>
            </w:r>
          </w:p>
        </w:tc>
        <w:tc>
          <w:tcPr>
            <w:tcW w:w="0" w:type="dxa"/>
            <w:vAlign w:val="bottom"/>
          </w:tcPr>
          <w:p>
            <w:pPr>
              <w:spacing w:after="0"/>
              <w:rPr>
                <w:sz w:val="1"/>
                <w:szCs w:val="1"/>
                <w:color w:val="auto"/>
              </w:rPr>
            </w:pPr>
          </w:p>
        </w:tc>
      </w:tr>
      <w:tr>
        <w:trPr>
          <w:trHeight w:val="158"/>
        </w:trPr>
        <w:tc>
          <w:tcPr>
            <w:tcW w:w="4960" w:type="dxa"/>
            <w:vAlign w:val="bottom"/>
          </w:tcPr>
          <w:p>
            <w:pPr>
              <w:spacing w:after="0" w:line="158" w:lineRule="exact"/>
              <w:rPr>
                <w:sz w:val="20"/>
                <w:szCs w:val="20"/>
                <w:color w:val="auto"/>
              </w:rPr>
            </w:pPr>
            <w:r>
              <w:rPr>
                <w:rFonts w:ascii="Arial" w:cs="Arial" w:eastAsia="Arial" w:hAnsi="Arial"/>
                <w:sz w:val="14"/>
                <w:szCs w:val="14"/>
                <w:color w:val="auto"/>
              </w:rPr>
              <w:t>Cost of product revenues</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264,603</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266,040</w:t>
            </w:r>
          </w:p>
        </w:tc>
        <w:tc>
          <w:tcPr>
            <w:tcW w:w="0" w:type="dxa"/>
            <w:vAlign w:val="bottom"/>
          </w:tcPr>
          <w:p>
            <w:pPr>
              <w:spacing w:after="0"/>
              <w:rPr>
                <w:sz w:val="1"/>
                <w:szCs w:val="1"/>
                <w:color w:val="auto"/>
              </w:rPr>
            </w:pPr>
          </w:p>
        </w:tc>
      </w:tr>
      <w:tr>
        <w:trPr>
          <w:trHeight w:val="166"/>
        </w:trPr>
        <w:tc>
          <w:tcPr>
            <w:tcW w:w="4960" w:type="dxa"/>
            <w:vAlign w:val="bottom"/>
          </w:tcPr>
          <w:p>
            <w:pPr>
              <w:spacing w:after="0" w:line="166" w:lineRule="exact"/>
              <w:rPr>
                <w:sz w:val="20"/>
                <w:szCs w:val="20"/>
                <w:color w:val="auto"/>
              </w:rPr>
            </w:pPr>
            <w:r>
              <w:rPr>
                <w:rFonts w:ascii="Arial" w:cs="Arial" w:eastAsia="Arial" w:hAnsi="Arial"/>
                <w:sz w:val="13"/>
                <w:szCs w:val="13"/>
                <w:color w:val="auto"/>
              </w:rPr>
              <w:t xml:space="preserve">Selling, general and administrative </w:t>
            </w:r>
            <w:r>
              <w:rPr>
                <w:rFonts w:ascii="Arial" w:cs="Arial" w:eastAsia="Arial" w:hAnsi="Arial"/>
                <w:sz w:val="19"/>
                <w:szCs w:val="19"/>
                <w:color w:val="auto"/>
                <w:vertAlign w:val="superscript"/>
              </w:rPr>
              <w:t>(1)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254,151</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419,497</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Independent research and development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41,523</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33,740</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20"/>
                <w:szCs w:val="20"/>
                <w:color w:val="auto"/>
              </w:rPr>
            </w:pPr>
            <w:r>
              <w:rPr>
                <w:rFonts w:ascii="Arial" w:cs="Arial" w:eastAsia="Arial" w:hAnsi="Arial"/>
                <w:sz w:val="14"/>
                <w:szCs w:val="14"/>
                <w:color w:val="auto"/>
              </w:rPr>
              <w:t>Amortization of acquired intangible assets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65,064</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65,847</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color w:val="auto"/>
              </w:rPr>
              <w:t>Income (loss) from operations</w:t>
            </w: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right"/>
              <w:ind w:right="400"/>
              <w:spacing w:after="0" w:line="160" w:lineRule="exact"/>
              <w:rPr>
                <w:sz w:val="20"/>
                <w:szCs w:val="20"/>
                <w:color w:val="auto"/>
              </w:rPr>
            </w:pPr>
            <w:r>
              <w:rPr>
                <w:rFonts w:ascii="Arial" w:cs="Arial" w:eastAsia="Arial" w:hAnsi="Arial"/>
                <w:sz w:val="14"/>
                <w:szCs w:val="14"/>
                <w:color w:val="auto"/>
              </w:rPr>
              <w:t>(624)</w:t>
            </w:r>
          </w:p>
        </w:tc>
        <w:tc>
          <w:tcPr>
            <w:tcW w:w="500" w:type="dxa"/>
            <w:vAlign w:val="bottom"/>
          </w:tcPr>
          <w:p>
            <w:pPr>
              <w:spacing w:after="0"/>
              <w:rPr>
                <w:sz w:val="13"/>
                <w:szCs w:val="13"/>
                <w:color w:val="auto"/>
              </w:rPr>
            </w:pPr>
          </w:p>
        </w:tc>
        <w:tc>
          <w:tcPr>
            <w:tcW w:w="64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(153,785)</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Interest (expense) income, net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(65,484)</w:t>
            </w:r>
          </w:p>
        </w:tc>
        <w:tc>
          <w:tcPr>
            <w:tcW w:w="5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(86,828)</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(Loss) gain on extinguishment of debt, net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Other income (expense), net (Q4FY26 includes gain on disposition of equity</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60" w:type="dxa"/>
            <w:vAlign w:val="bottom"/>
          </w:tcPr>
          <w:p>
            <w:pPr>
              <w:ind w:left="140"/>
              <w:spacing w:after="0"/>
              <w:rPr>
                <w:sz w:val="20"/>
                <w:szCs w:val="20"/>
                <w:color w:val="auto"/>
              </w:rPr>
            </w:pPr>
            <w:r>
              <w:rPr>
                <w:rFonts w:ascii="Arial" w:cs="Arial" w:eastAsia="Arial" w:hAnsi="Arial"/>
                <w:sz w:val="14"/>
                <w:szCs w:val="14"/>
                <w:color w:val="auto"/>
              </w:rPr>
              <w:t>method investment)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168,062</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color w:val="auto"/>
              </w:rPr>
              <w:t>Income (loss) before income taxes</w:t>
            </w: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Arial" w:cs="Arial" w:eastAsia="Arial" w:hAnsi="Arial"/>
                <w:sz w:val="14"/>
                <w:szCs w:val="14"/>
                <w:color w:val="auto"/>
              </w:rPr>
              <w:t>101,954</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(240,613)</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(40,081)</w:t>
            </w:r>
          </w:p>
        </w:tc>
        <w:tc>
          <w:tcPr>
            <w:tcW w:w="5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(3,758)</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20"/>
                <w:szCs w:val="20"/>
                <w:color w:val="auto"/>
              </w:rPr>
            </w:pPr>
            <w:r>
              <w:rPr>
                <w:rFonts w:ascii="Arial" w:cs="Arial" w:eastAsia="Arial" w:hAnsi="Arial"/>
                <w:sz w:val="14"/>
                <w:szCs w:val="14"/>
                <w:color w:val="auto"/>
              </w:rPr>
              <w:t>Equity in income (loss) of unconsolidated affiliates, net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4,108</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3,636</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Arial" w:cs="Arial" w:eastAsia="Arial" w:hAnsi="Arial"/>
                <w:sz w:val="14"/>
                <w:szCs w:val="14"/>
                <w:color w:val="auto"/>
              </w:rPr>
              <w:t>65,981</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(240,735)</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20"/>
                <w:szCs w:val="20"/>
                <w:color w:val="auto"/>
              </w:rPr>
            </w:pPr>
            <w:r>
              <w:rPr>
                <w:rFonts w:ascii="Arial" w:cs="Arial" w:eastAsia="Arial" w:hAnsi="Arial"/>
                <w:sz w:val="14"/>
                <w:szCs w:val="14"/>
                <w:color w:val="auto"/>
              </w:rPr>
              <w:t>Less: net income (loss) attributable to noncontrolling interest, net of tax</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7,157</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5,318</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color w:val="auto"/>
              </w:rPr>
              <w:t>Net income (loss) attributable to Viasat, Inc.</w:t>
            </w: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 $</w:t>
            </w:r>
          </w:p>
        </w:tc>
        <w:tc>
          <w:tcPr>
            <w:tcW w:w="820" w:type="dxa"/>
            <w:vAlign w:val="bottom"/>
          </w:tcPr>
          <w:p>
            <w:pPr>
              <w:jc w:val="right"/>
              <w:spacing w:after="0"/>
              <w:rPr>
                <w:sz w:val="20"/>
                <w:szCs w:val="20"/>
                <w:color w:val="auto"/>
              </w:rPr>
            </w:pPr>
            <w:r>
              <w:rPr>
                <w:rFonts w:ascii="Arial" w:cs="Arial" w:eastAsia="Arial" w:hAnsi="Arial"/>
                <w:sz w:val="14"/>
                <w:szCs w:val="14"/>
                <w:color w:val="auto"/>
              </w:rPr>
              <w:t>58,824</w:t>
            </w:r>
          </w:p>
        </w:tc>
        <w:tc>
          <w:tcPr>
            <w:tcW w:w="44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rPr>
              <w:t> $</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(246,053)</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color w:val="auto"/>
              </w:rPr>
              <w:t>Diluted net income (loss) per share attributable to Viasat, Inc. common</w:t>
            </w: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Pr>
          <w:p>
            <w:pPr>
              <w:ind w:left="140"/>
              <w:spacing w:after="0"/>
              <w:rPr>
                <w:sz w:val="20"/>
                <w:szCs w:val="20"/>
                <w:color w:val="auto"/>
              </w:rPr>
            </w:pPr>
            <w:r>
              <w:rPr>
                <w:rFonts w:ascii="Arial" w:cs="Arial" w:eastAsia="Arial" w:hAnsi="Arial"/>
                <w:sz w:val="14"/>
                <w:szCs w:val="14"/>
                <w:color w:val="auto"/>
              </w:rPr>
              <w:t>stockholders</w:t>
            </w:r>
          </w:p>
        </w:tc>
        <w:tc>
          <w:tcPr>
            <w:tcW w:w="2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 $</w:t>
            </w:r>
          </w:p>
        </w:tc>
        <w:tc>
          <w:tcPr>
            <w:tcW w:w="820" w:type="dxa"/>
            <w:vAlign w:val="bottom"/>
          </w:tcPr>
          <w:p>
            <w:pPr>
              <w:jc w:val="right"/>
              <w:spacing w:after="0"/>
              <w:rPr>
                <w:sz w:val="20"/>
                <w:szCs w:val="20"/>
                <w:color w:val="auto"/>
              </w:rPr>
            </w:pPr>
            <w:r>
              <w:rPr>
                <w:rFonts w:ascii="Arial" w:cs="Arial" w:eastAsia="Arial" w:hAnsi="Arial"/>
                <w:sz w:val="14"/>
                <w:szCs w:val="14"/>
                <w:color w:val="auto"/>
              </w:rPr>
              <w:t>0.41</w:t>
            </w:r>
          </w:p>
        </w:tc>
        <w:tc>
          <w:tcPr>
            <w:tcW w:w="44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rPr>
              <w:t> $</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color w:val="auto"/>
              </w:rPr>
              <w:t xml:space="preserve">Diluted common equivalent shares </w:t>
            </w:r>
            <w:r>
              <w:rPr>
                <w:rFonts w:ascii="Arial" w:cs="Arial" w:eastAsia="Arial" w:hAnsi="Arial"/>
                <w:sz w:val="21"/>
                <w:szCs w:val="21"/>
                <w:color w:val="auto"/>
                <w:vertAlign w:val="superscript"/>
              </w:rPr>
              <w:t>(2)</w:t>
            </w: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496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142,957</w:t>
            </w: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130,028</w:t>
            </w:r>
          </w:p>
        </w:tc>
        <w:tc>
          <w:tcPr>
            <w:tcW w:w="0" w:type="dxa"/>
            <w:vAlign w:val="bottom"/>
          </w:tcPr>
          <w:p>
            <w:pPr>
              <w:spacing w:after="0"/>
              <w:rPr>
                <w:sz w:val="1"/>
                <w:szCs w:val="1"/>
                <w:color w:val="auto"/>
              </w:rPr>
            </w:pPr>
          </w:p>
        </w:tc>
      </w:tr>
      <w:tr>
        <w:trPr>
          <w:trHeight w:val="242"/>
        </w:trPr>
        <w:tc>
          <w:tcPr>
            <w:tcW w:w="6780" w:type="dxa"/>
            <w:vAlign w:val="bottom"/>
            <w:gridSpan w:val="5"/>
          </w:tcPr>
          <w:p>
            <w:pPr>
              <w:spacing w:after="0"/>
              <w:rPr>
                <w:sz w:val="20"/>
                <w:szCs w:val="20"/>
                <w:color w:val="auto"/>
              </w:rPr>
            </w:pPr>
            <w:r>
              <w:rPr>
                <w:rFonts w:ascii="Arial" w:cs="Arial" w:eastAsia="Arial" w:hAnsi="Arial"/>
                <w:sz w:val="14"/>
                <w:szCs w:val="14"/>
                <w:b w:val="1"/>
                <w:bCs w:val="1"/>
                <w:color w:val="auto"/>
              </w:rPr>
              <w:t>AN ITEMIZED RECONCILIATION BETWEEN NET INCOME (LOSS) ATTRIBUTABLE TO VIASAT, INC.</w:t>
            </w: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20"/>
                <w:szCs w:val="20"/>
                <w:color w:val="auto"/>
              </w:rPr>
            </w:pPr>
            <w:r>
              <w:rPr>
                <w:rFonts w:ascii="Arial" w:cs="Arial" w:eastAsia="Arial" w:hAnsi="Arial"/>
                <w:sz w:val="14"/>
                <w:szCs w:val="14"/>
                <w:b w:val="1"/>
                <w:bCs w:val="1"/>
                <w:color w:val="auto"/>
              </w:rPr>
              <w:t>ON A GAAP BASIS AND NON-GAAP BASIS IS AS FOLLOWS: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 xml:space="preserve"> March 31, 2026 </w:t>
            </w:r>
          </w:p>
        </w:tc>
        <w:tc>
          <w:tcPr>
            <w:tcW w:w="1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 xml:space="preserve"> March 31, 2025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6630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9"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 </w:t>
      </w:r>
      <w:r>
        <w:rPr>
          <w:rFonts w:ascii="Arial" w:cs="Arial" w:eastAsia="Arial" w:hAnsi="Arial"/>
          <w:sz w:val="14"/>
          <w:szCs w:val="14"/>
          <w:b w:val="1"/>
          <w:bCs w:val="1"/>
          <w:u w:val="single" w:color="auto"/>
          <w:color w:val="auto"/>
        </w:rPr>
        <w:t>March 31, 2026</w:t>
      </w:r>
      <w:r>
        <w:rPr>
          <w:rFonts w:ascii="Arial" w:cs="Arial" w:eastAsia="Arial" w:hAnsi="Arial"/>
          <w:sz w:val="14"/>
          <w:szCs w:val="14"/>
          <w:b w:val="1"/>
          <w:bCs w:val="1"/>
          <w:color w:val="auto"/>
        </w:rPr>
        <w:t xml:space="preserve"> </w:t>
      </w:r>
      <w:r>
        <w:rPr>
          <w:sz w:val="20"/>
          <w:szCs w:val="20"/>
          <w:color w:val="auto"/>
        </w:rPr>
        <w:tab/>
      </w:r>
      <w:r>
        <w:rPr>
          <w:rFonts w:ascii="Arial" w:cs="Arial" w:eastAsia="Arial" w:hAnsi="Arial"/>
          <w:sz w:val="14"/>
          <w:szCs w:val="14"/>
          <w:b w:val="1"/>
          <w:bCs w:val="1"/>
          <w:color w:val="auto"/>
        </w:rPr>
        <w:t> </w:t>
      </w:r>
      <w:r>
        <w:rPr>
          <w:rFonts w:ascii="Arial" w:cs="Arial" w:eastAsia="Arial" w:hAnsi="Arial"/>
          <w:sz w:val="14"/>
          <w:szCs w:val="14"/>
          <w:b w:val="1"/>
          <w:bCs w:val="1"/>
          <w:u w:val="single" w:color="auto"/>
          <w:color w:val="auto"/>
        </w:rPr>
        <w:t>March 31, 2025</w:t>
      </w:r>
      <w:r>
        <w:rPr>
          <w:rFonts w:ascii="Arial" w:cs="Arial" w:eastAsia="Arial" w:hAnsi="Arial"/>
          <w:sz w:val="14"/>
          <w:szCs w:val="14"/>
          <w:b w:val="1"/>
          <w:bCs w:val="1"/>
          <w:color w:val="auto"/>
        </w:rPr>
        <w:t xml:space="preserve"> </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 $</w:t>
            </w:r>
          </w:p>
        </w:tc>
        <w:tc>
          <w:tcPr>
            <w:tcW w:w="840" w:type="dxa"/>
            <w:vAlign w:val="bottom"/>
          </w:tcPr>
          <w:p>
            <w:pPr>
              <w:jc w:val="right"/>
              <w:spacing w:after="0"/>
              <w:rPr>
                <w:sz w:val="20"/>
                <w:szCs w:val="20"/>
                <w:color w:val="auto"/>
              </w:rPr>
            </w:pPr>
            <w:r>
              <w:rPr>
                <w:rFonts w:ascii="Arial" w:cs="Arial" w:eastAsia="Arial" w:hAnsi="Arial"/>
                <w:sz w:val="14"/>
                <w:szCs w:val="14"/>
                <w:color w:val="auto"/>
              </w:rPr>
              <w:t>3,274,423</w:t>
            </w:r>
          </w:p>
        </w:tc>
        <w:tc>
          <w:tcPr>
            <w:tcW w:w="4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 $</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3,225,776</w:t>
            </w:r>
          </w:p>
        </w:tc>
      </w:tr>
      <w:tr>
        <w:trPr>
          <w:trHeight w:val="171"/>
        </w:trPr>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1,365,857</w:t>
            </w: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1,293,795</w:t>
            </w:r>
          </w:p>
        </w:tc>
        <w:tc>
          <w:tcPr>
            <w:tcW w:w="40" w:type="dxa"/>
            <w:vAlign w:val="bottom"/>
          </w:tcPr>
          <w:p>
            <w:pPr>
              <w:spacing w:after="0"/>
              <w:rPr>
                <w:sz w:val="14"/>
                <w:szCs w:val="14"/>
                <w:color w:val="auto"/>
              </w:rPr>
            </w:pPr>
          </w:p>
        </w:tc>
      </w:tr>
      <w:tr>
        <w:trPr>
          <w:trHeight w:val="188"/>
        </w:trPr>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4,640,280</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4,519,571</w:t>
            </w:r>
          </w:p>
        </w:tc>
      </w:tr>
      <w:tr>
        <w:trPr>
          <w:trHeight w:val="404"/>
        </w:trPr>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2,126,496</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2,091,721</w:t>
            </w:r>
          </w:p>
        </w:tc>
      </w:tr>
      <w:tr>
        <w:trPr>
          <w:trHeight w:val="162"/>
        </w:trPr>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980,563</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937,912</w:t>
            </w:r>
          </w:p>
        </w:tc>
      </w:tr>
      <w:tr>
        <w:trPr>
          <w:trHeight w:val="162"/>
        </w:trPr>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999,476</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1,181,091</w:t>
            </w:r>
          </w:p>
        </w:tc>
      </w:tr>
      <w:tr>
        <w:trPr>
          <w:trHeight w:val="162"/>
        </w:trPr>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164,908</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142,394</w:t>
            </w:r>
          </w:p>
        </w:tc>
      </w:tr>
      <w:tr>
        <w:trPr>
          <w:trHeight w:val="171"/>
        </w:trPr>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260,712</w:t>
            </w: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263,933</w:t>
            </w:r>
          </w:p>
        </w:tc>
        <w:tc>
          <w:tcPr>
            <w:tcW w:w="40" w:type="dxa"/>
            <w:vAlign w:val="bottom"/>
          </w:tcPr>
          <w:p>
            <w:pPr>
              <w:spacing w:after="0"/>
              <w:rPr>
                <w:sz w:val="14"/>
                <w:szCs w:val="14"/>
                <w:color w:val="auto"/>
              </w:rPr>
            </w:pPr>
          </w:p>
        </w:tc>
      </w:tr>
      <w:tr>
        <w:trPr>
          <w:trHeight w:val="160"/>
        </w:trPr>
        <w:tc>
          <w:tcPr>
            <w:tcW w:w="28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108,125</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(97,480)</w:t>
            </w:r>
          </w:p>
        </w:tc>
      </w:tr>
      <w:tr>
        <w:trPr>
          <w:trHeight w:val="162"/>
        </w:trPr>
        <w:tc>
          <w:tcPr>
            <w:tcW w:w="2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(154,401)</w:t>
            </w:r>
          </w:p>
        </w:tc>
        <w:tc>
          <w:tcPr>
            <w:tcW w:w="2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(338,024)</w:t>
            </w:r>
          </w:p>
        </w:tc>
      </w:tr>
      <w:tr>
        <w:trPr>
          <w:trHeight w:val="190"/>
        </w:trPr>
        <w:tc>
          <w:tcPr>
            <w:tcW w:w="28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(11,935)</w:t>
            </w:r>
          </w:p>
        </w:tc>
        <w:tc>
          <w:tcPr>
            <w:tcW w:w="2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(99,814)</w:t>
            </w:r>
          </w:p>
        </w:tc>
      </w:tr>
      <w:tr>
        <w:trPr>
          <w:trHeight w:val="305"/>
        </w:trPr>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163,012</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(9,976)</w:t>
            </w:r>
          </w:p>
        </w:tc>
      </w:tr>
      <w:tr>
        <w:trPr>
          <w:trHeight w:val="20"/>
        </w:trPr>
        <w:tc>
          <w:tcPr>
            <w:tcW w:w="2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8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104,801</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(545,294)</w:t>
            </w:r>
          </w:p>
        </w:tc>
      </w:tr>
      <w:tr>
        <w:trPr>
          <w:trHeight w:val="162"/>
        </w:trPr>
        <w:tc>
          <w:tcPr>
            <w:tcW w:w="2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(116,223)</w:t>
            </w:r>
          </w:p>
        </w:tc>
        <w:tc>
          <w:tcPr>
            <w:tcW w:w="2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941</w:t>
            </w:r>
          </w:p>
        </w:tc>
      </w:tr>
      <w:tr>
        <w:trPr>
          <w:trHeight w:val="171"/>
        </w:trPr>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15,348</w:t>
            </w: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13,228</w:t>
            </w:r>
          </w:p>
        </w:tc>
        <w:tc>
          <w:tcPr>
            <w:tcW w:w="40" w:type="dxa"/>
            <w:vAlign w:val="bottom"/>
          </w:tcPr>
          <w:p>
            <w:pPr>
              <w:spacing w:after="0"/>
              <w:rPr>
                <w:sz w:val="14"/>
                <w:szCs w:val="14"/>
                <w:color w:val="auto"/>
              </w:rPr>
            </w:pPr>
          </w:p>
        </w:tc>
      </w:tr>
      <w:tr>
        <w:trPr>
          <w:trHeight w:val="160"/>
        </w:trPr>
        <w:tc>
          <w:tcPr>
            <w:tcW w:w="28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3,926</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(531,125)</w:t>
            </w:r>
          </w:p>
        </w:tc>
      </w:tr>
      <w:tr>
        <w:trPr>
          <w:trHeight w:val="171"/>
        </w:trPr>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38,012</w:t>
            </w: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43,837</w:t>
            </w:r>
          </w:p>
        </w:tc>
        <w:tc>
          <w:tcPr>
            <w:tcW w:w="40" w:type="dxa"/>
            <w:vAlign w:val="bottom"/>
          </w:tcPr>
          <w:p>
            <w:pPr>
              <w:spacing w:after="0"/>
              <w:rPr>
                <w:sz w:val="14"/>
                <w:szCs w:val="14"/>
                <w:color w:val="auto"/>
              </w:rPr>
            </w:pPr>
          </w:p>
        </w:tc>
      </w:tr>
      <w:tr>
        <w:trPr>
          <w:trHeight w:val="169"/>
        </w:trPr>
        <w:tc>
          <w:tcPr>
            <w:tcW w:w="280" w:type="dxa"/>
            <w:vAlign w:val="bottom"/>
          </w:tcPr>
          <w:p>
            <w:pPr>
              <w:spacing w:after="0"/>
              <w:rPr>
                <w:sz w:val="20"/>
                <w:szCs w:val="20"/>
                <w:color w:val="auto"/>
              </w:rPr>
            </w:pPr>
            <w:r>
              <w:rPr>
                <w:rFonts w:ascii="Arial" w:cs="Arial" w:eastAsia="Arial" w:hAnsi="Arial"/>
                <w:sz w:val="14"/>
                <w:szCs w:val="14"/>
                <w:color w:val="auto"/>
              </w:rPr>
              <w:t> $</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(34,086)</w:t>
            </w:r>
          </w:p>
        </w:tc>
        <w:tc>
          <w:tcPr>
            <w:tcW w:w="280" w:type="dxa"/>
            <w:vAlign w:val="bottom"/>
          </w:tcPr>
          <w:p>
            <w:pPr>
              <w:spacing w:after="0"/>
              <w:rPr>
                <w:sz w:val="20"/>
                <w:szCs w:val="20"/>
                <w:color w:val="auto"/>
              </w:rPr>
            </w:pPr>
            <w:r>
              <w:rPr>
                <w:rFonts w:ascii="Arial" w:cs="Arial" w:eastAsia="Arial" w:hAnsi="Arial"/>
                <w:sz w:val="14"/>
                <w:szCs w:val="14"/>
                <w:color w:val="auto"/>
              </w:rPr>
              <w:t> $</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(574,962)</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280" w:type="dxa"/>
            <w:vAlign w:val="bottom"/>
          </w:tcPr>
          <w:p>
            <w:pPr>
              <w:spacing w:after="0"/>
              <w:rPr>
                <w:sz w:val="20"/>
                <w:szCs w:val="20"/>
                <w:color w:val="auto"/>
              </w:rPr>
            </w:pPr>
            <w:r>
              <w:rPr>
                <w:rFonts w:ascii="Arial" w:cs="Arial" w:eastAsia="Arial" w:hAnsi="Arial"/>
                <w:sz w:val="14"/>
                <w:szCs w:val="14"/>
                <w:color w:val="auto"/>
              </w:rPr>
              <w:t> $</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(0.25)</w:t>
            </w:r>
          </w:p>
        </w:tc>
        <w:tc>
          <w:tcPr>
            <w:tcW w:w="280" w:type="dxa"/>
            <w:vAlign w:val="bottom"/>
          </w:tcPr>
          <w:p>
            <w:pPr>
              <w:spacing w:after="0"/>
              <w:rPr>
                <w:sz w:val="20"/>
                <w:szCs w:val="20"/>
                <w:color w:val="auto"/>
              </w:rPr>
            </w:pPr>
            <w:r>
              <w:rPr>
                <w:rFonts w:ascii="Arial" w:cs="Arial" w:eastAsia="Arial" w:hAnsi="Arial"/>
                <w:sz w:val="14"/>
                <w:szCs w:val="14"/>
                <w:color w:val="auto"/>
              </w:rPr>
              <w:t> $</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(4.48)</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134,744</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128,476</w:t>
            </w:r>
          </w:p>
        </w:tc>
      </w:tr>
      <w:tr>
        <w:trPr>
          <w:trHeight w:val="683"/>
        </w:trPr>
        <w:tc>
          <w:tcPr>
            <w:tcW w:w="280" w:type="dxa"/>
            <w:vAlign w:val="bottom"/>
          </w:tcPr>
          <w:p>
            <w:pPr>
              <w:spacing w:after="0"/>
              <w:rPr>
                <w:sz w:val="24"/>
                <w:szCs w:val="24"/>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Twelve months ended</w:t>
            </w:r>
          </w:p>
        </w:tc>
      </w:tr>
      <w:tr>
        <w:trPr>
          <w:trHeight w:val="155"/>
        </w:trPr>
        <w:tc>
          <w:tcPr>
            <w:tcW w:w="15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 </w:t>
            </w:r>
            <w:r>
              <w:rPr>
                <w:rFonts w:ascii="Arial" w:cs="Arial" w:eastAsia="Arial" w:hAnsi="Arial"/>
                <w:sz w:val="14"/>
                <w:szCs w:val="14"/>
                <w:b w:val="1"/>
                <w:bCs w:val="1"/>
                <w:u w:val="single" w:color="auto"/>
                <w:color w:val="auto"/>
              </w:rPr>
              <w:t>March 31, 2026</w:t>
            </w:r>
            <w:r>
              <w:rPr>
                <w:rFonts w:ascii="Arial" w:cs="Arial" w:eastAsia="Arial" w:hAnsi="Arial"/>
                <w:sz w:val="14"/>
                <w:szCs w:val="14"/>
                <w:b w:val="1"/>
                <w:bCs w:val="1"/>
                <w:color w:val="auto"/>
              </w:rPr>
              <w:t xml:space="preserve"> </w:t>
            </w:r>
          </w:p>
        </w:tc>
        <w:tc>
          <w:tcPr>
            <w:tcW w:w="11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 </w:t>
            </w:r>
            <w:r>
              <w:rPr>
                <w:rFonts w:ascii="Arial" w:cs="Arial" w:eastAsia="Arial" w:hAnsi="Arial"/>
                <w:sz w:val="14"/>
                <w:szCs w:val="14"/>
                <w:b w:val="1"/>
                <w:bCs w:val="1"/>
                <w:u w:val="single" w:color="auto"/>
                <w:color w:val="auto"/>
              </w:rPr>
              <w:t>March 31, 2025</w:t>
            </w:r>
            <w:r>
              <w:rPr>
                <w:rFonts w:ascii="Arial" w:cs="Arial" w:eastAsia="Arial" w:hAnsi="Arial"/>
                <w:sz w:val="14"/>
                <w:szCs w:val="14"/>
                <w:b w:val="1"/>
                <w:bCs w:val="1"/>
                <w:color w:val="auto"/>
              </w:rPr>
              <w:t xml:space="preserve"> </w:t>
            </w:r>
          </w:p>
        </w:tc>
        <w:tc>
          <w:tcPr>
            <w:tcW w:w="4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7924" w:space="380"/>
            <w:col w:w="2720"/>
          </w:cols>
          <w:pgMar w:left="436" w:top="250" w:right="439" w:bottom="1440" w:gutter="0" w:footer="0" w:header="0"/>
          <w:type w:val="continuous"/>
        </w:sectPr>
      </w:pPr>
    </w:p>
    <w:tbl>
      <w:tblPr>
        <w:tblLayout w:type="fixed"/>
        <w:tblInd w:w="4" w:type="dxa"/>
        <w:tblCellMar>
          <w:top w:w="0" w:type="dxa"/>
          <w:left w:w="0" w:type="dxa"/>
          <w:bottom w:w="0" w:type="dxa"/>
          <w:right w:w="0" w:type="dxa"/>
        </w:tblCellMar>
      </w:tblPr>
      <w:tr>
        <w:trPr>
          <w:trHeight w:val="146"/>
        </w:trPr>
        <w:tc>
          <w:tcPr>
            <w:tcW w:w="5040" w:type="dxa"/>
            <w:vAlign w:val="bottom"/>
          </w:tcPr>
          <w:p>
            <w:pPr>
              <w:spacing w:after="0" w:line="147" w:lineRule="exact"/>
              <w:rPr>
                <w:sz w:val="20"/>
                <w:szCs w:val="20"/>
                <w:color w:val="auto"/>
              </w:rPr>
            </w:pPr>
            <w:r>
              <w:rPr>
                <w:rFonts w:ascii="Arial" w:cs="Arial" w:eastAsia="Arial" w:hAnsi="Arial"/>
                <w:sz w:val="14"/>
                <w:szCs w:val="14"/>
                <w:color w:val="auto"/>
              </w:rPr>
              <w:t>GAAP net income (loss) attributable to Viasat, Inc.</w:t>
            </w: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 $</w:t>
            </w:r>
          </w:p>
        </w:tc>
        <w:tc>
          <w:tcPr>
            <w:tcW w:w="8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58,824</w:t>
            </w:r>
          </w:p>
        </w:tc>
        <w:tc>
          <w:tcPr>
            <w:tcW w:w="420" w:type="dxa"/>
            <w:vAlign w:val="bottom"/>
          </w:tcPr>
          <w:p>
            <w:pPr>
              <w:spacing w:after="0"/>
              <w:rPr>
                <w:sz w:val="12"/>
                <w:szCs w:val="12"/>
                <w:color w:val="auto"/>
              </w:rPr>
            </w:pPr>
          </w:p>
        </w:tc>
        <w:tc>
          <w:tcPr>
            <w:tcW w:w="32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 $</w:t>
            </w:r>
          </w:p>
        </w:tc>
        <w:tc>
          <w:tcPr>
            <w:tcW w:w="7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(246,053)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Amortization of acquired intangible assets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65,064</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65,847</w:t>
            </w:r>
          </w:p>
        </w:tc>
        <w:tc>
          <w:tcPr>
            <w:tcW w:w="0" w:type="dxa"/>
            <w:vAlign w:val="bottom"/>
          </w:tcPr>
          <w:p>
            <w:pPr>
              <w:spacing w:after="0"/>
              <w:rPr>
                <w:sz w:val="1"/>
                <w:szCs w:val="1"/>
                <w:color w:val="auto"/>
              </w:rPr>
            </w:pPr>
          </w:p>
        </w:tc>
      </w:tr>
      <w:tr>
        <w:trPr>
          <w:trHeight w:val="158"/>
        </w:trPr>
        <w:tc>
          <w:tcPr>
            <w:tcW w:w="5040" w:type="dxa"/>
            <w:vAlign w:val="bottom"/>
          </w:tcPr>
          <w:p>
            <w:pPr>
              <w:spacing w:after="0" w:line="158" w:lineRule="exact"/>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22,142</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16,917</w:t>
            </w:r>
          </w:p>
        </w:tc>
        <w:tc>
          <w:tcPr>
            <w:tcW w:w="0" w:type="dxa"/>
            <w:vAlign w:val="bottom"/>
          </w:tcPr>
          <w:p>
            <w:pPr>
              <w:spacing w:after="0"/>
              <w:rPr>
                <w:sz w:val="1"/>
                <w:szCs w:val="1"/>
                <w:color w:val="auto"/>
              </w:rPr>
            </w:pPr>
          </w:p>
        </w:tc>
      </w:tr>
      <w:tr>
        <w:trPr>
          <w:trHeight w:val="166"/>
        </w:trPr>
        <w:tc>
          <w:tcPr>
            <w:tcW w:w="5040" w:type="dxa"/>
            <w:vAlign w:val="bottom"/>
          </w:tcPr>
          <w:p>
            <w:pPr>
              <w:spacing w:after="0" w:line="166" w:lineRule="exact"/>
              <w:rPr>
                <w:sz w:val="20"/>
                <w:szCs w:val="20"/>
                <w:color w:val="auto"/>
              </w:rPr>
            </w:pPr>
            <w:r>
              <w:rPr>
                <w:rFonts w:ascii="Arial" w:cs="Arial" w:eastAsia="Arial" w:hAnsi="Arial"/>
                <w:sz w:val="13"/>
                <w:szCs w:val="13"/>
                <w:color w:val="auto"/>
              </w:rPr>
              <w:t xml:space="preserve">Acquisition and transaction related expenses </w:t>
            </w:r>
            <w:r>
              <w:rPr>
                <w:rFonts w:ascii="Arial" w:cs="Arial" w:eastAsia="Arial" w:hAnsi="Arial"/>
                <w:sz w:val="19"/>
                <w:szCs w:val="19"/>
                <w:color w:val="auto"/>
                <w:vertAlign w:val="superscript"/>
              </w:rPr>
              <w:t>(3)</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4,062</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6,761</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20"/>
                <w:szCs w:val="20"/>
                <w:color w:val="auto"/>
              </w:rPr>
            </w:pPr>
            <w:r>
              <w:rPr>
                <w:rFonts w:ascii="Arial" w:cs="Arial" w:eastAsia="Arial" w:hAnsi="Arial"/>
                <w:sz w:val="14"/>
                <w:szCs w:val="14"/>
                <w:color w:val="auto"/>
              </w:rPr>
              <w:t>Ground network impairment and related charges, net</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169,400</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Loss (gain) on extinguishment of debt, net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Other income (expense), net (Q4FY26 includes gain on disposition of equity</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40" w:type="dxa"/>
            <w:vAlign w:val="bottom"/>
          </w:tcPr>
          <w:p>
            <w:pPr>
              <w:ind w:left="140"/>
              <w:spacing w:after="0" w:line="158" w:lineRule="exact"/>
              <w:rPr>
                <w:sz w:val="20"/>
                <w:szCs w:val="20"/>
                <w:color w:val="auto"/>
              </w:rPr>
            </w:pPr>
            <w:r>
              <w:rPr>
                <w:rFonts w:ascii="Arial" w:cs="Arial" w:eastAsia="Arial" w:hAnsi="Arial"/>
                <w:sz w:val="14"/>
                <w:szCs w:val="14"/>
                <w:color w:val="auto"/>
              </w:rPr>
              <w:t>method investment)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(168,062)</w:t>
            </w:r>
          </w:p>
        </w:tc>
        <w:tc>
          <w:tcPr>
            <w:tcW w:w="320" w:type="dxa"/>
            <w:vAlign w:val="bottom"/>
          </w:tcPr>
          <w:p>
            <w:pPr>
              <w:spacing w:after="0"/>
              <w:rPr>
                <w:sz w:val="13"/>
                <w:szCs w:val="13"/>
                <w:color w:val="auto"/>
              </w:rPr>
            </w:pPr>
          </w:p>
        </w:tc>
        <w:tc>
          <w:tcPr>
            <w:tcW w:w="8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040" w:type="dxa"/>
            <w:vAlign w:val="bottom"/>
          </w:tcPr>
          <w:p>
            <w:pPr>
              <w:spacing w:after="0" w:line="175" w:lineRule="exact"/>
              <w:rPr>
                <w:sz w:val="20"/>
                <w:szCs w:val="20"/>
                <w:color w:val="auto"/>
              </w:rPr>
            </w:pPr>
            <w:r>
              <w:rPr>
                <w:rFonts w:ascii="Arial" w:cs="Arial" w:eastAsia="Arial" w:hAnsi="Arial"/>
                <w:sz w:val="14"/>
                <w:szCs w:val="14"/>
                <w:color w:val="auto"/>
              </w:rPr>
              <w:t xml:space="preserve">Income tax effect </w:t>
            </w:r>
            <w:r>
              <w:rPr>
                <w:rFonts w:ascii="Arial" w:cs="Arial" w:eastAsia="Arial" w:hAnsi="Arial"/>
                <w:sz w:val="20"/>
                <w:szCs w:val="20"/>
                <w:color w:val="auto"/>
                <w:vertAlign w:val="superscript"/>
              </w:rPr>
              <w:t>(4)</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14,769</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(15,909)</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Non-GAAP net income (loss) attributable to Viasat, Inc.</w:t>
            </w: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 $</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(3,201)</w:t>
            </w:r>
          </w:p>
        </w:tc>
        <w:tc>
          <w:tcPr>
            <w:tcW w:w="320" w:type="dxa"/>
            <w:vAlign w:val="bottom"/>
          </w:tcPr>
          <w:p>
            <w:pPr>
              <w:spacing w:after="0"/>
              <w:rPr>
                <w:sz w:val="20"/>
                <w:szCs w:val="20"/>
                <w:color w:val="auto"/>
              </w:rPr>
            </w:pPr>
            <w:r>
              <w:rPr>
                <w:rFonts w:ascii="Arial" w:cs="Arial" w:eastAsia="Arial" w:hAnsi="Arial"/>
                <w:sz w:val="14"/>
                <w:szCs w:val="14"/>
                <w:color w:val="auto"/>
              </w:rPr>
              <w:t> $</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(3,037)</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Non-GAAP diluted net income (loss) per share attributable to Viasat, Inc.</w:t>
            </w: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ind w:left="140"/>
              <w:spacing w:after="0"/>
              <w:rPr>
                <w:sz w:val="20"/>
                <w:szCs w:val="20"/>
                <w:color w:val="auto"/>
              </w:rPr>
            </w:pPr>
            <w:r>
              <w:rPr>
                <w:rFonts w:ascii="Arial" w:cs="Arial" w:eastAsia="Arial" w:hAnsi="Arial"/>
                <w:sz w:val="14"/>
                <w:szCs w:val="14"/>
                <w:color w:val="auto"/>
              </w:rPr>
              <w:t>common stockholders</w:t>
            </w:r>
          </w:p>
        </w:tc>
        <w:tc>
          <w:tcPr>
            <w:tcW w:w="20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 $</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(0.02)</w:t>
            </w:r>
          </w:p>
        </w:tc>
        <w:tc>
          <w:tcPr>
            <w:tcW w:w="320" w:type="dxa"/>
            <w:vAlign w:val="bottom"/>
          </w:tcPr>
          <w:p>
            <w:pPr>
              <w:spacing w:after="0"/>
              <w:rPr>
                <w:sz w:val="20"/>
                <w:szCs w:val="20"/>
                <w:color w:val="auto"/>
              </w:rPr>
            </w:pPr>
            <w:r>
              <w:rPr>
                <w:rFonts w:ascii="Arial" w:cs="Arial" w:eastAsia="Arial" w:hAnsi="Arial"/>
                <w:sz w:val="14"/>
                <w:szCs w:val="14"/>
                <w:color w:val="auto"/>
              </w:rPr>
              <w:t> $</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 xml:space="preserve">Diluted common equivalent shares </w:t>
            </w:r>
            <w:r>
              <w:rPr>
                <w:rFonts w:ascii="Arial" w:cs="Arial" w:eastAsia="Arial" w:hAnsi="Arial"/>
                <w:sz w:val="21"/>
                <w:szCs w:val="21"/>
                <w:color w:val="auto"/>
                <w:vertAlign w:val="superscript"/>
              </w:rPr>
              <w:t>(2)</w:t>
            </w: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04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136,503</w:t>
            </w: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130,028</w:t>
            </w:r>
          </w:p>
        </w:tc>
        <w:tc>
          <w:tcPr>
            <w:tcW w:w="0" w:type="dxa"/>
            <w:vAlign w:val="bottom"/>
          </w:tcPr>
          <w:p>
            <w:pPr>
              <w:spacing w:after="0"/>
              <w:rPr>
                <w:sz w:val="1"/>
                <w:szCs w:val="1"/>
                <w:color w:val="auto"/>
              </w:rPr>
            </w:pPr>
          </w:p>
        </w:tc>
      </w:tr>
      <w:tr>
        <w:trPr>
          <w:trHeight w:val="242"/>
        </w:trPr>
        <w:tc>
          <w:tcPr>
            <w:tcW w:w="6780" w:type="dxa"/>
            <w:vAlign w:val="bottom"/>
            <w:gridSpan w:val="5"/>
          </w:tcPr>
          <w:p>
            <w:pPr>
              <w:spacing w:after="0"/>
              <w:rPr>
                <w:sz w:val="20"/>
                <w:szCs w:val="20"/>
                <w:color w:val="auto"/>
              </w:rPr>
            </w:pPr>
            <w:r>
              <w:rPr>
                <w:rFonts w:ascii="Arial" w:cs="Arial" w:eastAsia="Arial" w:hAnsi="Arial"/>
                <w:sz w:val="14"/>
                <w:szCs w:val="14"/>
                <w:b w:val="1"/>
                <w:bCs w:val="1"/>
                <w:color w:val="auto"/>
              </w:rPr>
              <w:t>AN ITEMIZED RECONCILIATION BETWEEN NET INCOME (LOSS) ATTRIBUTABLE TO VIASAT, INC.</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20"/>
                <w:szCs w:val="20"/>
                <w:color w:val="auto"/>
              </w:rPr>
            </w:pPr>
            <w:r>
              <w:rPr>
                <w:rFonts w:ascii="Arial" w:cs="Arial" w:eastAsia="Arial" w:hAnsi="Arial"/>
                <w:sz w:val="14"/>
                <w:szCs w:val="14"/>
                <w:b w:val="1"/>
                <w:bCs w:val="1"/>
                <w:color w:val="auto"/>
              </w:rPr>
              <w:t>AND ADJUSTED EBITDA IS AS FOLLOWS: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right"/>
        <w:spacing w:after="0"/>
        <w:tabs>
          <w:tab w:leader="none" w:pos="520" w:val="left"/>
        </w:tabs>
        <w:rPr>
          <w:sz w:val="20"/>
          <w:szCs w:val="20"/>
          <w:color w:val="auto"/>
        </w:rPr>
      </w:pP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(34,086)</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260,712</w:t>
      </w:r>
    </w:p>
    <w:p>
      <w:pPr>
        <w:spacing w:after="0" w:line="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81,070</w:t>
      </w:r>
    </w:p>
    <w:p>
      <w:pPr>
        <w:spacing w:after="0" w:line="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24,392</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11,935</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(163,012)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6940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143,251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6940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6940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196"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6940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23495</wp:posOffset>
            </wp:positionV>
            <wp:extent cx="6940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139,390</w:t>
      </w:r>
    </w:p>
    <w:p>
      <w:pPr>
        <w:spacing w:after="0" w:line="20" w:lineRule="exact"/>
        <w:rPr>
          <w:sz w:val="20"/>
          <w:szCs w:val="20"/>
          <w:color w:val="auto"/>
        </w:rPr>
      </w:pPr>
      <w:r>
        <w:rPr>
          <w:sz w:val="20"/>
          <w:szCs w:val="20"/>
          <w:color w:val="auto"/>
        </w:rPr>
        <w:br w:type="column"/>
      </w:r>
    </w:p>
    <w:p>
      <w:pPr>
        <w:jc w:val="right"/>
        <w:ind w:right="60"/>
        <w:spacing w:after="0"/>
        <w:tabs>
          <w:tab w:leader="none" w:pos="600" w:val="left"/>
        </w:tabs>
        <w:rPr>
          <w:sz w:val="20"/>
          <w:szCs w:val="20"/>
          <w:color w:val="auto"/>
        </w:rPr>
      </w:pP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(574,962)</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263,933</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80,385</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64,467</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169,400</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99,814</w:t>
      </w:r>
    </w:p>
    <w:p>
      <w:pPr>
        <w:spacing w:after="0" w:line="149" w:lineRule="exact"/>
        <w:rPr>
          <w:sz w:val="20"/>
          <w:szCs w:val="20"/>
          <w:color w:val="auto"/>
        </w:rPr>
      </w:pPr>
    </w:p>
    <w:p>
      <w:pPr>
        <w:ind w:left="740"/>
        <w:spacing w:after="0"/>
        <w:rPr>
          <w:sz w:val="20"/>
          <w:szCs w:val="20"/>
          <w:color w:val="auto"/>
        </w:rPr>
      </w:pPr>
      <w:r>
        <w:rPr>
          <w:rFonts w:ascii="Arial" w:cs="Arial" w:eastAsia="Arial" w:hAnsi="Arial"/>
          <w:sz w:val="14"/>
          <w:szCs w:val="14"/>
          <w:color w:val="auto"/>
        </w:rPr>
        <w:t>9,976</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(91,866)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94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21,147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6940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22860</wp:posOffset>
            </wp:positionV>
            <wp:extent cx="6940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196"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940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23495</wp:posOffset>
            </wp:positionV>
            <wp:extent cx="6940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130,408</w:t>
      </w:r>
    </w:p>
    <w:p>
      <w:pPr>
        <w:spacing w:after="0" w:line="556" w:lineRule="exact"/>
        <w:rPr>
          <w:sz w:val="20"/>
          <w:szCs w:val="20"/>
          <w:color w:val="auto"/>
        </w:rPr>
      </w:pPr>
    </w:p>
    <w:p>
      <w:pPr>
        <w:sectPr>
          <w:pgSz w:w="11900" w:h="16838" w:orient="portrait"/>
          <w:cols w:equalWidth="0" w:num="3">
            <w:col w:w="7924" w:space="380"/>
            <w:col w:w="1140" w:space="380"/>
            <w:col w:w="1200"/>
          </w:cols>
          <w:pgMar w:left="436" w:top="250" w:right="439" w:bottom="1440" w:gutter="0" w:footer="0" w:header="0"/>
          <w:type w:val="continuous"/>
        </w:sectPr>
      </w:pPr>
    </w:p>
    <w:tbl>
      <w:tblPr>
        <w:tblLayout w:type="fixed"/>
        <w:tblInd w:w="4" w:type="dxa"/>
        <w:tblCellMar>
          <w:top w:w="0" w:type="dxa"/>
          <w:left w:w="0" w:type="dxa"/>
          <w:bottom w:w="0" w:type="dxa"/>
          <w:right w:w="0" w:type="dxa"/>
        </w:tblCellMar>
      </w:tblPr>
      <w:tr>
        <w:trPr>
          <w:trHeight w:val="157"/>
        </w:trPr>
        <w:tc>
          <w:tcPr>
            <w:tcW w:w="5240" w:type="dxa"/>
            <w:vAlign w:val="bottom"/>
          </w:tcPr>
          <w:p>
            <w:pPr>
              <w:spacing w:after="0" w:line="157"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ind w:left="280"/>
              <w:spacing w:after="0" w:line="157" w:lineRule="exact"/>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40" w:type="dxa"/>
            <w:vAlign w:val="bottom"/>
            <w:vMerge w:val="restart"/>
          </w:tcPr>
          <w:p>
            <w:pPr>
              <w:spacing w:after="0"/>
              <w:rPr>
                <w:sz w:val="20"/>
                <w:szCs w:val="20"/>
                <w:color w:val="auto"/>
              </w:rPr>
            </w:pPr>
            <w:r>
              <w:rPr>
                <w:rFonts w:ascii="Arial" w:cs="Arial" w:eastAsia="Arial" w:hAnsi="Arial"/>
                <w:sz w:val="14"/>
                <w:szCs w:val="14"/>
                <w:color w:val="auto"/>
              </w:rPr>
              <w:t>GAAP net income (loss) attributable to Viasat, Inc.</w:t>
            </w:r>
          </w:p>
        </w:tc>
        <w:tc>
          <w:tcPr>
            <w:tcW w:w="20" w:type="dxa"/>
            <w:vAlign w:val="bottom"/>
          </w:tcPr>
          <w:p>
            <w:pPr>
              <w:spacing w:after="0"/>
              <w:rPr>
                <w:sz w:val="13"/>
                <w:szCs w:val="13"/>
                <w:color w:val="auto"/>
              </w:rPr>
            </w:pPr>
          </w:p>
        </w:tc>
        <w:tc>
          <w:tcPr>
            <w:tcW w:w="1520" w:type="dxa"/>
            <w:vAlign w:val="bottom"/>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rPr>
              <w:t>March 31, 2026</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March 31, 2025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 $</w:t>
            </w:r>
          </w:p>
        </w:tc>
        <w:tc>
          <w:tcPr>
            <w:tcW w:w="8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58,824</w:t>
            </w:r>
          </w:p>
        </w:tc>
        <w:tc>
          <w:tcPr>
            <w:tcW w:w="420" w:type="dxa"/>
            <w:vAlign w:val="bottom"/>
          </w:tcPr>
          <w:p>
            <w:pPr>
              <w:spacing w:after="0"/>
              <w:rPr>
                <w:sz w:val="12"/>
                <w:szCs w:val="12"/>
                <w:color w:val="auto"/>
              </w:rPr>
            </w:pPr>
          </w:p>
        </w:tc>
        <w:tc>
          <w:tcPr>
            <w:tcW w:w="50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 $</w:t>
            </w:r>
          </w:p>
        </w:tc>
        <w:tc>
          <w:tcPr>
            <w:tcW w:w="5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w w:val="93"/>
              </w:rPr>
              <w:t>(246,053)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40,081</w:t>
            </w: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3,758</w:t>
            </w:r>
          </w:p>
        </w:tc>
        <w:tc>
          <w:tcPr>
            <w:tcW w:w="0" w:type="dxa"/>
            <w:vAlign w:val="bottom"/>
          </w:tcPr>
          <w:p>
            <w:pPr>
              <w:spacing w:after="0"/>
              <w:rPr>
                <w:sz w:val="1"/>
                <w:szCs w:val="1"/>
                <w:color w:val="auto"/>
              </w:rPr>
            </w:pPr>
          </w:p>
        </w:tc>
      </w:tr>
      <w:tr>
        <w:trPr>
          <w:trHeight w:val="158"/>
        </w:trPr>
        <w:tc>
          <w:tcPr>
            <w:tcW w:w="5240" w:type="dxa"/>
            <w:vAlign w:val="bottom"/>
          </w:tcPr>
          <w:p>
            <w:pPr>
              <w:spacing w:after="0" w:line="158" w:lineRule="exact"/>
              <w:rPr>
                <w:sz w:val="20"/>
                <w:szCs w:val="20"/>
                <w:color w:val="auto"/>
              </w:rPr>
            </w:pPr>
            <w:r>
              <w:rPr>
                <w:rFonts w:ascii="Arial" w:cs="Arial" w:eastAsia="Arial" w:hAnsi="Arial"/>
                <w:sz w:val="14"/>
                <w:szCs w:val="14"/>
                <w:color w:val="auto"/>
              </w:rPr>
              <w:t>Interest expense (income), net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65,484</w:t>
            </w:r>
          </w:p>
        </w:tc>
        <w:tc>
          <w:tcPr>
            <w:tcW w:w="500" w:type="dxa"/>
            <w:vAlign w:val="bottom"/>
          </w:tcPr>
          <w:p>
            <w:pPr>
              <w:spacing w:after="0"/>
              <w:rPr>
                <w:sz w:val="13"/>
                <w:szCs w:val="13"/>
                <w:color w:val="auto"/>
              </w:rPr>
            </w:pPr>
          </w:p>
        </w:tc>
        <w:tc>
          <w:tcPr>
            <w:tcW w:w="6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86,828</w:t>
            </w:r>
          </w:p>
        </w:tc>
        <w:tc>
          <w:tcPr>
            <w:tcW w:w="0" w:type="dxa"/>
            <w:vAlign w:val="bottom"/>
          </w:tcPr>
          <w:p>
            <w:pPr>
              <w:spacing w:after="0"/>
              <w:rPr>
                <w:sz w:val="1"/>
                <w:szCs w:val="1"/>
                <w:color w:val="auto"/>
              </w:rPr>
            </w:pPr>
          </w:p>
        </w:tc>
      </w:tr>
      <w:tr>
        <w:trPr>
          <w:trHeight w:val="166"/>
        </w:trPr>
        <w:tc>
          <w:tcPr>
            <w:tcW w:w="5240" w:type="dxa"/>
            <w:vAlign w:val="bottom"/>
          </w:tcPr>
          <w:p>
            <w:pPr>
              <w:spacing w:after="0" w:line="16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19"/>
                <w:szCs w:val="19"/>
                <w:color w:val="auto"/>
                <w:vertAlign w:val="superscript"/>
              </w:rPr>
              <w:t>(5)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347,327</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337,182</w:t>
            </w:r>
          </w:p>
        </w:tc>
        <w:tc>
          <w:tcPr>
            <w:tcW w:w="0" w:type="dxa"/>
            <w:vAlign w:val="bottom"/>
          </w:tcPr>
          <w:p>
            <w:pPr>
              <w:spacing w:after="0"/>
              <w:rPr>
                <w:sz w:val="1"/>
                <w:szCs w:val="1"/>
                <w:color w:val="auto"/>
              </w:rPr>
            </w:pPr>
          </w:p>
        </w:tc>
      </w:tr>
      <w:tr>
        <w:trPr>
          <w:trHeight w:val="158"/>
        </w:trPr>
        <w:tc>
          <w:tcPr>
            <w:tcW w:w="5240" w:type="dxa"/>
            <w:vAlign w:val="bottom"/>
          </w:tcPr>
          <w:p>
            <w:pPr>
              <w:spacing w:after="0" w:line="158" w:lineRule="exact"/>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22,142</w:t>
            </w:r>
          </w:p>
        </w:tc>
        <w:tc>
          <w:tcPr>
            <w:tcW w:w="500" w:type="dxa"/>
            <w:vAlign w:val="bottom"/>
          </w:tcPr>
          <w:p>
            <w:pPr>
              <w:spacing w:after="0"/>
              <w:rPr>
                <w:sz w:val="13"/>
                <w:szCs w:val="13"/>
                <w:color w:val="auto"/>
              </w:rPr>
            </w:pPr>
          </w:p>
        </w:tc>
        <w:tc>
          <w:tcPr>
            <w:tcW w:w="6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16,917</w:t>
            </w:r>
          </w:p>
        </w:tc>
        <w:tc>
          <w:tcPr>
            <w:tcW w:w="0" w:type="dxa"/>
            <w:vAlign w:val="bottom"/>
          </w:tcPr>
          <w:p>
            <w:pPr>
              <w:spacing w:after="0"/>
              <w:rPr>
                <w:sz w:val="1"/>
                <w:szCs w:val="1"/>
                <w:color w:val="auto"/>
              </w:rPr>
            </w:pPr>
          </w:p>
        </w:tc>
      </w:tr>
      <w:tr>
        <w:trPr>
          <w:trHeight w:val="166"/>
        </w:trPr>
        <w:tc>
          <w:tcPr>
            <w:tcW w:w="5240" w:type="dxa"/>
            <w:vAlign w:val="bottom"/>
          </w:tcPr>
          <w:p>
            <w:pPr>
              <w:spacing w:after="0" w:line="166" w:lineRule="exact"/>
              <w:rPr>
                <w:sz w:val="20"/>
                <w:szCs w:val="20"/>
                <w:color w:val="auto"/>
              </w:rPr>
            </w:pPr>
            <w:r>
              <w:rPr>
                <w:rFonts w:ascii="Arial" w:cs="Arial" w:eastAsia="Arial" w:hAnsi="Arial"/>
                <w:sz w:val="13"/>
                <w:szCs w:val="13"/>
                <w:color w:val="auto"/>
              </w:rPr>
              <w:t xml:space="preserve">Acquisition and transaction related expenses </w:t>
            </w:r>
            <w:r>
              <w:rPr>
                <w:rFonts w:ascii="Arial" w:cs="Arial" w:eastAsia="Arial" w:hAnsi="Arial"/>
                <w:sz w:val="19"/>
                <w:szCs w:val="19"/>
                <w:color w:val="auto"/>
                <w:vertAlign w:val="superscript"/>
              </w:rPr>
              <w:t>(3)</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4,062</w:t>
            </w: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6,761</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Ground network impairment and related charges, net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169,400</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Loss (gain) on extinguishment of debt, net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Other income (expense), net (Q4FY26 includes gain on disposition of equity</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40"/>
              <w:spacing w:after="0"/>
              <w:rPr>
                <w:sz w:val="20"/>
                <w:szCs w:val="20"/>
                <w:color w:val="auto"/>
              </w:rPr>
            </w:pPr>
            <w:r>
              <w:rPr>
                <w:rFonts w:ascii="Arial" w:cs="Arial" w:eastAsia="Arial" w:hAnsi="Arial"/>
                <w:sz w:val="14"/>
                <w:szCs w:val="14"/>
                <w:color w:val="auto"/>
              </w:rPr>
              <w:t>method investment)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(168,062)</w:t>
            </w:r>
          </w:p>
        </w:tc>
        <w:tc>
          <w:tcPr>
            <w:tcW w:w="5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4"/>
                <w:szCs w:val="14"/>
                <w:color w:val="auto"/>
              </w:rPr>
              <w:t>Adjusted EBITDA</w:t>
            </w: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40" w:type="dxa"/>
            <w:vAlign w:val="bottom"/>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 $</w:t>
            </w:r>
          </w:p>
        </w:tc>
        <w:tc>
          <w:tcPr>
            <w:tcW w:w="800" w:type="dxa"/>
            <w:vAlign w:val="bottom"/>
          </w:tcPr>
          <w:p>
            <w:pPr>
              <w:jc w:val="right"/>
              <w:spacing w:after="0"/>
              <w:rPr>
                <w:sz w:val="20"/>
                <w:szCs w:val="20"/>
                <w:color w:val="auto"/>
              </w:rPr>
            </w:pPr>
            <w:r>
              <w:rPr>
                <w:rFonts w:ascii="Arial" w:cs="Arial" w:eastAsia="Arial" w:hAnsi="Arial"/>
                <w:sz w:val="14"/>
                <w:szCs w:val="14"/>
                <w:color w:val="auto"/>
              </w:rPr>
              <w:t>369,858</w:t>
            </w:r>
          </w:p>
        </w:tc>
        <w:tc>
          <w:tcPr>
            <w:tcW w:w="4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rPr>
              <w:t> $</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374,793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560"/>
        <w:spacing w:after="0" w:line="234" w:lineRule="auto"/>
        <w:rPr>
          <w:sz w:val="20"/>
          <w:szCs w:val="20"/>
          <w:color w:val="auto"/>
        </w:rPr>
      </w:pPr>
      <w:r>
        <w:rPr>
          <w:rFonts w:ascii="Arial" w:cs="Arial" w:eastAsia="Arial" w:hAnsi="Arial"/>
          <w:sz w:val="14"/>
          <w:szCs w:val="14"/>
          <w:b w:val="1"/>
          <w:bCs w:val="1"/>
          <w:color w:val="auto"/>
        </w:rPr>
        <w:t>Twelve months ended</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500" w:type="dxa"/>
            <w:vAlign w:val="bottom"/>
            <w:tcBorders>
              <w:top w:val="single" w:sz="8" w:color="auto"/>
            </w:tcBorders>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March 31, 2026</w:t>
            </w:r>
          </w:p>
        </w:tc>
        <w:tc>
          <w:tcPr>
            <w:tcW w:w="11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2025</w:t>
            </w:r>
          </w:p>
        </w:tc>
        <w:tc>
          <w:tcPr>
            <w:tcW w:w="4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2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 $</w:t>
            </w:r>
          </w:p>
        </w:tc>
        <w:tc>
          <w:tcPr>
            <w:tcW w:w="8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(34,086)</w:t>
            </w:r>
          </w:p>
        </w:tc>
        <w:tc>
          <w:tcPr>
            <w:tcW w:w="400" w:type="dxa"/>
            <w:vAlign w:val="bottom"/>
          </w:tcPr>
          <w:p>
            <w:pPr>
              <w:spacing w:after="0"/>
              <w:rPr>
                <w:sz w:val="12"/>
                <w:szCs w:val="12"/>
                <w:color w:val="auto"/>
              </w:rPr>
            </w:pPr>
          </w:p>
        </w:tc>
        <w:tc>
          <w:tcPr>
            <w:tcW w:w="28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 $</w:t>
            </w:r>
          </w:p>
        </w:tc>
        <w:tc>
          <w:tcPr>
            <w:tcW w:w="8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(574,962)</w:t>
            </w:r>
          </w:p>
        </w:tc>
        <w:tc>
          <w:tcPr>
            <w:tcW w:w="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116,223</w:t>
            </w:r>
          </w:p>
        </w:tc>
        <w:tc>
          <w:tcPr>
            <w:tcW w:w="2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(941)</w:t>
            </w:r>
          </w:p>
        </w:tc>
      </w:t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154,401</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338,024</w:t>
            </w:r>
          </w:p>
        </w:tc>
      </w:t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1,359,159</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1,360,807</w:t>
            </w:r>
          </w:p>
        </w:tc>
      </w:t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81,070</w:t>
            </w:r>
          </w:p>
        </w:tc>
        <w:tc>
          <w:tcPr>
            <w:tcW w:w="2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80,385</w:t>
            </w:r>
          </w:p>
        </w:tc>
      </w:t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24,392</w:t>
            </w:r>
          </w:p>
        </w:tc>
        <w:tc>
          <w:tcPr>
            <w:tcW w:w="2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64,467</w:t>
            </w:r>
          </w:p>
        </w:tc>
      </w:t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169,400</w:t>
            </w:r>
          </w:p>
        </w:tc>
      </w:tr>
      <w:tr>
        <w:trPr>
          <w:trHeight w:val="190"/>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11,935</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99,814</w:t>
            </w:r>
          </w:p>
        </w:tc>
      </w:tr>
      <w:tr>
        <w:trPr>
          <w:trHeight w:val="30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(163,012)</w:t>
            </w:r>
          </w:p>
        </w:tc>
        <w:tc>
          <w:tcPr>
            <w:tcW w:w="28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9,976</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280" w:type="dxa"/>
            <w:vAlign w:val="bottom"/>
            <w:gridSpan w:val="2"/>
          </w:tcPr>
          <w:p>
            <w:pPr>
              <w:spacing w:after="0"/>
              <w:rPr>
                <w:sz w:val="20"/>
                <w:szCs w:val="20"/>
                <w:color w:val="auto"/>
              </w:rPr>
            </w:pPr>
            <w:r>
              <w:rPr>
                <w:rFonts w:ascii="Arial" w:cs="Arial" w:eastAsia="Arial" w:hAnsi="Arial"/>
                <w:sz w:val="14"/>
                <w:szCs w:val="14"/>
                <w:color w:val="auto"/>
              </w:rPr>
              <w:t> $</w:t>
            </w:r>
          </w:p>
        </w:tc>
        <w:tc>
          <w:tcPr>
            <w:tcW w:w="840" w:type="dxa"/>
            <w:vAlign w:val="bottom"/>
          </w:tcPr>
          <w:p>
            <w:pPr>
              <w:jc w:val="right"/>
              <w:spacing w:after="0"/>
              <w:rPr>
                <w:sz w:val="20"/>
                <w:szCs w:val="20"/>
                <w:color w:val="auto"/>
              </w:rPr>
            </w:pPr>
            <w:r>
              <w:rPr>
                <w:rFonts w:ascii="Arial" w:cs="Arial" w:eastAsia="Arial" w:hAnsi="Arial"/>
                <w:sz w:val="14"/>
                <w:szCs w:val="14"/>
                <w:color w:val="auto"/>
              </w:rPr>
              <w:t>1,550,082</w:t>
            </w:r>
          </w:p>
        </w:tc>
        <w:tc>
          <w:tcPr>
            <w:tcW w:w="4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 $</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1,546,970</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2">
            <w:col w:w="7924" w:space="380"/>
            <w:col w:w="2720"/>
          </w:cols>
          <w:pgMar w:left="436" w:top="250" w:right="439" w:bottom="1440" w:gutter="0" w:footer="0" w:header="0"/>
          <w:type w:val="continuous"/>
        </w:sectPr>
      </w:pPr>
    </w:p>
    <w:p>
      <w:pPr>
        <w:ind w:left="224" w:hanging="224"/>
        <w:spacing w:after="0"/>
        <w:tabs>
          <w:tab w:leader="none" w:pos="224"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Amounts include ground network impairment and related charges, net, of approximately  $169 million for the three and twelve months ended March 31, 2025.</w:t>
      </w:r>
    </w:p>
    <w:p>
      <w:pPr>
        <w:ind w:left="224" w:right="180" w:hanging="224"/>
        <w:spacing w:after="0" w:line="211" w:lineRule="auto"/>
        <w:tabs>
          <w:tab w:leader="none" w:pos="224"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As the twelve months ended March 31, 2026 and three and twelve months ended March 31, 2025 financial information resulted in a net loss, the weighted average number of shares used to calculate basic and diluted net loss per share is the same, as diluted shares would be anti-dilutive. However, as the non-GAAP financial information for the twelve months ended March 31, 2026 and March 31, 2025 resulted in non-GAAP net income, diluted weighted average number of shares were used instead to calculate non-GAAP diluted net income per share.</w:t>
      </w:r>
    </w:p>
    <w:p>
      <w:pPr>
        <w:ind w:left="224" w:hanging="224"/>
        <w:spacing w:after="0" w:line="187" w:lineRule="auto"/>
        <w:tabs>
          <w:tab w:leader="none" w:pos="224" w:val="left"/>
        </w:tabs>
        <w:numPr>
          <w:ilvl w:val="0"/>
          <w:numId w:val="5"/>
        </w:numPr>
        <w:rPr>
          <w:rFonts w:ascii="Arial" w:cs="Arial" w:eastAsia="Arial" w:hAnsi="Arial"/>
          <w:sz w:val="18"/>
          <w:szCs w:val="18"/>
          <w:color w:val="auto"/>
          <w:vertAlign w:val="superscript"/>
        </w:rPr>
      </w:pPr>
      <w:r>
        <w:rPr>
          <w:rFonts w:ascii="Arial" w:cs="Arial" w:eastAsia="Arial" w:hAnsi="Arial"/>
          <w:sz w:val="12"/>
          <w:szCs w:val="12"/>
          <w:color w:val="auto"/>
        </w:rPr>
        <w:t>Costs typically consist of acquisition, integration, and disposition related costs.</w:t>
      </w:r>
    </w:p>
    <w:p>
      <w:pPr>
        <w:ind w:left="224" w:hanging="224"/>
        <w:spacing w:after="0" w:line="187" w:lineRule="auto"/>
        <w:tabs>
          <w:tab w:leader="none" w:pos="224" w:val="left"/>
        </w:tabs>
        <w:numPr>
          <w:ilvl w:val="0"/>
          <w:numId w:val="5"/>
        </w:numPr>
        <w:rPr>
          <w:rFonts w:ascii="Arial" w:cs="Arial" w:eastAsia="Arial" w:hAnsi="Arial"/>
          <w:sz w:val="18"/>
          <w:szCs w:val="18"/>
          <w:color w:val="auto"/>
          <w:vertAlign w:val="superscript"/>
        </w:rPr>
      </w:pPr>
      <w:r>
        <w:rPr>
          <w:rFonts w:ascii="Arial" w:cs="Arial" w:eastAsia="Arial" w:hAnsi="Arial"/>
          <w:sz w:val="12"/>
          <w:szCs w:val="12"/>
          <w:color w:val="auto"/>
        </w:rPr>
        <w:t>The income tax effect is calculated using the tax rate applicable for the non-GAAP adjustments.</w:t>
      </w:r>
    </w:p>
    <w:p>
      <w:pPr>
        <w:ind w:left="224" w:hanging="224"/>
        <w:spacing w:after="0" w:line="183" w:lineRule="auto"/>
        <w:tabs>
          <w:tab w:leader="none" w:pos="224"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Including amortization of capitalized cloud computing implementation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029450" cy="111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0" cy="111760"/>
                    </a:xfrm>
                    <a:prstGeom prst="rect">
                      <a:avLst/>
                    </a:prstGeom>
                    <a:noFill/>
                  </pic:spPr>
                </pic:pic>
              </a:graphicData>
            </a:graphic>
          </wp:anchor>
        </w:drawing>
      </w:r>
    </w:p>
    <w:p>
      <w:pPr>
        <w:sectPr>
          <w:pgSz w:w="11900" w:h="16838" w:orient="portrait"/>
          <w:cols w:equalWidth="0" w:num="1">
            <w:col w:w="11024"/>
          </w:cols>
          <w:pgMar w:left="436" w:top="250" w:right="439" w:bottom="1440" w:gutter="0" w:footer="0" w:header="0"/>
          <w:type w:val="continuous"/>
        </w:sectPr>
      </w:pPr>
    </w:p>
    <w:p>
      <w:pPr>
        <w:spacing w:after="0" w:line="297" w:lineRule="exact"/>
        <w:rPr>
          <w:sz w:val="20"/>
          <w:szCs w:val="20"/>
          <w:color w:val="auto"/>
        </w:rPr>
      </w:pPr>
    </w:p>
    <w:p>
      <w:pPr>
        <w:ind w:left="7924"/>
        <w:spacing w:after="0"/>
        <w:rPr>
          <w:sz w:val="20"/>
          <w:szCs w:val="20"/>
          <w:color w:val="auto"/>
        </w:rPr>
      </w:pPr>
      <w:r>
        <w:rPr>
          <w:rFonts w:ascii="Arial" w:cs="Arial" w:eastAsia="Arial" w:hAnsi="Arial"/>
          <w:sz w:val="14"/>
          <w:szCs w:val="14"/>
          <w:color w:val="auto"/>
        </w:rPr>
        <w:t>Shareholder Letter | Q4 Fiscal Year 2026       14</w:t>
      </w:r>
    </w:p>
    <w:p>
      <w:pPr>
        <w:sectPr>
          <w:pgSz w:w="11900" w:h="16838" w:orient="portrait"/>
          <w:cols w:equalWidth="0" w:num="1">
            <w:col w:w="11024"/>
          </w:cols>
          <w:pgMar w:left="436" w:top="250" w:right="439" w:bottom="1440" w:gutter="0" w:footer="0" w:header="0"/>
          <w:type w:val="continuous"/>
        </w:sectPr>
      </w:pPr>
    </w:p>
    <w:bookmarkStart w:id="19" w:name="page20"/>
    <w:bookmarkEnd w:id="19"/>
    <w:p>
      <w:pPr>
        <w:ind w:left="4"/>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 Quarter Fiscal Year 2026 Results (cont.)</w:t>
      </w:r>
    </w:p>
    <w:p>
      <w:pPr>
        <w:spacing w:after="0" w:line="276"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AN ITEMIZED RECONCILIATION BETWEEN SEGMENT OPERATING PROFIT (LOSS) BEFORE CORPORATE</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AND ADJUSTED EBITDA IS AS FOLLOWS: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(In thousands)</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7"/>
          </w:tcPr>
          <w:p>
            <w:pPr>
              <w:jc w:val="right"/>
              <w:ind w:right="468"/>
              <w:spacing w:after="0"/>
              <w:rPr>
                <w:sz w:val="20"/>
                <w:szCs w:val="20"/>
                <w:color w:val="auto"/>
              </w:rPr>
            </w:pPr>
            <w:r>
              <w:rPr>
                <w:rFonts w:ascii="Arial" w:cs="Arial" w:eastAsia="Arial" w:hAnsi="Arial"/>
                <w:sz w:val="14"/>
                <w:szCs w:val="14"/>
                <w:b w:val="1"/>
                <w:bCs w:val="1"/>
                <w:color w:val="auto"/>
              </w:rPr>
              <w:t>Three months ended March 31, 2026</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7"/>
          </w:tcPr>
          <w:p>
            <w:pPr>
              <w:jc w:val="right"/>
              <w:ind w:right="468"/>
              <w:spacing w:after="0"/>
              <w:rPr>
                <w:sz w:val="20"/>
                <w:szCs w:val="20"/>
                <w:color w:val="auto"/>
              </w:rPr>
            </w:pPr>
            <w:r>
              <w:rPr>
                <w:rFonts w:ascii="Arial" w:cs="Arial" w:eastAsia="Arial" w:hAnsi="Arial"/>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Defense and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rPr>
              <w:t>Defense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Communication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rPr>
              <w:t>Advanced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Communication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rPr>
              <w:t>Advanced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  Technologies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4"/>
                <w:szCs w:val="14"/>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4"/>
              </w:rPr>
              <w:t>  Technologies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color w:val="auto"/>
              </w:rPr>
              <w:t>Segment operating profit (loss) before corporate</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Total </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43" w:lineRule="exact"/>
              <w:rPr>
                <w:sz w:val="20"/>
                <w:szCs w:val="20"/>
                <w:color w:val="auto"/>
              </w:rPr>
            </w:pPr>
            <w:r>
              <w:rPr>
                <w:rFonts w:ascii="Arial" w:cs="Arial" w:eastAsia="Arial" w:hAnsi="Arial"/>
                <w:sz w:val="14"/>
                <w:szCs w:val="14"/>
                <w:color w:val="auto"/>
              </w:rPr>
              <w:t>2,264</w:t>
            </w:r>
          </w:p>
        </w:tc>
        <w:tc>
          <w:tcPr>
            <w:tcW w:w="28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line="143" w:lineRule="exact"/>
              <w:rPr>
                <w:sz w:val="20"/>
                <w:szCs w:val="20"/>
                <w:color w:val="auto"/>
              </w:rPr>
            </w:pPr>
            <w:r>
              <w:rPr>
                <w:rFonts w:ascii="Arial" w:cs="Arial" w:eastAsia="Arial" w:hAnsi="Arial"/>
                <w:sz w:val="14"/>
                <w:szCs w:val="14"/>
                <w:color w:val="auto"/>
              </w:rPr>
              <w:t>62,176</w:t>
            </w:r>
          </w:p>
        </w:tc>
        <w:tc>
          <w:tcPr>
            <w:tcW w:w="28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28"/>
              <w:spacing w:after="0" w:line="143" w:lineRule="exact"/>
              <w:rPr>
                <w:sz w:val="20"/>
                <w:szCs w:val="20"/>
                <w:color w:val="auto"/>
              </w:rPr>
            </w:pPr>
            <w:r>
              <w:rPr>
                <w:rFonts w:ascii="Arial" w:cs="Arial" w:eastAsia="Arial" w:hAnsi="Arial"/>
                <w:sz w:val="14"/>
                <w:szCs w:val="14"/>
                <w:color w:val="auto"/>
              </w:rPr>
              <w:t>64,440</w:t>
            </w:r>
          </w:p>
        </w:tc>
        <w:tc>
          <w:tcPr>
            <w:tcW w:w="260" w:type="dxa"/>
            <w:vAlign w:val="bottom"/>
          </w:tcPr>
          <w:p>
            <w:pPr>
              <w:spacing w:after="0"/>
              <w:rPr>
                <w:sz w:val="12"/>
                <w:szCs w:val="12"/>
                <w:color w:val="auto"/>
              </w:rPr>
            </w:pP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line="143" w:lineRule="exact"/>
              <w:rPr>
                <w:sz w:val="20"/>
                <w:szCs w:val="20"/>
                <w:color w:val="auto"/>
              </w:rPr>
            </w:pPr>
            <w:r>
              <w:rPr>
                <w:rFonts w:ascii="Arial" w:cs="Arial" w:eastAsia="Arial" w:hAnsi="Arial"/>
                <w:sz w:val="14"/>
                <w:szCs w:val="14"/>
                <w:color w:val="auto"/>
              </w:rPr>
              <w:t>(136,051)</w:t>
            </w:r>
          </w:p>
        </w:tc>
        <w:tc>
          <w:tcPr>
            <w:tcW w:w="28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line="143" w:lineRule="exact"/>
              <w:rPr>
                <w:sz w:val="20"/>
                <w:szCs w:val="20"/>
                <w:color w:val="auto"/>
              </w:rPr>
            </w:pPr>
            <w:r>
              <w:rPr>
                <w:rFonts w:ascii="Arial" w:cs="Arial" w:eastAsia="Arial" w:hAnsi="Arial"/>
                <w:sz w:val="14"/>
                <w:szCs w:val="14"/>
                <w:color w:val="auto"/>
              </w:rPr>
              <w:t>48,113</w:t>
            </w:r>
          </w:p>
        </w:tc>
        <w:tc>
          <w:tcPr>
            <w:tcW w:w="260" w:type="dxa"/>
            <w:vAlign w:val="bottom"/>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(87,938)</w:t>
            </w:r>
          </w:p>
        </w:tc>
        <w:tc>
          <w:tcPr>
            <w:tcW w:w="0" w:type="dxa"/>
            <w:vAlign w:val="bottom"/>
          </w:tcPr>
          <w:p>
            <w:pPr>
              <w:spacing w:after="0"/>
              <w:rPr>
                <w:sz w:val="1"/>
                <w:szCs w:val="1"/>
                <w:color w:val="auto"/>
              </w:rPr>
            </w:pPr>
          </w:p>
        </w:tc>
      </w:tr>
      <w:tr>
        <w:trPr>
          <w:trHeight w:val="166"/>
        </w:trPr>
        <w:tc>
          <w:tcPr>
            <w:tcW w:w="3680" w:type="dxa"/>
            <w:vAlign w:val="bottom"/>
          </w:tcPr>
          <w:p>
            <w:pPr>
              <w:spacing w:after="0" w:line="166" w:lineRule="exact"/>
              <w:rPr>
                <w:sz w:val="20"/>
                <w:szCs w:val="20"/>
                <w:color w:val="auto"/>
              </w:rPr>
            </w:pPr>
            <w:r>
              <w:rPr>
                <w:rFonts w:ascii="Arial" w:cs="Arial" w:eastAsia="Arial" w:hAnsi="Arial"/>
                <w:sz w:val="13"/>
                <w:szCs w:val="13"/>
                <w:color w:val="auto"/>
              </w:rPr>
              <w:t xml:space="preserve">Depreciation </w:t>
            </w:r>
            <w:r>
              <w:rPr>
                <w:rFonts w:ascii="Arial" w:cs="Arial" w:eastAsia="Arial" w:hAnsi="Arial"/>
                <w:sz w:val="19"/>
                <w:szCs w:val="19"/>
                <w:color w:val="auto"/>
                <w:vertAlign w:val="superscript"/>
              </w:rPr>
              <w:t>(6)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254,506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12,481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266,987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244,311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12,481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256,792</w:t>
            </w:r>
          </w:p>
        </w:tc>
        <w:tc>
          <w:tcPr>
            <w:tcW w:w="0" w:type="dxa"/>
            <w:vAlign w:val="bottom"/>
          </w:tcPr>
          <w:p>
            <w:pPr>
              <w:spacing w:after="0"/>
              <w:rPr>
                <w:sz w:val="1"/>
                <w:szCs w:val="1"/>
                <w:color w:val="auto"/>
              </w:rPr>
            </w:pPr>
          </w:p>
        </w:tc>
      </w:tr>
      <w:tr>
        <w:trPr>
          <w:trHeight w:val="158"/>
        </w:trPr>
        <w:tc>
          <w:tcPr>
            <w:tcW w:w="3680" w:type="dxa"/>
            <w:vAlign w:val="bottom"/>
          </w:tcPr>
          <w:p>
            <w:pPr>
              <w:spacing w:after="0" w:line="158" w:lineRule="exact"/>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8"/>
              <w:spacing w:after="0" w:line="158" w:lineRule="exact"/>
              <w:rPr>
                <w:sz w:val="20"/>
                <w:szCs w:val="20"/>
                <w:color w:val="auto"/>
              </w:rPr>
            </w:pPr>
            <w:r>
              <w:rPr>
                <w:rFonts w:ascii="Arial" w:cs="Arial" w:eastAsia="Arial" w:hAnsi="Arial"/>
                <w:sz w:val="14"/>
                <w:szCs w:val="14"/>
                <w:color w:val="auto"/>
              </w:rPr>
              <w:t>13,495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68"/>
              <w:spacing w:after="0" w:line="158" w:lineRule="exact"/>
              <w:rPr>
                <w:sz w:val="20"/>
                <w:szCs w:val="20"/>
                <w:color w:val="auto"/>
              </w:rPr>
            </w:pPr>
            <w:r>
              <w:rPr>
                <w:rFonts w:ascii="Arial" w:cs="Arial" w:eastAsia="Arial" w:hAnsi="Arial"/>
                <w:sz w:val="14"/>
                <w:szCs w:val="14"/>
                <w:color w:val="auto"/>
              </w:rPr>
              <w:t>8,647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28"/>
              <w:spacing w:after="0" w:line="158" w:lineRule="exact"/>
              <w:rPr>
                <w:sz w:val="20"/>
                <w:szCs w:val="20"/>
                <w:color w:val="auto"/>
              </w:rPr>
            </w:pPr>
            <w:r>
              <w:rPr>
                <w:rFonts w:ascii="Arial" w:cs="Arial" w:eastAsia="Arial" w:hAnsi="Arial"/>
                <w:sz w:val="14"/>
                <w:szCs w:val="14"/>
                <w:color w:val="auto"/>
              </w:rPr>
              <w:t>22,142</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68"/>
              <w:spacing w:after="0" w:line="158" w:lineRule="exact"/>
              <w:rPr>
                <w:sz w:val="20"/>
                <w:szCs w:val="20"/>
                <w:color w:val="auto"/>
              </w:rPr>
            </w:pPr>
            <w:r>
              <w:rPr>
                <w:rFonts w:ascii="Arial" w:cs="Arial" w:eastAsia="Arial" w:hAnsi="Arial"/>
                <w:sz w:val="14"/>
                <w:szCs w:val="14"/>
                <w:color w:val="auto"/>
              </w:rPr>
              <w:t>10,298</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68"/>
              <w:spacing w:after="0" w:line="158" w:lineRule="exact"/>
              <w:rPr>
                <w:sz w:val="20"/>
                <w:szCs w:val="20"/>
                <w:color w:val="auto"/>
              </w:rPr>
            </w:pPr>
            <w:r>
              <w:rPr>
                <w:rFonts w:ascii="Arial" w:cs="Arial" w:eastAsia="Arial" w:hAnsi="Arial"/>
                <w:sz w:val="14"/>
                <w:szCs w:val="14"/>
                <w:color w:val="auto"/>
              </w:rPr>
              <w:t>6,619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28"/>
              <w:spacing w:after="0" w:line="158" w:lineRule="exact"/>
              <w:rPr>
                <w:sz w:val="20"/>
                <w:szCs w:val="20"/>
                <w:color w:val="auto"/>
              </w:rPr>
            </w:pPr>
            <w:r>
              <w:rPr>
                <w:rFonts w:ascii="Arial" w:cs="Arial" w:eastAsia="Arial" w:hAnsi="Arial"/>
                <w:sz w:val="14"/>
                <w:szCs w:val="14"/>
                <w:color w:val="auto"/>
              </w:rPr>
              <w:t>16,917</w:t>
            </w:r>
          </w:p>
        </w:tc>
        <w:tc>
          <w:tcPr>
            <w:tcW w:w="0" w:type="dxa"/>
            <w:vAlign w:val="bottom"/>
          </w:tcPr>
          <w:p>
            <w:pPr>
              <w:spacing w:after="0"/>
              <w:rPr>
                <w:sz w:val="1"/>
                <w:szCs w:val="1"/>
                <w:color w:val="auto"/>
              </w:rPr>
            </w:pPr>
          </w:p>
        </w:tc>
      </w:tr>
      <w:tr>
        <w:trPr>
          <w:trHeight w:val="162"/>
        </w:trPr>
        <w:tc>
          <w:tcPr>
            <w:tcW w:w="3680" w:type="dxa"/>
            <w:vAlign w:val="bottom"/>
          </w:tcPr>
          <w:p>
            <w:pPr>
              <w:spacing w:after="0" w:line="162" w:lineRule="exact"/>
              <w:rPr>
                <w:sz w:val="20"/>
                <w:szCs w:val="20"/>
                <w:color w:val="auto"/>
              </w:rPr>
            </w:pPr>
            <w:r>
              <w:rPr>
                <w:rFonts w:ascii="Arial" w:cs="Arial" w:eastAsia="Arial" w:hAnsi="Arial"/>
                <w:sz w:val="13"/>
                <w:szCs w:val="13"/>
                <w:color w:val="auto"/>
              </w:rPr>
              <w:t xml:space="preserve">Other than acquired intangible assets amortization </w:t>
            </w:r>
            <w:r>
              <w:rPr>
                <w:rFonts w:ascii="Arial" w:cs="Arial" w:eastAsia="Arial" w:hAnsi="Arial"/>
                <w:sz w:val="18"/>
                <w:szCs w:val="18"/>
                <w:color w:val="auto"/>
                <w:vertAlign w:val="superscript"/>
              </w:rPr>
              <w:t>(5)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9,398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5,878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15,276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9,375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5,168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14,543</w:t>
            </w:r>
          </w:p>
        </w:tc>
        <w:tc>
          <w:tcPr>
            <w:tcW w:w="0" w:type="dxa"/>
            <w:vAlign w:val="bottom"/>
          </w:tcPr>
          <w:p>
            <w:pPr>
              <w:spacing w:after="0"/>
              <w:rPr>
                <w:sz w:val="1"/>
                <w:szCs w:val="1"/>
                <w:color w:val="auto"/>
              </w:rPr>
            </w:pPr>
          </w:p>
        </w:tc>
      </w:tr>
      <w:tr>
        <w:trPr>
          <w:trHeight w:val="166"/>
        </w:trPr>
        <w:tc>
          <w:tcPr>
            <w:tcW w:w="3680" w:type="dxa"/>
            <w:vAlign w:val="bottom"/>
          </w:tcPr>
          <w:p>
            <w:pPr>
              <w:spacing w:after="0" w:line="166" w:lineRule="exact"/>
              <w:rPr>
                <w:sz w:val="20"/>
                <w:szCs w:val="20"/>
                <w:color w:val="auto"/>
              </w:rPr>
            </w:pPr>
            <w:r>
              <w:rPr>
                <w:rFonts w:ascii="Arial" w:cs="Arial" w:eastAsia="Arial" w:hAnsi="Arial"/>
                <w:sz w:val="13"/>
                <w:szCs w:val="13"/>
                <w:color w:val="auto"/>
              </w:rPr>
              <w:t xml:space="preserve">Acquisition and transaction related expenses </w:t>
            </w:r>
            <w:r>
              <w:rPr>
                <w:rFonts w:ascii="Arial" w:cs="Arial" w:eastAsia="Arial" w:hAnsi="Arial"/>
                <w:sz w:val="19"/>
                <w:szCs w:val="19"/>
                <w:color w:val="auto"/>
                <w:vertAlign w:val="superscript"/>
              </w:rPr>
              <w:t>(3)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3,497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565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4,062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5,275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1,486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6,761</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Ground network impairment and related charges,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169,400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169,400</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Equity in income (loss) of unconsolidated affiliates,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4,108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3,636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3,636</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(7,203)</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(7,157)</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(5,288)</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(5,318)</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287,314</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82,544</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369,858</w:t>
            </w: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306,214</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68,579</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374,793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right"/>
              <w:ind w:right="428"/>
              <w:spacing w:after="0"/>
              <w:rPr>
                <w:sz w:val="20"/>
                <w:szCs w:val="20"/>
                <w:color w:val="auto"/>
              </w:rPr>
            </w:pPr>
            <w:r>
              <w:rPr>
                <w:rFonts w:ascii="Arial" w:cs="Arial" w:eastAsia="Arial" w:hAnsi="Arial"/>
                <w:sz w:val="14"/>
                <w:szCs w:val="14"/>
                <w:b w:val="1"/>
                <w:bCs w:val="1"/>
                <w:color w:val="auto"/>
              </w:rPr>
              <w:t>Twelve months ended March 31, 2026</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428"/>
              <w:spacing w:after="0"/>
              <w:rPr>
                <w:sz w:val="20"/>
                <w:szCs w:val="20"/>
                <w:color w:val="auto"/>
              </w:rPr>
            </w:pPr>
            <w:r>
              <w:rPr>
                <w:rFonts w:ascii="Arial" w:cs="Arial" w:eastAsia="Arial" w:hAnsi="Arial"/>
                <w:sz w:val="14"/>
                <w:szCs w:val="14"/>
                <w:b w:val="1"/>
                <w:bCs w:val="1"/>
                <w:color w:val="auto"/>
              </w:rPr>
              <w:t>Twelve months ended March 31, 2025</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Defense and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rPr>
              <w:t>Defense and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Communication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rPr>
              <w:t>Advanced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Communication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rPr>
              <w:t>Advanced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  Technologies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4"/>
                <w:szCs w:val="14"/>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4"/>
              </w:rPr>
              <w:t>  Technologies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color w:val="auto"/>
              </w:rPr>
              <w:t>Segment operating profit (loss) before corporate</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Total </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Segment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43" w:lineRule="exact"/>
              <w:rPr>
                <w:sz w:val="20"/>
                <w:szCs w:val="20"/>
                <w:color w:val="auto"/>
              </w:rPr>
            </w:pPr>
            <w:r>
              <w:rPr>
                <w:rFonts w:ascii="Arial" w:cs="Arial" w:eastAsia="Arial" w:hAnsi="Arial"/>
                <w:sz w:val="14"/>
                <w:szCs w:val="14"/>
                <w:color w:val="auto"/>
              </w:rPr>
              <w:t>152,553</w:t>
            </w:r>
          </w:p>
        </w:tc>
        <w:tc>
          <w:tcPr>
            <w:tcW w:w="28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line="143" w:lineRule="exact"/>
              <w:rPr>
                <w:sz w:val="20"/>
                <w:szCs w:val="20"/>
                <w:color w:val="auto"/>
              </w:rPr>
            </w:pPr>
            <w:r>
              <w:rPr>
                <w:rFonts w:ascii="Arial" w:cs="Arial" w:eastAsia="Arial" w:hAnsi="Arial"/>
                <w:sz w:val="14"/>
                <w:szCs w:val="14"/>
                <w:color w:val="auto"/>
              </w:rPr>
              <w:t>216,284</w:t>
            </w:r>
          </w:p>
        </w:tc>
        <w:tc>
          <w:tcPr>
            <w:tcW w:w="28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28"/>
              <w:spacing w:after="0" w:line="143" w:lineRule="exact"/>
              <w:rPr>
                <w:sz w:val="20"/>
                <w:szCs w:val="20"/>
                <w:color w:val="auto"/>
              </w:rPr>
            </w:pPr>
            <w:r>
              <w:rPr>
                <w:rFonts w:ascii="Arial" w:cs="Arial" w:eastAsia="Arial" w:hAnsi="Arial"/>
                <w:sz w:val="14"/>
                <w:szCs w:val="14"/>
                <w:color w:val="auto"/>
              </w:rPr>
              <w:t>368,837</w:t>
            </w:r>
          </w:p>
        </w:tc>
        <w:tc>
          <w:tcPr>
            <w:tcW w:w="260" w:type="dxa"/>
            <w:vAlign w:val="bottom"/>
          </w:tcPr>
          <w:p>
            <w:pPr>
              <w:spacing w:after="0"/>
              <w:rPr>
                <w:sz w:val="12"/>
                <w:szCs w:val="12"/>
                <w:color w:val="auto"/>
              </w:rPr>
            </w:pP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line="143" w:lineRule="exact"/>
              <w:rPr>
                <w:sz w:val="20"/>
                <w:szCs w:val="20"/>
                <w:color w:val="auto"/>
              </w:rPr>
            </w:pPr>
            <w:r>
              <w:rPr>
                <w:rFonts w:ascii="Arial" w:cs="Arial" w:eastAsia="Arial" w:hAnsi="Arial"/>
                <w:sz w:val="14"/>
                <w:szCs w:val="14"/>
                <w:color w:val="auto"/>
              </w:rPr>
              <w:t>(50,222)</w:t>
            </w:r>
          </w:p>
        </w:tc>
        <w:tc>
          <w:tcPr>
            <w:tcW w:w="28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68"/>
              <w:spacing w:after="0" w:line="143" w:lineRule="exact"/>
              <w:rPr>
                <w:sz w:val="20"/>
                <w:szCs w:val="20"/>
                <w:color w:val="auto"/>
              </w:rPr>
            </w:pPr>
            <w:r>
              <w:rPr>
                <w:rFonts w:ascii="Arial" w:cs="Arial" w:eastAsia="Arial" w:hAnsi="Arial"/>
                <w:sz w:val="14"/>
                <w:szCs w:val="14"/>
                <w:color w:val="auto"/>
              </w:rPr>
              <w:t>216,675</w:t>
            </w:r>
          </w:p>
        </w:tc>
        <w:tc>
          <w:tcPr>
            <w:tcW w:w="260" w:type="dxa"/>
            <w:vAlign w:val="bottom"/>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ind w:right="28"/>
              <w:spacing w:after="0" w:line="143" w:lineRule="exact"/>
              <w:rPr>
                <w:sz w:val="20"/>
                <w:szCs w:val="20"/>
                <w:color w:val="auto"/>
              </w:rPr>
            </w:pPr>
            <w:r>
              <w:rPr>
                <w:rFonts w:ascii="Arial" w:cs="Arial" w:eastAsia="Arial" w:hAnsi="Arial"/>
                <w:sz w:val="14"/>
                <w:szCs w:val="14"/>
                <w:color w:val="auto"/>
              </w:rPr>
              <w:t>166,453</w:t>
            </w:r>
          </w:p>
        </w:tc>
        <w:tc>
          <w:tcPr>
            <w:tcW w:w="0" w:type="dxa"/>
            <w:vAlign w:val="bottom"/>
          </w:tcPr>
          <w:p>
            <w:pPr>
              <w:spacing w:after="0"/>
              <w:rPr>
                <w:sz w:val="1"/>
                <w:szCs w:val="1"/>
                <w:color w:val="auto"/>
              </w:rPr>
            </w:pPr>
          </w:p>
        </w:tc>
      </w:tr>
      <w:tr>
        <w:trPr>
          <w:trHeight w:val="166"/>
        </w:trPr>
        <w:tc>
          <w:tcPr>
            <w:tcW w:w="3680" w:type="dxa"/>
            <w:vAlign w:val="bottom"/>
          </w:tcPr>
          <w:p>
            <w:pPr>
              <w:spacing w:after="0" w:line="166" w:lineRule="exact"/>
              <w:rPr>
                <w:sz w:val="20"/>
                <w:szCs w:val="20"/>
                <w:color w:val="auto"/>
              </w:rPr>
            </w:pPr>
            <w:r>
              <w:rPr>
                <w:rFonts w:ascii="Arial" w:cs="Arial" w:eastAsia="Arial" w:hAnsi="Arial"/>
                <w:sz w:val="13"/>
                <w:szCs w:val="13"/>
                <w:color w:val="auto"/>
              </w:rPr>
              <w:t xml:space="preserve">Depreciation </w:t>
            </w:r>
            <w:r>
              <w:rPr>
                <w:rFonts w:ascii="Arial" w:cs="Arial" w:eastAsia="Arial" w:hAnsi="Arial"/>
                <w:sz w:val="19"/>
                <w:szCs w:val="19"/>
                <w:color w:val="auto"/>
                <w:vertAlign w:val="superscript"/>
              </w:rPr>
              <w:t>(6)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990,147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48,368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1,038,515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988,447</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48,020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1,036,467</w:t>
            </w:r>
          </w:p>
        </w:tc>
        <w:tc>
          <w:tcPr>
            <w:tcW w:w="0" w:type="dxa"/>
            <w:vAlign w:val="bottom"/>
          </w:tcPr>
          <w:p>
            <w:pPr>
              <w:spacing w:after="0"/>
              <w:rPr>
                <w:sz w:val="1"/>
                <w:szCs w:val="1"/>
                <w:color w:val="auto"/>
              </w:rPr>
            </w:pPr>
          </w:p>
        </w:tc>
      </w:tr>
      <w:tr>
        <w:trPr>
          <w:trHeight w:val="158"/>
        </w:trPr>
        <w:tc>
          <w:tcPr>
            <w:tcW w:w="3680" w:type="dxa"/>
            <w:vAlign w:val="bottom"/>
          </w:tcPr>
          <w:p>
            <w:pPr>
              <w:spacing w:after="0" w:line="158" w:lineRule="exact"/>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8"/>
              <w:spacing w:after="0" w:line="158" w:lineRule="exact"/>
              <w:rPr>
                <w:sz w:val="20"/>
                <w:szCs w:val="20"/>
                <w:color w:val="auto"/>
              </w:rPr>
            </w:pPr>
            <w:r>
              <w:rPr>
                <w:rFonts w:ascii="Arial" w:cs="Arial" w:eastAsia="Arial" w:hAnsi="Arial"/>
                <w:sz w:val="14"/>
                <w:szCs w:val="14"/>
                <w:color w:val="auto"/>
              </w:rPr>
              <w:t>48,685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68"/>
              <w:spacing w:after="0" w:line="158" w:lineRule="exact"/>
              <w:rPr>
                <w:sz w:val="20"/>
                <w:szCs w:val="20"/>
                <w:color w:val="auto"/>
              </w:rPr>
            </w:pPr>
            <w:r>
              <w:rPr>
                <w:rFonts w:ascii="Arial" w:cs="Arial" w:eastAsia="Arial" w:hAnsi="Arial"/>
                <w:sz w:val="14"/>
                <w:szCs w:val="14"/>
                <w:color w:val="auto"/>
              </w:rPr>
              <w:t>32,385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28"/>
              <w:spacing w:after="0" w:line="158" w:lineRule="exact"/>
              <w:rPr>
                <w:sz w:val="20"/>
                <w:szCs w:val="20"/>
                <w:color w:val="auto"/>
              </w:rPr>
            </w:pPr>
            <w:r>
              <w:rPr>
                <w:rFonts w:ascii="Arial" w:cs="Arial" w:eastAsia="Arial" w:hAnsi="Arial"/>
                <w:sz w:val="14"/>
                <w:szCs w:val="14"/>
                <w:color w:val="auto"/>
              </w:rPr>
              <w:t>81,070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68"/>
              <w:spacing w:after="0" w:line="158" w:lineRule="exact"/>
              <w:rPr>
                <w:sz w:val="20"/>
                <w:szCs w:val="20"/>
                <w:color w:val="auto"/>
              </w:rPr>
            </w:pPr>
            <w:r>
              <w:rPr>
                <w:rFonts w:ascii="Arial" w:cs="Arial" w:eastAsia="Arial" w:hAnsi="Arial"/>
                <w:sz w:val="14"/>
                <w:szCs w:val="14"/>
                <w:color w:val="auto"/>
              </w:rPr>
              <w:t>48,760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68"/>
              <w:spacing w:after="0" w:line="158" w:lineRule="exact"/>
              <w:rPr>
                <w:sz w:val="20"/>
                <w:szCs w:val="20"/>
                <w:color w:val="auto"/>
              </w:rPr>
            </w:pPr>
            <w:r>
              <w:rPr>
                <w:rFonts w:ascii="Arial" w:cs="Arial" w:eastAsia="Arial" w:hAnsi="Arial"/>
                <w:sz w:val="14"/>
                <w:szCs w:val="14"/>
                <w:color w:val="auto"/>
              </w:rPr>
              <w:t>31,625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28"/>
              <w:spacing w:after="0" w:line="158" w:lineRule="exact"/>
              <w:rPr>
                <w:sz w:val="20"/>
                <w:szCs w:val="20"/>
                <w:color w:val="auto"/>
              </w:rPr>
            </w:pPr>
            <w:r>
              <w:rPr>
                <w:rFonts w:ascii="Arial" w:cs="Arial" w:eastAsia="Arial" w:hAnsi="Arial"/>
                <w:sz w:val="14"/>
                <w:szCs w:val="14"/>
                <w:color w:val="auto"/>
              </w:rPr>
              <w:t>80,385</w:t>
            </w:r>
          </w:p>
        </w:tc>
        <w:tc>
          <w:tcPr>
            <w:tcW w:w="0" w:type="dxa"/>
            <w:vAlign w:val="bottom"/>
          </w:tcPr>
          <w:p>
            <w:pPr>
              <w:spacing w:after="0"/>
              <w:rPr>
                <w:sz w:val="1"/>
                <w:szCs w:val="1"/>
                <w:color w:val="auto"/>
              </w:rPr>
            </w:pPr>
          </w:p>
        </w:tc>
      </w:tr>
      <w:tr>
        <w:trPr>
          <w:trHeight w:val="162"/>
        </w:trPr>
        <w:tc>
          <w:tcPr>
            <w:tcW w:w="3680" w:type="dxa"/>
            <w:vAlign w:val="bottom"/>
          </w:tcPr>
          <w:p>
            <w:pPr>
              <w:spacing w:after="0" w:line="162" w:lineRule="exact"/>
              <w:rPr>
                <w:sz w:val="20"/>
                <w:szCs w:val="20"/>
                <w:color w:val="auto"/>
              </w:rPr>
            </w:pPr>
            <w:r>
              <w:rPr>
                <w:rFonts w:ascii="Arial" w:cs="Arial" w:eastAsia="Arial" w:hAnsi="Arial"/>
                <w:sz w:val="13"/>
                <w:szCs w:val="13"/>
                <w:color w:val="auto"/>
              </w:rPr>
              <w:t xml:space="preserve">Other than acquired intangible assets amortization </w:t>
            </w:r>
            <w:r>
              <w:rPr>
                <w:rFonts w:ascii="Arial" w:cs="Arial" w:eastAsia="Arial" w:hAnsi="Arial"/>
                <w:sz w:val="18"/>
                <w:szCs w:val="18"/>
                <w:color w:val="auto"/>
                <w:vertAlign w:val="superscript"/>
              </w:rPr>
              <w:t>(5)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37,321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22,611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59,932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41,373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19,034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60,407</w:t>
            </w:r>
          </w:p>
        </w:tc>
        <w:tc>
          <w:tcPr>
            <w:tcW w:w="0" w:type="dxa"/>
            <w:vAlign w:val="bottom"/>
          </w:tcPr>
          <w:p>
            <w:pPr>
              <w:spacing w:after="0"/>
              <w:rPr>
                <w:sz w:val="1"/>
                <w:szCs w:val="1"/>
                <w:color w:val="auto"/>
              </w:rPr>
            </w:pPr>
          </w:p>
        </w:tc>
      </w:tr>
      <w:tr>
        <w:trPr>
          <w:trHeight w:val="166"/>
        </w:trPr>
        <w:tc>
          <w:tcPr>
            <w:tcW w:w="3680" w:type="dxa"/>
            <w:vAlign w:val="bottom"/>
          </w:tcPr>
          <w:p>
            <w:pPr>
              <w:spacing w:after="0" w:line="166" w:lineRule="exact"/>
              <w:rPr>
                <w:sz w:val="20"/>
                <w:szCs w:val="20"/>
                <w:color w:val="auto"/>
              </w:rPr>
            </w:pPr>
            <w:r>
              <w:rPr>
                <w:rFonts w:ascii="Arial" w:cs="Arial" w:eastAsia="Arial" w:hAnsi="Arial"/>
                <w:sz w:val="13"/>
                <w:szCs w:val="13"/>
                <w:color w:val="auto"/>
              </w:rPr>
              <w:t xml:space="preserve">Acquisition and transaction related expenses </w:t>
            </w:r>
            <w:r>
              <w:rPr>
                <w:rFonts w:ascii="Arial" w:cs="Arial" w:eastAsia="Arial" w:hAnsi="Arial"/>
                <w:sz w:val="19"/>
                <w:szCs w:val="19"/>
                <w:color w:val="auto"/>
                <w:vertAlign w:val="superscript"/>
              </w:rPr>
              <w:t>(3)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19,691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4,701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24,392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50,807</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13,660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64,467</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Ground network impairment and related charges,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169,400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169,400</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Equity in income (loss) of unconsolidated affiliates,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4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15,348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15,348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13,228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13,228</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372</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(38,384)</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(38,012)</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(43,717)</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(43,837)</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20"/>
                <w:szCs w:val="20"/>
                <w:color w:val="auto"/>
              </w:rPr>
            </w:pPr>
            <w:r>
              <w:rPr>
                <w:rFonts w:ascii="Arial" w:cs="Arial" w:eastAsia="Arial" w:hAnsi="Arial"/>
                <w:sz w:val="14"/>
                <w:szCs w:val="14"/>
                <w:color w:val="auto"/>
              </w:rPr>
              <w:t>Adjusted EBITDA</w:t>
            </w: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1,264,117</w:t>
            </w: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285,965</w:t>
            </w:r>
          </w:p>
        </w:tc>
        <w:tc>
          <w:tcPr>
            <w:tcW w:w="36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1,550,082</w:t>
            </w: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1,261,673</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285,297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1,546,970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24" w:right="300" w:hanging="224"/>
        <w:spacing w:after="0" w:line="204" w:lineRule="auto"/>
        <w:tabs>
          <w:tab w:leader="none" w:pos="224"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Depreciation expenses not specifically recorded in a particular segment have been allocated based on other indirect allocable costs, which management believes is a reasonable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029450" cy="111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9450" cy="111125"/>
                    </a:xfrm>
                    <a:prstGeom prst="rect">
                      <a:avLst/>
                    </a:prstGeom>
                    <a:noFill/>
                  </pic:spPr>
                </pic:pic>
              </a:graphicData>
            </a:graphic>
          </wp:anchor>
        </w:drawing>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Shareholder Letter | Q4 Fiscal Year 2026       15</w:t>
      </w:r>
    </w:p>
    <w:p>
      <w:pPr>
        <w:sectPr>
          <w:pgSz w:w="11900" w:h="16838" w:orient="portrait"/>
          <w:cols w:equalWidth="0" w:num="1">
            <w:col w:w="11024"/>
          </w:cols>
          <w:pgMar w:left="436" w:top="250" w:right="439" w:bottom="1440" w:gutter="0" w:footer="0" w:header="0"/>
        </w:sectPr>
      </w:pPr>
    </w:p>
    <w:bookmarkStart w:id="20" w:name="page21"/>
    <w:bookmarkEnd w:id="20"/>
    <w:p>
      <w:pPr>
        <w:spacing w:after="0"/>
        <w:rPr>
          <w:sz w:val="20"/>
          <w:szCs w:val="20"/>
          <w:color w:val="auto"/>
        </w:rPr>
      </w:pPr>
      <w:r>
        <w:rPr>
          <w:rFonts w:ascii="Arial" w:cs="Arial" w:eastAsia="Arial" w:hAnsi="Arial"/>
          <w:sz w:val="35"/>
          <w:szCs w:val="3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 Quarter Fiscal Year 2026 Results (cont.)</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1020"/>
          </w:cols>
          <w:pgMar w:left="440" w:top="250" w:right="439" w:bottom="1440" w:gutter="0" w:footer="0" w:header="0"/>
        </w:sect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920" w:type="dxa"/>
            <w:vAlign w:val="bottom"/>
          </w:tcPr>
          <w:p>
            <w:pPr>
              <w:jc w:val="right"/>
              <w:ind w:right="328"/>
              <w:spacing w:after="0"/>
              <w:rPr>
                <w:sz w:val="20"/>
                <w:szCs w:val="20"/>
                <w:color w:val="auto"/>
              </w:rPr>
            </w:pPr>
            <w:r>
              <w:rPr>
                <w:rFonts w:ascii="Arial" w:cs="Arial" w:eastAsia="Arial" w:hAnsi="Arial"/>
                <w:sz w:val="14"/>
                <w:szCs w:val="14"/>
                <w:b w:val="1"/>
                <w:bCs w:val="1"/>
                <w:color w:val="auto"/>
              </w:rPr>
              <w:t>As of</w:t>
            </w:r>
          </w:p>
        </w:tc>
      </w:tr>
      <w:tr>
        <w:trPr>
          <w:trHeight w:val="171"/>
        </w:trPr>
        <w:tc>
          <w:tcPr>
            <w:tcW w:w="27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244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rPr>
              <w:t>  March 31, 2026     March 31, 2025</w:t>
            </w:r>
          </w:p>
        </w:tc>
      </w:tr>
      <w:tr>
        <w:trPr>
          <w:trHeight w:val="241"/>
        </w:trPr>
        <w:tc>
          <w:tcPr>
            <w:tcW w:w="276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tcPr>
          <w:p>
            <w:pPr>
              <w:spacing w:after="0"/>
              <w:rPr>
                <w:sz w:val="20"/>
                <w:szCs w:val="20"/>
                <w:color w:val="auto"/>
              </w:rPr>
            </w:pPr>
            <w:r>
              <w:rPr>
                <w:rFonts w:ascii="Arial" w:cs="Arial" w:eastAsia="Arial" w:hAnsi="Arial"/>
                <w:sz w:val="14"/>
                <w:szCs w:val="14"/>
                <w:color w:val="auto"/>
              </w:rPr>
              <w:t>   $</w:t>
            </w:r>
          </w:p>
        </w:tc>
        <w:tc>
          <w:tcPr>
            <w:tcW w:w="1260" w:type="dxa"/>
            <w:vAlign w:val="bottom"/>
            <w:gridSpan w:val="3"/>
          </w:tcPr>
          <w:p>
            <w:pPr>
              <w:jc w:val="right"/>
              <w:ind w:right="140"/>
              <w:spacing w:after="0"/>
              <w:rPr>
                <w:sz w:val="20"/>
                <w:szCs w:val="20"/>
                <w:color w:val="auto"/>
              </w:rPr>
            </w:pPr>
            <w:r>
              <w:rPr>
                <w:rFonts w:ascii="Arial" w:cs="Arial" w:eastAsia="Arial" w:hAnsi="Arial"/>
                <w:sz w:val="14"/>
                <w:szCs w:val="14"/>
                <w:color w:val="auto"/>
              </w:rPr>
              <w:t>1,746,835    $</w:t>
            </w:r>
          </w:p>
        </w:tc>
        <w:tc>
          <w:tcPr>
            <w:tcW w:w="920" w:type="dxa"/>
            <w:vAlign w:val="bottom"/>
          </w:tcPr>
          <w:p>
            <w:pPr>
              <w:jc w:val="right"/>
              <w:spacing w:after="0"/>
              <w:rPr>
                <w:sz w:val="20"/>
                <w:szCs w:val="20"/>
                <w:color w:val="auto"/>
              </w:rPr>
            </w:pPr>
            <w:r>
              <w:rPr>
                <w:rFonts w:ascii="Arial" w:cs="Arial" w:eastAsia="Arial" w:hAnsi="Arial"/>
                <w:sz w:val="14"/>
                <w:szCs w:val="14"/>
                <w:color w:val="auto"/>
              </w:rPr>
              <w:t>1,612,105</w:t>
            </w: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753,430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699,552</w:t>
            </w: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281,220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293,943</w:t>
            </w:r>
          </w:p>
        </w:tc>
      </w:tr>
      <w:tr>
        <w:trPr>
          <w:trHeight w:val="171"/>
        </w:trPr>
        <w:tc>
          <w:tcPr>
            <w:tcW w:w="276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342,522</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282,343</w:t>
            </w:r>
          </w:p>
        </w:tc>
      </w:tr>
      <w:tr>
        <w:trPr>
          <w:trHeight w:val="188"/>
        </w:trPr>
        <w:tc>
          <w:tcPr>
            <w:tcW w:w="2760" w:type="dxa"/>
            <w:vAlign w:val="bottom"/>
          </w:tcPr>
          <w:p>
            <w:pPr>
              <w:spacing w:after="0"/>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3,124,007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2,887,943</w:t>
            </w:r>
          </w:p>
        </w:tc>
      </w:tr>
      <w:tr>
        <w:trPr>
          <w:trHeight w:val="836"/>
        </w:trPr>
        <w:tc>
          <w:tcPr>
            <w:tcW w:w="2760" w:type="dxa"/>
            <w:vAlign w:val="bottom"/>
          </w:tcPr>
          <w:p>
            <w:pPr>
              <w:spacing w:after="0"/>
              <w:rPr>
                <w:sz w:val="20"/>
                <w:szCs w:val="20"/>
                <w:color w:val="auto"/>
              </w:rPr>
            </w:pPr>
            <w:r>
              <w:rPr>
                <w:rFonts w:ascii="Arial" w:cs="Arial" w:eastAsia="Arial" w:hAnsi="Arial"/>
                <w:sz w:val="14"/>
                <w:szCs w:val="14"/>
                <w:color w:val="auto"/>
              </w:rPr>
              <w:t>Property, equipment and satellites, net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7,272,637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7,405,664</w:t>
            </w: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427,994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416,490</w:t>
            </w: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Acquired intangible assets, net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1,997,436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2,270,777</w:t>
            </w:r>
          </w:p>
        </w:tc>
      </w:tr>
      <w:tr>
        <w:trPr>
          <w:trHeight w:val="162"/>
        </w:trPr>
        <w:tc>
          <w:tcPr>
            <w:tcW w:w="2760" w:type="dxa"/>
            <w:vAlign w:val="bottom"/>
          </w:tcPr>
          <w:p>
            <w:pPr>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1,625,013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1,622,132</w:t>
            </w:r>
          </w:p>
        </w:tc>
      </w:tr>
      <w:tr>
        <w:trPr>
          <w:trHeight w:val="171"/>
        </w:trPr>
        <w:tc>
          <w:tcPr>
            <w:tcW w:w="2760" w:type="dxa"/>
            <w:vAlign w:val="bottom"/>
          </w:tcPr>
          <w:p>
            <w:pPr>
              <w:spacing w:after="0"/>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779,509</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845,778</w:t>
            </w:r>
          </w:p>
        </w:tc>
      </w:tr>
      <w:tr>
        <w:trPr>
          <w:trHeight w:val="169"/>
        </w:trPr>
        <w:tc>
          <w:tcPr>
            <w:tcW w:w="2760" w:type="dxa"/>
            <w:vAlign w:val="bottom"/>
          </w:tcPr>
          <w:p>
            <w:pPr>
              <w:spacing w:after="0"/>
              <w:rPr>
                <w:sz w:val="20"/>
                <w:szCs w:val="20"/>
                <w:color w:val="auto"/>
              </w:rPr>
            </w:pPr>
            <w:r>
              <w:rPr>
                <w:rFonts w:ascii="Arial" w:cs="Arial" w:eastAsia="Arial" w:hAnsi="Arial"/>
                <w:sz w:val="14"/>
                <w:szCs w:val="14"/>
                <w:color w:val="auto"/>
              </w:rPr>
              <w:t>Total assets</w:t>
            </w:r>
          </w:p>
        </w:tc>
        <w:tc>
          <w:tcPr>
            <w:tcW w:w="340" w:type="dxa"/>
            <w:vAlign w:val="bottom"/>
            <w:gridSpan w:val="2"/>
          </w:tcPr>
          <w:p>
            <w:pPr>
              <w:spacing w:after="0"/>
              <w:rPr>
                <w:sz w:val="20"/>
                <w:szCs w:val="20"/>
                <w:color w:val="auto"/>
              </w:rPr>
            </w:pPr>
            <w:r>
              <w:rPr>
                <w:rFonts w:ascii="Arial" w:cs="Arial" w:eastAsia="Arial" w:hAnsi="Arial"/>
                <w:sz w:val="14"/>
                <w:szCs w:val="14"/>
                <w:color w:val="auto"/>
              </w:rPr>
              <w:t>   $</w:t>
            </w:r>
          </w:p>
        </w:tc>
        <w:tc>
          <w:tcPr>
            <w:tcW w:w="1260" w:type="dxa"/>
            <w:vAlign w:val="bottom"/>
            <w:gridSpan w:val="3"/>
          </w:tcPr>
          <w:p>
            <w:pPr>
              <w:jc w:val="right"/>
              <w:ind w:right="140"/>
              <w:spacing w:after="0"/>
              <w:rPr>
                <w:sz w:val="20"/>
                <w:szCs w:val="20"/>
                <w:color w:val="auto"/>
              </w:rPr>
            </w:pPr>
            <w:r>
              <w:rPr>
                <w:rFonts w:ascii="Arial" w:cs="Arial" w:eastAsia="Arial" w:hAnsi="Arial"/>
                <w:sz w:val="14"/>
                <w:szCs w:val="14"/>
                <w:color w:val="auto"/>
              </w:rPr>
              <w:t>15,226,596    $</w:t>
            </w:r>
          </w:p>
        </w:tc>
        <w:tc>
          <w:tcPr>
            <w:tcW w:w="920" w:type="dxa"/>
            <w:vAlign w:val="bottom"/>
          </w:tcPr>
          <w:p>
            <w:pPr>
              <w:jc w:val="right"/>
              <w:spacing w:after="0"/>
              <w:rPr>
                <w:sz w:val="20"/>
                <w:szCs w:val="20"/>
                <w:color w:val="auto"/>
              </w:rPr>
            </w:pPr>
            <w:r>
              <w:rPr>
                <w:rFonts w:ascii="Arial" w:cs="Arial" w:eastAsia="Arial" w:hAnsi="Arial"/>
                <w:sz w:val="14"/>
                <w:szCs w:val="14"/>
                <w:color w:val="auto"/>
              </w:rPr>
              <w:t>15,448,784</w:t>
            </w:r>
          </w:p>
        </w:tc>
      </w:tr>
      <w:tr>
        <w:trPr>
          <w:trHeight w:val="20"/>
        </w:trPr>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rPr>
              <w:t>As of</w:t>
            </w:r>
          </w:p>
        </w:tc>
      </w:t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Liabilities and Equity</w:t>
            </w:r>
          </w:p>
        </w:tc>
        <w:tc>
          <w:tcPr>
            <w:tcW w:w="34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8"/>
              </w:rPr>
              <w:t>  March 31, 2026 </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  March 31, 2025</w:t>
            </w:r>
          </w:p>
        </w:tc>
      </w:tr>
      <w:tr>
        <w:trPr>
          <w:trHeight w:val="241"/>
        </w:trPr>
        <w:tc>
          <w:tcPr>
            <w:tcW w:w="2620" w:type="dxa"/>
            <w:vAlign w:val="bottom"/>
          </w:tcPr>
          <w:p>
            <w:pPr>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Accounts payable</w:t>
            </w: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   $</w:t>
            </w:r>
          </w:p>
        </w:tc>
        <w:tc>
          <w:tcPr>
            <w:tcW w:w="1240" w:type="dxa"/>
            <w:vAlign w:val="bottom"/>
            <w:gridSpan w:val="3"/>
          </w:tcPr>
          <w:p>
            <w:pPr>
              <w:ind w:left="340"/>
              <w:spacing w:after="0"/>
              <w:rPr>
                <w:sz w:val="20"/>
                <w:szCs w:val="20"/>
                <w:color w:val="auto"/>
              </w:rPr>
            </w:pPr>
            <w:r>
              <w:rPr>
                <w:rFonts w:ascii="Arial" w:cs="Arial" w:eastAsia="Arial" w:hAnsi="Arial"/>
                <w:sz w:val="14"/>
                <w:szCs w:val="14"/>
                <w:color w:val="auto"/>
              </w:rPr>
              <w:t>288,154    $</w:t>
            </w:r>
          </w:p>
        </w:tc>
        <w:tc>
          <w:tcPr>
            <w:tcW w:w="940" w:type="dxa"/>
            <w:vAlign w:val="bottom"/>
          </w:tcPr>
          <w:p>
            <w:pPr>
              <w:jc w:val="right"/>
              <w:spacing w:after="0"/>
              <w:rPr>
                <w:sz w:val="20"/>
                <w:szCs w:val="20"/>
                <w:color w:val="auto"/>
              </w:rPr>
            </w:pPr>
            <w:r>
              <w:rPr>
                <w:rFonts w:ascii="Arial" w:cs="Arial" w:eastAsia="Arial" w:hAnsi="Arial"/>
                <w:sz w:val="14"/>
                <w:szCs w:val="14"/>
                <w:color w:val="auto"/>
              </w:rPr>
              <w:t>264,300</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Accrued and other liabilities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951,192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908,529</w:t>
            </w:r>
          </w:p>
        </w:tc>
      </w:tr>
      <w:tr>
        <w:trPr>
          <w:trHeight w:val="171"/>
        </w:trPr>
        <w:tc>
          <w:tcPr>
            <w:tcW w:w="262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57,753</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503,825</w:t>
            </w:r>
          </w:p>
        </w:tc>
      </w:tr>
      <w:tr>
        <w:trPr>
          <w:trHeight w:val="188"/>
        </w:trPr>
        <w:tc>
          <w:tcPr>
            <w:tcW w:w="26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1,297,099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1,676,654</w:t>
            </w:r>
          </w:p>
        </w:tc>
      </w:tr>
      <w:tr>
        <w:trPr>
          <w:trHeight w:val="431"/>
        </w:trPr>
        <w:tc>
          <w:tcPr>
            <w:tcW w:w="2620" w:type="dxa"/>
            <w:vAlign w:val="bottom"/>
          </w:tcPr>
          <w:p>
            <w:pPr>
              <w:spacing w:after="0"/>
              <w:rPr>
                <w:sz w:val="20"/>
                <w:szCs w:val="20"/>
                <w:color w:val="auto"/>
              </w:rPr>
            </w:pPr>
            <w:r>
              <w:rPr>
                <w:rFonts w:ascii="Arial" w:cs="Arial" w:eastAsia="Arial" w:hAnsi="Arial"/>
                <w:sz w:val="14"/>
                <w:szCs w:val="14"/>
                <w:color w:val="auto"/>
              </w:rPr>
              <w:t>Senior notes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3,664,848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3,652,882</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Other long-term debt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2,726,004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2,879,402</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Non-current operating lease liabilities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430,082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414,133</w:t>
            </w:r>
          </w:p>
        </w:tc>
      </w:tr>
      <w:tr>
        <w:trPr>
          <w:trHeight w:val="171"/>
        </w:trPr>
        <w:tc>
          <w:tcPr>
            <w:tcW w:w="2620" w:type="dxa"/>
            <w:vAlign w:val="bottom"/>
          </w:tcPr>
          <w:p>
            <w:pPr>
              <w:spacing w:after="0"/>
              <w:rPr>
                <w:sz w:val="20"/>
                <w:szCs w:val="20"/>
                <w:color w:val="auto"/>
              </w:rPr>
            </w:pPr>
            <w:r>
              <w:rPr>
                <w:rFonts w:ascii="Arial" w:cs="Arial" w:eastAsia="Arial" w:hAnsi="Arial"/>
                <w:sz w:val="14"/>
                <w:szCs w:val="14"/>
                <w:color w:val="auto"/>
              </w:rPr>
              <w:t>Other liabilities</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2,379,301</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2,181,153</w:t>
            </w:r>
          </w:p>
        </w:tc>
      </w:tr>
      <w:tr>
        <w:trPr>
          <w:trHeight w:val="169"/>
        </w:trPr>
        <w:tc>
          <w:tcPr>
            <w:tcW w:w="2620" w:type="dxa"/>
            <w:vAlign w:val="bottom"/>
          </w:tcPr>
          <w:p>
            <w:pPr>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10,497,334</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10,804,224</w:t>
            </w:r>
          </w:p>
        </w:tc>
      </w:tr>
      <w:tr>
        <w:trPr>
          <w:trHeight w:val="160"/>
        </w:trPr>
        <w:tc>
          <w:tcPr>
            <w:tcW w:w="2620" w:type="dxa"/>
            <w:vAlign w:val="bottom"/>
          </w:tcPr>
          <w:p>
            <w:pPr>
              <w:spacing w:after="0" w:line="160" w:lineRule="exact"/>
              <w:rPr>
                <w:sz w:val="20"/>
                <w:szCs w:val="20"/>
                <w:color w:val="auto"/>
              </w:rPr>
            </w:pPr>
            <w:r>
              <w:rPr>
                <w:rFonts w:ascii="Arial" w:cs="Arial" w:eastAsia="Arial" w:hAnsi="Arial"/>
                <w:sz w:val="14"/>
                <w:szCs w:val="14"/>
                <w:color w:val="auto"/>
              </w:rPr>
              <w:t>Total Viasat Inc. stockholders’ equity</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line="160" w:lineRule="exact"/>
              <w:rPr>
                <w:sz w:val="20"/>
                <w:szCs w:val="20"/>
                <w:color w:val="auto"/>
              </w:rPr>
            </w:pPr>
            <w:r>
              <w:rPr>
                <w:rFonts w:ascii="Arial" w:cs="Arial" w:eastAsia="Arial" w:hAnsi="Arial"/>
                <w:sz w:val="14"/>
                <w:szCs w:val="14"/>
                <w:color w:val="auto"/>
              </w:rPr>
              <w:t>4,660,301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line="160" w:lineRule="exact"/>
              <w:rPr>
                <w:sz w:val="20"/>
                <w:szCs w:val="20"/>
                <w:color w:val="auto"/>
              </w:rPr>
            </w:pPr>
            <w:r>
              <w:rPr>
                <w:rFonts w:ascii="Arial" w:cs="Arial" w:eastAsia="Arial" w:hAnsi="Arial"/>
                <w:sz w:val="14"/>
                <w:szCs w:val="14"/>
                <w:color w:val="auto"/>
              </w:rPr>
              <w:t>4,553,831</w:t>
            </w:r>
          </w:p>
        </w:tc>
      </w:tr>
      <w:tr>
        <w:trPr>
          <w:trHeight w:val="171"/>
        </w:trPr>
        <w:tc>
          <w:tcPr>
            <w:tcW w:w="2620" w:type="dxa"/>
            <w:vAlign w:val="bottom"/>
          </w:tcPr>
          <w:p>
            <w:pPr>
              <w:spacing w:after="0"/>
              <w:rPr>
                <w:sz w:val="20"/>
                <w:szCs w:val="20"/>
                <w:color w:val="auto"/>
              </w:rPr>
            </w:pPr>
            <w:r>
              <w:rPr>
                <w:rFonts w:ascii="Arial" w:cs="Arial" w:eastAsia="Arial" w:hAnsi="Arial"/>
                <w:sz w:val="14"/>
                <w:szCs w:val="14"/>
                <w:color w:val="auto"/>
              </w:rPr>
              <w:t>Noncontrolling interest in subsidiary</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68,961</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90,729</w:t>
            </w:r>
          </w:p>
        </w:tc>
      </w:tr>
      <w:tr>
        <w:trPr>
          <w:trHeight w:val="169"/>
        </w:trPr>
        <w:tc>
          <w:tcPr>
            <w:tcW w:w="2620" w:type="dxa"/>
            <w:vAlign w:val="bottom"/>
          </w:tcPr>
          <w:p>
            <w:pPr>
              <w:spacing w:after="0"/>
              <w:rPr>
                <w:sz w:val="20"/>
                <w:szCs w:val="20"/>
                <w:color w:val="auto"/>
              </w:rPr>
            </w:pPr>
            <w:r>
              <w:rPr>
                <w:rFonts w:ascii="Arial" w:cs="Arial" w:eastAsia="Arial" w:hAnsi="Arial"/>
                <w:sz w:val="14"/>
                <w:szCs w:val="14"/>
                <w:color w:val="auto"/>
              </w:rPr>
              <w:t>Total equity</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4,729,262</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4,644,560</w:t>
            </w:r>
          </w:p>
        </w:tc>
      </w:tr>
      <w:tr>
        <w:trPr>
          <w:trHeight w:val="169"/>
        </w:trPr>
        <w:tc>
          <w:tcPr>
            <w:tcW w:w="262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6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15,226,596</w:t>
            </w:r>
          </w:p>
        </w:tc>
        <w:tc>
          <w:tcPr>
            <w:tcW w:w="3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15,448,784</w:t>
            </w:r>
          </w:p>
        </w:tc>
      </w:tr>
      <w:tr>
        <w:trPr>
          <w:trHeight w:val="20"/>
        </w:trPr>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351155</wp:posOffset>
            </wp:positionV>
            <wp:extent cx="7029450" cy="111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9450" cy="111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340"/>
            <w:col w:w="5400"/>
          </w:cols>
          <w:pgMar w:left="440" w:top="250" w:right="4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7920"/>
        <w:spacing w:after="0"/>
        <w:rPr>
          <w:sz w:val="20"/>
          <w:szCs w:val="20"/>
          <w:color w:val="auto"/>
        </w:rPr>
      </w:pPr>
      <w:r>
        <w:rPr>
          <w:rFonts w:ascii="Arial" w:cs="Arial" w:eastAsia="Arial" w:hAnsi="Arial"/>
          <w:sz w:val="14"/>
          <w:szCs w:val="14"/>
          <w:color w:val="auto"/>
        </w:rPr>
        <w:t>Shareholder Letter | Q4 Fiscal Year 2026       16</w:t>
      </w:r>
    </w:p>
    <w:p>
      <w:pPr>
        <w:sectPr>
          <w:pgSz w:w="11900" w:h="16838" w:orient="portrait"/>
          <w:cols w:equalWidth="0" w:num="1">
            <w:col w:w="11020"/>
          </w:cols>
          <w:pgMar w:left="440" w:top="250" w:right="4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Non-GAAP Financial Reconciliation</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 ITEMIZED RECONCILIATION BETWEEN NET INCOME (LOSS) ATTRIBUTABLE TO VIASAT, INC.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AND ADJUSTED EBITDA IS AS FOLLOWS: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00" w:type="dxa"/>
            <w:vAlign w:val="bottom"/>
            <w:vMerge w:val="restart"/>
          </w:tcPr>
          <w:p>
            <w:pPr>
              <w:spacing w:after="0"/>
              <w:rPr>
                <w:sz w:val="20"/>
                <w:szCs w:val="20"/>
                <w:color w:val="auto"/>
              </w:rPr>
            </w:pPr>
            <w:r>
              <w:rPr>
                <w:rFonts w:ascii="Arial" w:cs="Arial" w:eastAsia="Arial" w:hAnsi="Arial"/>
                <w:sz w:val="14"/>
                <w:szCs w:val="14"/>
                <w:color w:val="auto"/>
              </w:rPr>
              <w:t>GAAP net income (loss) attributable</w:t>
            </w:r>
          </w:p>
        </w:tc>
        <w:tc>
          <w:tcPr>
            <w:tcW w:w="11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8"/>
              </w:rPr>
              <w:t>  March 31, 2026 </w:t>
            </w:r>
          </w:p>
        </w:tc>
        <w:tc>
          <w:tcPr>
            <w:tcW w:w="460" w:type="dxa"/>
            <w:vAlign w:val="bottom"/>
          </w:tcPr>
          <w:p>
            <w:pPr>
              <w:spacing w:after="0"/>
              <w:rPr>
                <w:sz w:val="13"/>
                <w:szCs w:val="13"/>
                <w:color w:val="auto"/>
              </w:rPr>
            </w:pPr>
          </w:p>
        </w:tc>
        <w:tc>
          <w:tcPr>
            <w:tcW w:w="14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 xml:space="preserve">  December 31, 2025 </w:t>
            </w:r>
          </w:p>
        </w:tc>
        <w:tc>
          <w:tcPr>
            <w:tcW w:w="460" w:type="dxa"/>
            <w:vAlign w:val="bottom"/>
          </w:tcPr>
          <w:p>
            <w:pPr>
              <w:spacing w:after="0"/>
              <w:rPr>
                <w:sz w:val="13"/>
                <w:szCs w:val="13"/>
                <w:color w:val="auto"/>
              </w:rPr>
            </w:pPr>
          </w:p>
        </w:tc>
        <w:tc>
          <w:tcPr>
            <w:tcW w:w="15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 xml:space="preserve">  September 30, 2025 </w:t>
            </w:r>
          </w:p>
        </w:tc>
        <w:tc>
          <w:tcPr>
            <w:tcW w:w="460" w:type="dxa"/>
            <w:vAlign w:val="bottom"/>
          </w:tcPr>
          <w:p>
            <w:pPr>
              <w:spacing w:after="0"/>
              <w:rPr>
                <w:sz w:val="13"/>
                <w:szCs w:val="13"/>
                <w:color w:val="auto"/>
              </w:rPr>
            </w:pPr>
          </w:p>
        </w:tc>
        <w:tc>
          <w:tcPr>
            <w:tcW w:w="10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  June 30, 2025 </w:t>
            </w:r>
          </w:p>
        </w:tc>
        <w:tc>
          <w:tcPr>
            <w:tcW w:w="460" w:type="dxa"/>
            <w:vAlign w:val="bottom"/>
          </w:tcPr>
          <w:p>
            <w:pPr>
              <w:spacing w:after="0"/>
              <w:rPr>
                <w:sz w:val="13"/>
                <w:szCs w:val="13"/>
                <w:color w:val="auto"/>
              </w:rPr>
            </w:pPr>
          </w:p>
        </w:tc>
        <w:tc>
          <w:tcPr>
            <w:tcW w:w="11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  March 31, 2025</w:t>
            </w:r>
          </w:p>
        </w:tc>
        <w:tc>
          <w:tcPr>
            <w:tcW w:w="0" w:type="dxa"/>
            <w:vAlign w:val="bottom"/>
          </w:tcPr>
          <w:p>
            <w:pPr>
              <w:spacing w:after="0"/>
              <w:rPr>
                <w:sz w:val="1"/>
                <w:szCs w:val="1"/>
                <w:color w:val="auto"/>
              </w:rPr>
            </w:pPr>
          </w:p>
        </w:tc>
      </w:tr>
      <w:tr>
        <w:trPr>
          <w:trHeight w:val="133"/>
        </w:trPr>
        <w:tc>
          <w:tcPr>
            <w:tcW w:w="2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to Viasat, Inc.</w:t>
            </w:r>
          </w:p>
        </w:tc>
        <w:tc>
          <w:tcPr>
            <w:tcW w:w="280" w:type="dxa"/>
            <w:vAlign w:val="bottom"/>
          </w:tcPr>
          <w:p>
            <w:pPr>
              <w:spacing w:after="0"/>
              <w:rPr>
                <w:sz w:val="20"/>
                <w:szCs w:val="20"/>
                <w:color w:val="auto"/>
              </w:rPr>
            </w:pPr>
            <w:r>
              <w:rPr>
                <w:rFonts w:ascii="Arial" w:cs="Arial" w:eastAsia="Arial" w:hAnsi="Arial"/>
                <w:sz w:val="14"/>
                <w:szCs w:val="14"/>
                <w:color w:val="auto"/>
              </w:rPr>
              <w:t> $</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58,824</w:t>
            </w:r>
          </w:p>
        </w:tc>
        <w:tc>
          <w:tcPr>
            <w:tcW w:w="88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24,968</w:t>
            </w:r>
          </w:p>
        </w:tc>
        <w:tc>
          <w:tcPr>
            <w:tcW w:w="46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 $</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(61,444)</w:t>
            </w:r>
          </w:p>
        </w:tc>
        <w:tc>
          <w:tcPr>
            <w:tcW w:w="72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(56,434)</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(246,053)</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Provision for (benefit from) income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taxes</w:t>
            </w:r>
          </w:p>
        </w:tc>
        <w:tc>
          <w:tcPr>
            <w:tcW w:w="2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40,081</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58,670</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10,862</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6,610</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3,758</w:t>
            </w:r>
          </w:p>
        </w:tc>
        <w:tc>
          <w:tcPr>
            <w:tcW w:w="0" w:type="dxa"/>
            <w:vAlign w:val="bottom"/>
          </w:tcPr>
          <w:p>
            <w:pPr>
              <w:spacing w:after="0"/>
              <w:rPr>
                <w:sz w:val="1"/>
                <w:szCs w:val="1"/>
                <w:color w:val="auto"/>
              </w:rPr>
            </w:pPr>
          </w:p>
        </w:tc>
      </w:tr>
      <w:tr>
        <w:trPr>
          <w:trHeight w:val="158"/>
        </w:trPr>
        <w:tc>
          <w:tcPr>
            <w:tcW w:w="2800" w:type="dxa"/>
            <w:vAlign w:val="bottom"/>
          </w:tcPr>
          <w:p>
            <w:pPr>
              <w:spacing w:after="0" w:line="158" w:lineRule="exact"/>
              <w:rPr>
                <w:sz w:val="20"/>
                <w:szCs w:val="20"/>
                <w:color w:val="auto"/>
              </w:rPr>
            </w:pPr>
            <w:r>
              <w:rPr>
                <w:rFonts w:ascii="Arial" w:cs="Arial" w:eastAsia="Arial" w:hAnsi="Arial"/>
                <w:sz w:val="14"/>
                <w:szCs w:val="14"/>
                <w:color w:val="auto"/>
              </w:rPr>
              <w:t>Interest expense (income), net</w:t>
            </w:r>
          </w:p>
        </w:tc>
        <w:tc>
          <w:tcPr>
            <w:tcW w:w="280" w:type="dxa"/>
            <w:vAlign w:val="bottom"/>
          </w:tcPr>
          <w:p>
            <w:pPr>
              <w:spacing w:after="0"/>
              <w:rPr>
                <w:sz w:val="13"/>
                <w:szCs w:val="13"/>
                <w:color w:val="auto"/>
              </w:rPr>
            </w:pPr>
          </w:p>
        </w:tc>
        <w:tc>
          <w:tcPr>
            <w:tcW w:w="900" w:type="dxa"/>
            <w:vAlign w:val="bottom"/>
          </w:tcPr>
          <w:p>
            <w:pPr>
              <w:jc w:val="right"/>
              <w:ind w:right="68"/>
              <w:spacing w:after="0" w:line="158" w:lineRule="exact"/>
              <w:rPr>
                <w:sz w:val="20"/>
                <w:szCs w:val="20"/>
                <w:color w:val="auto"/>
              </w:rPr>
            </w:pPr>
            <w:r>
              <w:rPr>
                <w:rFonts w:ascii="Arial" w:cs="Arial" w:eastAsia="Arial" w:hAnsi="Arial"/>
                <w:sz w:val="14"/>
                <w:szCs w:val="14"/>
                <w:color w:val="auto"/>
              </w:rPr>
              <w:t>65,484</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right"/>
              <w:ind w:right="48"/>
              <w:spacing w:after="0" w:line="158" w:lineRule="exact"/>
              <w:rPr>
                <w:sz w:val="20"/>
                <w:szCs w:val="20"/>
                <w:color w:val="auto"/>
              </w:rPr>
            </w:pPr>
            <w:r>
              <w:rPr>
                <w:rFonts w:ascii="Arial" w:cs="Arial" w:eastAsia="Arial" w:hAnsi="Arial"/>
                <w:sz w:val="14"/>
                <w:szCs w:val="14"/>
                <w:color w:val="auto"/>
              </w:rPr>
              <w:t>(78,112)</w:t>
            </w: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ind w:right="108"/>
              <w:spacing w:after="0" w:line="158" w:lineRule="exact"/>
              <w:rPr>
                <w:sz w:val="20"/>
                <w:szCs w:val="20"/>
                <w:color w:val="auto"/>
              </w:rPr>
            </w:pPr>
            <w:r>
              <w:rPr>
                <w:rFonts w:ascii="Arial" w:cs="Arial" w:eastAsia="Arial" w:hAnsi="Arial"/>
                <w:sz w:val="14"/>
                <w:szCs w:val="14"/>
                <w:color w:val="auto"/>
              </w:rPr>
              <w:t>80,962</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68"/>
              <w:spacing w:after="0" w:line="158" w:lineRule="exact"/>
              <w:rPr>
                <w:sz w:val="20"/>
                <w:szCs w:val="20"/>
                <w:color w:val="auto"/>
              </w:rPr>
            </w:pPr>
            <w:r>
              <w:rPr>
                <w:rFonts w:ascii="Arial" w:cs="Arial" w:eastAsia="Arial" w:hAnsi="Arial"/>
                <w:sz w:val="14"/>
                <w:szCs w:val="14"/>
                <w:color w:val="auto"/>
              </w:rPr>
              <w:t>86,067</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88"/>
              <w:spacing w:after="0" w:line="158" w:lineRule="exact"/>
              <w:rPr>
                <w:sz w:val="20"/>
                <w:szCs w:val="20"/>
                <w:color w:val="auto"/>
              </w:rPr>
            </w:pPr>
            <w:r>
              <w:rPr>
                <w:rFonts w:ascii="Arial" w:cs="Arial" w:eastAsia="Arial" w:hAnsi="Arial"/>
                <w:sz w:val="14"/>
                <w:szCs w:val="14"/>
                <w:color w:val="auto"/>
              </w:rPr>
              <w:t>86,828</w:t>
            </w:r>
          </w:p>
        </w:tc>
        <w:tc>
          <w:tcPr>
            <w:tcW w:w="0" w:type="dxa"/>
            <w:vAlign w:val="bottom"/>
          </w:tcPr>
          <w:p>
            <w:pPr>
              <w:spacing w:after="0"/>
              <w:rPr>
                <w:sz w:val="1"/>
                <w:szCs w:val="1"/>
                <w:color w:val="auto"/>
              </w:rPr>
            </w:pPr>
          </w:p>
        </w:tc>
      </w:tr>
      <w:tr>
        <w:trPr>
          <w:trHeight w:val="166"/>
        </w:trPr>
        <w:tc>
          <w:tcPr>
            <w:tcW w:w="2800" w:type="dxa"/>
            <w:vAlign w:val="bottom"/>
          </w:tcPr>
          <w:p>
            <w:pPr>
              <w:spacing w:after="0" w:line="16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19"/>
                <w:szCs w:val="19"/>
                <w:color w:val="auto"/>
                <w:vertAlign w:val="superscript"/>
              </w:rPr>
              <w:t>(5)</w:t>
            </w:r>
          </w:p>
        </w:tc>
        <w:tc>
          <w:tcPr>
            <w:tcW w:w="2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347,327</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340,360</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329,128</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342,344</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337,182</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2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22,142</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24,099</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20,122</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14,707</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16,917</w:t>
            </w:r>
          </w:p>
        </w:tc>
        <w:tc>
          <w:tcPr>
            <w:tcW w:w="0" w:type="dxa"/>
            <w:vAlign w:val="bottom"/>
          </w:tcPr>
          <w:p>
            <w:pPr>
              <w:spacing w:after="0"/>
              <w:rPr>
                <w:sz w:val="1"/>
                <w:szCs w:val="1"/>
                <w:color w:val="auto"/>
              </w:rPr>
            </w:pPr>
          </w:p>
        </w:tc>
      </w:tr>
      <w:tr>
        <w:trPr>
          <w:trHeight w:val="158"/>
        </w:trPr>
        <w:tc>
          <w:tcPr>
            <w:tcW w:w="2800" w:type="dxa"/>
            <w:vAlign w:val="bottom"/>
          </w:tcPr>
          <w:p>
            <w:pPr>
              <w:spacing w:after="0" w:line="158" w:lineRule="exact"/>
              <w:rPr>
                <w:sz w:val="20"/>
                <w:szCs w:val="20"/>
                <w:color w:val="auto"/>
              </w:rPr>
            </w:pPr>
            <w:r>
              <w:rPr>
                <w:rFonts w:ascii="Arial" w:cs="Arial" w:eastAsia="Arial" w:hAnsi="Arial"/>
                <w:sz w:val="14"/>
                <w:szCs w:val="14"/>
                <w:color w:val="auto"/>
              </w:rPr>
              <w:t>Acquisition and transaction related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00" w:type="dxa"/>
            <w:vAlign w:val="bottom"/>
          </w:tcPr>
          <w:p>
            <w:pPr>
              <w:ind w:left="140"/>
              <w:spacing w:after="0" w:line="166" w:lineRule="exact"/>
              <w:rPr>
                <w:sz w:val="20"/>
                <w:szCs w:val="20"/>
                <w:color w:val="auto"/>
              </w:rPr>
            </w:pPr>
            <w:r>
              <w:rPr>
                <w:rFonts w:ascii="Arial" w:cs="Arial" w:eastAsia="Arial" w:hAnsi="Arial"/>
                <w:sz w:val="13"/>
                <w:szCs w:val="13"/>
                <w:color w:val="auto"/>
              </w:rPr>
              <w:t xml:space="preserve">expenses </w:t>
            </w:r>
            <w:r>
              <w:rPr>
                <w:rFonts w:ascii="Arial" w:cs="Arial" w:eastAsia="Arial" w:hAnsi="Arial"/>
                <w:sz w:val="19"/>
                <w:szCs w:val="19"/>
                <w:color w:val="auto"/>
                <w:vertAlign w:val="superscript"/>
              </w:rPr>
              <w:t>(3)</w:t>
            </w:r>
          </w:p>
        </w:tc>
        <w:tc>
          <w:tcPr>
            <w:tcW w:w="2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4,062</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5,525</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5,080</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9,725</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6,761</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Ground network impairment and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related charges, net</w:t>
            </w:r>
          </w:p>
        </w:tc>
        <w:tc>
          <w:tcPr>
            <w:tcW w:w="2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169,400</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Loss (gain) on extinguishment of</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debt, net</w:t>
            </w:r>
          </w:p>
        </w:tc>
        <w:tc>
          <w:tcPr>
            <w:tcW w:w="2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11,647</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288</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(Q4FY26 includes gain 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disposition of equity method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40"/>
              <w:spacing w:after="0"/>
              <w:rPr>
                <w:sz w:val="20"/>
                <w:szCs w:val="20"/>
                <w:color w:val="auto"/>
              </w:rPr>
            </w:pPr>
            <w:r>
              <w:rPr>
                <w:rFonts w:ascii="Arial" w:cs="Arial" w:eastAsia="Arial" w:hAnsi="Arial"/>
                <w:sz w:val="14"/>
                <w:szCs w:val="14"/>
                <w:color w:val="auto"/>
              </w:rPr>
              <w:t>investment)</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(168,062)</w:t>
            </w:r>
          </w:p>
        </w:tc>
        <w:tc>
          <w:tcPr>
            <w:tcW w:w="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4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5,164</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800" w:type="dxa"/>
            <w:vAlign w:val="bottom"/>
          </w:tcPr>
          <w:p>
            <w:pPr>
              <w:spacing w:after="0"/>
              <w:rPr>
                <w:sz w:val="20"/>
                <w:szCs w:val="20"/>
                <w:color w:val="auto"/>
              </w:rPr>
            </w:pPr>
            <w:r>
              <w:rPr>
                <w:rFonts w:ascii="Arial" w:cs="Arial" w:eastAsia="Arial" w:hAnsi="Arial"/>
                <w:sz w:val="14"/>
                <w:szCs w:val="14"/>
                <w:color w:val="auto"/>
              </w:rPr>
              <w:t>Adjusted EBITDA</w:t>
            </w:r>
          </w:p>
        </w:tc>
        <w:tc>
          <w:tcPr>
            <w:tcW w:w="280" w:type="dxa"/>
            <w:vAlign w:val="bottom"/>
          </w:tcPr>
          <w:p>
            <w:pPr>
              <w:spacing w:after="0"/>
              <w:rPr>
                <w:sz w:val="20"/>
                <w:szCs w:val="20"/>
                <w:color w:val="auto"/>
              </w:rPr>
            </w:pPr>
            <w:r>
              <w:rPr>
                <w:rFonts w:ascii="Arial" w:cs="Arial" w:eastAsia="Arial" w:hAnsi="Arial"/>
                <w:sz w:val="14"/>
                <w:szCs w:val="14"/>
                <w:color w:val="auto"/>
              </w:rPr>
              <w:t> $</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369,858</w:t>
            </w:r>
          </w:p>
        </w:tc>
        <w:tc>
          <w:tcPr>
            <w:tcW w:w="88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387,043</w:t>
            </w:r>
          </w:p>
        </w:tc>
        <w:tc>
          <w:tcPr>
            <w:tcW w:w="46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 $</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384,710</w:t>
            </w:r>
          </w:p>
        </w:tc>
        <w:tc>
          <w:tcPr>
            <w:tcW w:w="72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408,471</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374,793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20"/>
                <w:szCs w:val="20"/>
                <w:color w:val="auto"/>
              </w:rPr>
            </w:pPr>
            <w:r>
              <w:rPr>
                <w:rFonts w:ascii="Arial" w:cs="Arial" w:eastAsia="Arial" w:hAnsi="Arial"/>
                <w:sz w:val="14"/>
                <w:szCs w:val="14"/>
                <w:b w:val="1"/>
                <w:bCs w:val="1"/>
                <w:color w:val="auto"/>
              </w:rPr>
              <w:t>NET DEBT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118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March 31, 2026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December 31, 2025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gridSpan w:val="6"/>
          </w:tcPr>
          <w:p>
            <w:pPr>
              <w:jc w:val="right"/>
              <w:ind w:right="80"/>
              <w:spacing w:after="0" w:line="155" w:lineRule="exact"/>
              <w:rPr>
                <w:sz w:val="20"/>
                <w:szCs w:val="20"/>
                <w:color w:val="auto"/>
              </w:rPr>
            </w:pPr>
            <w:r>
              <w:rPr>
                <w:rFonts w:ascii="Arial" w:cs="Arial" w:eastAsia="Arial" w:hAnsi="Arial"/>
                <w:sz w:val="14"/>
                <w:szCs w:val="14"/>
                <w:b w:val="1"/>
                <w:bCs w:val="1"/>
                <w:color w:val="auto"/>
              </w:rPr>
              <w:t>September 30, 2025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7"/>
          </w:tcPr>
          <w:p>
            <w:pPr>
              <w:jc w:val="right"/>
              <w:ind w:right="520"/>
              <w:spacing w:after="0" w:line="155" w:lineRule="exact"/>
              <w:rPr>
                <w:sz w:val="20"/>
                <w:szCs w:val="20"/>
                <w:color w:val="auto"/>
              </w:rPr>
            </w:pPr>
            <w:r>
              <w:rPr>
                <w:rFonts w:ascii="Arial" w:cs="Arial" w:eastAsia="Arial" w:hAnsi="Arial"/>
                <w:sz w:val="14"/>
                <w:szCs w:val="14"/>
                <w:b w:val="1"/>
                <w:bCs w:val="1"/>
                <w:color w:val="auto"/>
              </w:rPr>
              <w:t>June 30, 2025</w:t>
            </w:r>
          </w:p>
        </w:tc>
        <w:tc>
          <w:tcPr>
            <w:tcW w:w="20" w:type="dxa"/>
            <w:vAlign w:val="bottom"/>
          </w:tcPr>
          <w:p>
            <w:pPr>
              <w:spacing w:after="0"/>
              <w:rPr>
                <w:sz w:val="13"/>
                <w:szCs w:val="13"/>
                <w:color w:val="auto"/>
              </w:rPr>
            </w:pPr>
          </w:p>
        </w:tc>
        <w:tc>
          <w:tcPr>
            <w:tcW w:w="118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146"/>
        </w:trPr>
        <w:tc>
          <w:tcPr>
            <w:tcW w:w="2800" w:type="dxa"/>
            <w:vAlign w:val="bottom"/>
          </w:tcPr>
          <w:p>
            <w:pPr>
              <w:spacing w:after="0" w:line="147" w:lineRule="exact"/>
              <w:rPr>
                <w:sz w:val="20"/>
                <w:szCs w:val="20"/>
                <w:color w:val="auto"/>
              </w:rPr>
            </w:pPr>
            <w:r>
              <w:rPr>
                <w:rFonts w:ascii="Arial" w:cs="Arial" w:eastAsia="Arial" w:hAnsi="Arial"/>
                <w:sz w:val="14"/>
                <w:szCs w:val="14"/>
                <w:color w:val="auto"/>
              </w:rPr>
              <w:t>Total debt</w:t>
            </w:r>
          </w:p>
        </w:tc>
        <w:tc>
          <w:tcPr>
            <w:tcW w:w="22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rPr>
              <w:t> $</w:t>
            </w:r>
          </w:p>
        </w:tc>
        <w:tc>
          <w:tcPr>
            <w:tcW w:w="960" w:type="dxa"/>
            <w:vAlign w:val="bottom"/>
            <w:tcBorders>
              <w:top w:val="single" w:sz="8" w:color="auto"/>
            </w:tcBorders>
            <w:gridSpan w:val="2"/>
          </w:tcPr>
          <w:p>
            <w:pPr>
              <w:jc w:val="right"/>
              <w:ind w:right="140"/>
              <w:spacing w:after="0" w:line="147" w:lineRule="exact"/>
              <w:rPr>
                <w:sz w:val="20"/>
                <w:szCs w:val="20"/>
                <w:color w:val="auto"/>
              </w:rPr>
            </w:pPr>
            <w:r>
              <w:rPr>
                <w:rFonts w:ascii="Arial" w:cs="Arial" w:eastAsia="Arial" w:hAnsi="Arial"/>
                <w:sz w:val="14"/>
                <w:szCs w:val="14"/>
                <w:color w:val="auto"/>
              </w:rPr>
              <w:t>6,585,115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rPr>
              <w:t> $</w:t>
            </w:r>
          </w:p>
        </w:tc>
        <w:tc>
          <w:tcPr>
            <w:tcW w:w="780" w:type="dxa"/>
            <w:vAlign w:val="bottom"/>
            <w:tcBorders>
              <w:top w:val="single" w:sz="8" w:color="auto"/>
            </w:tcBorders>
            <w:gridSpan w:val="2"/>
          </w:tcPr>
          <w:p>
            <w:pPr>
              <w:jc w:val="right"/>
              <w:ind w:right="68"/>
              <w:spacing w:after="0" w:line="147" w:lineRule="exact"/>
              <w:rPr>
                <w:sz w:val="20"/>
                <w:szCs w:val="20"/>
                <w:color w:val="auto"/>
              </w:rPr>
            </w:pPr>
            <w:r>
              <w:rPr>
                <w:rFonts w:ascii="Arial" w:cs="Arial" w:eastAsia="Arial" w:hAnsi="Arial"/>
                <w:sz w:val="14"/>
                <w:szCs w:val="14"/>
                <w:color w:val="auto"/>
                <w:w w:val="99"/>
              </w:rPr>
              <w:t>6,406,911</w:t>
            </w:r>
          </w:p>
        </w:tc>
        <w:tc>
          <w:tcPr>
            <w:tcW w:w="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top w:val="single" w:sz="8" w:color="auto"/>
            </w:tcBorders>
            <w:gridSpan w:val="2"/>
          </w:tcPr>
          <w:p>
            <w:pPr>
              <w:jc w:val="right"/>
              <w:ind w:right="160"/>
              <w:spacing w:after="0" w:line="147" w:lineRule="exact"/>
              <w:rPr>
                <w:sz w:val="20"/>
                <w:szCs w:val="20"/>
                <w:color w:val="auto"/>
              </w:rPr>
            </w:pPr>
            <w:r>
              <w:rPr>
                <w:rFonts w:ascii="Arial" w:cs="Arial" w:eastAsia="Arial" w:hAnsi="Arial"/>
                <w:sz w:val="14"/>
                <w:szCs w:val="14"/>
                <w:color w:val="auto"/>
                <w:w w:val="75"/>
              </w:rPr>
              <w:t> $</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80"/>
              <w:spacing w:after="0" w:line="147" w:lineRule="exact"/>
              <w:rPr>
                <w:sz w:val="20"/>
                <w:szCs w:val="20"/>
                <w:color w:val="auto"/>
              </w:rPr>
            </w:pPr>
            <w:r>
              <w:rPr>
                <w:rFonts w:ascii="Arial" w:cs="Arial" w:eastAsia="Arial" w:hAnsi="Arial"/>
                <w:sz w:val="14"/>
                <w:szCs w:val="14"/>
                <w:color w:val="auto"/>
              </w:rPr>
              <w:t>6,731,043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jc w:val="right"/>
              <w:ind w:right="128"/>
              <w:spacing w:after="0" w:line="147" w:lineRule="exact"/>
              <w:rPr>
                <w:sz w:val="20"/>
                <w:szCs w:val="20"/>
                <w:color w:val="auto"/>
              </w:rPr>
            </w:pPr>
            <w:r>
              <w:rPr>
                <w:rFonts w:ascii="Arial" w:cs="Arial" w:eastAsia="Arial" w:hAnsi="Arial"/>
                <w:sz w:val="14"/>
                <w:szCs w:val="14"/>
                <w:color w:val="auto"/>
                <w:w w:val="75"/>
              </w:rPr>
              <w:t> $</w:t>
            </w:r>
          </w:p>
        </w:tc>
        <w:tc>
          <w:tcPr>
            <w:tcW w:w="780" w:type="dxa"/>
            <w:vAlign w:val="bottom"/>
            <w:tcBorders>
              <w:top w:val="single" w:sz="8" w:color="auto"/>
            </w:tcBorders>
            <w:gridSpan w:val="4"/>
          </w:tcPr>
          <w:p>
            <w:pPr>
              <w:jc w:val="right"/>
              <w:ind w:right="68"/>
              <w:spacing w:after="0" w:line="147" w:lineRule="exact"/>
              <w:rPr>
                <w:sz w:val="20"/>
                <w:szCs w:val="20"/>
                <w:color w:val="auto"/>
              </w:rPr>
            </w:pPr>
            <w:r>
              <w:rPr>
                <w:rFonts w:ascii="Arial" w:cs="Arial" w:eastAsia="Arial" w:hAnsi="Arial"/>
                <w:sz w:val="14"/>
                <w:szCs w:val="14"/>
                <w:color w:val="auto"/>
                <w:w w:val="99"/>
              </w:rPr>
              <w:t>6,741,529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rPr>
              <w:t> $</w:t>
            </w:r>
          </w:p>
        </w:tc>
        <w:tc>
          <w:tcPr>
            <w:tcW w:w="70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7,204,275</w:t>
            </w: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20"/>
                <w:szCs w:val="20"/>
                <w:color w:val="auto"/>
              </w:rPr>
            </w:pPr>
            <w:r>
              <w:rPr>
                <w:rFonts w:ascii="Arial" w:cs="Arial" w:eastAsia="Arial" w:hAnsi="Arial"/>
                <w:sz w:val="14"/>
                <w:szCs w:val="14"/>
                <w:color w:val="auto"/>
              </w:rPr>
              <w:t>Less: cash and cash equivalents</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1,746,835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99"/>
              </w:rPr>
              <w:t>1,346,136</w:t>
            </w:r>
          </w:p>
        </w:tc>
        <w:tc>
          <w:tcPr>
            <w:tcW w:w="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1,230,074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color w:val="auto"/>
                <w:w w:val="99"/>
              </w:rPr>
              <w:t>1,177,492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1,612,105</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20"/>
                <w:szCs w:val="20"/>
                <w:color w:val="auto"/>
              </w:rPr>
            </w:pPr>
            <w:r>
              <w:rPr>
                <w:rFonts w:ascii="Arial" w:cs="Arial" w:eastAsia="Arial" w:hAnsi="Arial"/>
                <w:sz w:val="14"/>
                <w:szCs w:val="14"/>
                <w:color w:val="auto"/>
              </w:rPr>
              <w:t>Net debt</w:t>
            </w:r>
          </w:p>
        </w:tc>
        <w:tc>
          <w:tcPr>
            <w:tcW w:w="220" w:type="dxa"/>
            <w:vAlign w:val="bottom"/>
            <w:gridSpan w:val="2"/>
          </w:tcPr>
          <w:p>
            <w:pPr>
              <w:spacing w:after="0"/>
              <w:rPr>
                <w:sz w:val="20"/>
                <w:szCs w:val="20"/>
                <w:color w:val="auto"/>
              </w:rPr>
            </w:pPr>
            <w:r>
              <w:rPr>
                <w:rFonts w:ascii="Arial" w:cs="Arial" w:eastAsia="Arial" w:hAnsi="Arial"/>
                <w:sz w:val="14"/>
                <w:szCs w:val="14"/>
                <w:color w:val="auto"/>
              </w:rPr>
              <w:t> $</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4,838,280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ind w:left="240"/>
              <w:spacing w:after="0"/>
              <w:rPr>
                <w:sz w:val="20"/>
                <w:szCs w:val="20"/>
                <w:color w:val="auto"/>
              </w:rPr>
            </w:pPr>
            <w:r>
              <w:rPr>
                <w:rFonts w:ascii="Arial" w:cs="Arial" w:eastAsia="Arial" w:hAnsi="Arial"/>
                <w:sz w:val="14"/>
                <w:szCs w:val="14"/>
                <w:color w:val="auto"/>
              </w:rPr>
              <w:t> $</w:t>
            </w: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w w:val="99"/>
              </w:rPr>
              <w:t>5,060,775</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w w:val="75"/>
              </w:rPr>
              <w:t>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5,500,969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28"/>
              <w:spacing w:after="0"/>
              <w:rPr>
                <w:sz w:val="20"/>
                <w:szCs w:val="20"/>
                <w:color w:val="auto"/>
              </w:rPr>
            </w:pPr>
            <w:r>
              <w:rPr>
                <w:rFonts w:ascii="Arial" w:cs="Arial" w:eastAsia="Arial" w:hAnsi="Arial"/>
                <w:sz w:val="14"/>
                <w:szCs w:val="14"/>
                <w:color w:val="auto"/>
              </w:rPr>
              <w:t> $</w:t>
            </w:r>
          </w:p>
        </w:tc>
        <w:tc>
          <w:tcPr>
            <w:tcW w:w="780" w:type="dxa"/>
            <w:vAlign w:val="bottom"/>
            <w:gridSpan w:val="4"/>
          </w:tcPr>
          <w:p>
            <w:pPr>
              <w:jc w:val="right"/>
              <w:ind w:right="68"/>
              <w:spacing w:after="0"/>
              <w:rPr>
                <w:sz w:val="20"/>
                <w:szCs w:val="20"/>
                <w:color w:val="auto"/>
              </w:rPr>
            </w:pPr>
            <w:r>
              <w:rPr>
                <w:rFonts w:ascii="Arial" w:cs="Arial" w:eastAsia="Arial" w:hAnsi="Arial"/>
                <w:sz w:val="14"/>
                <w:szCs w:val="14"/>
                <w:color w:val="auto"/>
                <w:w w:val="99"/>
              </w:rPr>
              <w:t>5,564,037</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3"/>
          </w:tcPr>
          <w:p>
            <w:pPr>
              <w:ind w:left="20"/>
              <w:spacing w:after="0"/>
              <w:rPr>
                <w:sz w:val="20"/>
                <w:szCs w:val="20"/>
                <w:color w:val="auto"/>
              </w:rPr>
            </w:pPr>
            <w:r>
              <w:rPr>
                <w:rFonts w:ascii="Arial" w:cs="Arial" w:eastAsia="Arial" w:hAnsi="Arial"/>
                <w:sz w:val="14"/>
                <w:szCs w:val="14"/>
                <w:color w:val="auto"/>
              </w:rPr>
              <w:t> $</w:t>
            </w:r>
          </w:p>
        </w:tc>
        <w:tc>
          <w:tcPr>
            <w:tcW w:w="700" w:type="dxa"/>
            <w:vAlign w:val="bottom"/>
          </w:tcPr>
          <w:p>
            <w:pPr>
              <w:spacing w:after="0"/>
              <w:rPr>
                <w:sz w:val="20"/>
                <w:szCs w:val="20"/>
                <w:color w:val="auto"/>
              </w:rPr>
            </w:pPr>
            <w:r>
              <w:rPr>
                <w:rFonts w:ascii="Arial" w:cs="Arial" w:eastAsia="Arial" w:hAnsi="Arial"/>
                <w:sz w:val="14"/>
                <w:szCs w:val="14"/>
                <w:color w:val="auto"/>
              </w:rPr>
              <w:t>5,592,170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20" w:type="dxa"/>
            <w:vAlign w:val="bottom"/>
            <w:gridSpan w:val="18"/>
          </w:tcPr>
          <w:p>
            <w:pPr>
              <w:spacing w:after="0"/>
              <w:rPr>
                <w:sz w:val="20"/>
                <w:szCs w:val="20"/>
                <w:color w:val="auto"/>
              </w:rPr>
            </w:pPr>
            <w:r>
              <w:rPr>
                <w:rFonts w:ascii="Arial" w:cs="Arial" w:eastAsia="Arial" w:hAnsi="Arial"/>
                <w:sz w:val="14"/>
                <w:szCs w:val="14"/>
                <w:b w:val="1"/>
                <w:bCs w:val="1"/>
                <w:color w:val="auto"/>
              </w:rPr>
              <w:t>The following table reconciles free cash flow to Net cash provided by (used in) operating activities.</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46"/>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  March 31,</w:t>
            </w: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spacing w:after="0" w:line="147" w:lineRule="exact"/>
              <w:rPr>
                <w:sz w:val="20"/>
                <w:szCs w:val="20"/>
                <w:color w:val="auto"/>
              </w:rPr>
            </w:pPr>
            <w:r>
              <w:rPr>
                <w:rFonts w:ascii="Arial" w:cs="Arial" w:eastAsia="Arial" w:hAnsi="Arial"/>
                <w:sz w:val="14"/>
                <w:szCs w:val="14"/>
                <w:b w:val="1"/>
                <w:bCs w:val="1"/>
                <w:color w:val="auto"/>
              </w:rPr>
              <w:t>  December 31,</w:t>
            </w: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5"/>
          </w:tcPr>
          <w:p>
            <w:pPr>
              <w:ind w:left="20"/>
              <w:spacing w:after="0" w:line="147" w:lineRule="exact"/>
              <w:rPr>
                <w:sz w:val="20"/>
                <w:szCs w:val="20"/>
                <w:color w:val="auto"/>
              </w:rPr>
            </w:pPr>
            <w:r>
              <w:rPr>
                <w:rFonts w:ascii="Arial" w:cs="Arial" w:eastAsia="Arial" w:hAnsi="Arial"/>
                <w:sz w:val="14"/>
                <w:szCs w:val="14"/>
                <w:b w:val="1"/>
                <w:bCs w:val="1"/>
                <w:color w:val="auto"/>
              </w:rPr>
              <w:t>  September 30,</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360"/>
              <w:spacing w:after="0" w:line="147" w:lineRule="exact"/>
              <w:rPr>
                <w:sz w:val="20"/>
                <w:szCs w:val="20"/>
                <w:color w:val="auto"/>
              </w:rPr>
            </w:pPr>
            <w:r>
              <w:rPr>
                <w:rFonts w:ascii="Arial" w:cs="Arial" w:eastAsia="Arial" w:hAnsi="Arial"/>
                <w:sz w:val="14"/>
                <w:szCs w:val="14"/>
                <w:b w:val="1"/>
                <w:bCs w:val="1"/>
                <w:color w:val="auto"/>
                <w:w w:val="98"/>
              </w:rPr>
              <w:t>  June 30,</w:t>
            </w: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w w:val="95"/>
              </w:rPr>
              <w:t>  March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gridSpan w:val="4"/>
          </w:tcPr>
          <w:p>
            <w:pPr>
              <w:ind w:left="20"/>
              <w:spacing w:after="0" w:line="147" w:lineRule="exact"/>
              <w:rPr>
                <w:sz w:val="20"/>
                <w:szCs w:val="20"/>
                <w:color w:val="auto"/>
              </w:rPr>
            </w:pPr>
            <w:r>
              <w:rPr>
                <w:rFonts w:ascii="Arial" w:cs="Arial" w:eastAsia="Arial" w:hAnsi="Arial"/>
                <w:sz w:val="14"/>
                <w:szCs w:val="14"/>
                <w:b w:val="1"/>
                <w:bCs w:val="1"/>
                <w:color w:val="auto"/>
              </w:rPr>
              <w:t>  March 31,</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  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vMerge w:val="restart"/>
          </w:tcPr>
          <w:p>
            <w:pPr>
              <w:spacing w:after="0"/>
              <w:rPr>
                <w:sz w:val="20"/>
                <w:szCs w:val="20"/>
                <w:color w:val="auto"/>
              </w:rPr>
            </w:pPr>
            <w:r>
              <w:rPr>
                <w:rFonts w:ascii="Arial" w:cs="Arial" w:eastAsia="Arial" w:hAnsi="Arial"/>
                <w:sz w:val="14"/>
                <w:szCs w:val="14"/>
                <w:color w:val="auto"/>
              </w:rPr>
              <w:t>Net cash provided by (used 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2026 </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auto"/>
              </w:rPr>
              <w:t>2025 </w:t>
            </w:r>
          </w:p>
        </w:tc>
        <w:tc>
          <w:tcPr>
            <w:tcW w:w="300" w:type="dxa"/>
            <w:vAlign w:val="bottom"/>
          </w:tcPr>
          <w:p>
            <w:pPr>
              <w:spacing w:after="0"/>
              <w:rPr>
                <w:sz w:val="14"/>
                <w:szCs w:val="14"/>
                <w:color w:val="auto"/>
              </w:rPr>
            </w:pPr>
          </w:p>
        </w:tc>
        <w:tc>
          <w:tcPr>
            <w:tcW w:w="12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2025 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2025 </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9"/>
              </w:rPr>
              <w:t>2025 </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2026 </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2025 </w:t>
            </w:r>
          </w:p>
        </w:tc>
        <w:tc>
          <w:tcPr>
            <w:tcW w:w="0" w:type="dxa"/>
            <w:vAlign w:val="bottom"/>
          </w:tcPr>
          <w:p>
            <w:pPr>
              <w:spacing w:after="0"/>
              <w:rPr>
                <w:sz w:val="1"/>
                <w:szCs w:val="1"/>
                <w:color w:val="auto"/>
              </w:rPr>
            </w:pPr>
          </w:p>
        </w:tc>
      </w:tr>
      <w:tr>
        <w:trPr>
          <w:trHeight w:val="133"/>
        </w:trPr>
        <w:tc>
          <w:tcPr>
            <w:tcW w:w="2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operating activities</w:t>
            </w:r>
          </w:p>
        </w:tc>
        <w:tc>
          <w:tcPr>
            <w:tcW w:w="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 $</w:t>
            </w:r>
          </w:p>
        </w:tc>
        <w:tc>
          <w:tcPr>
            <w:tcW w:w="600" w:type="dxa"/>
            <w:vAlign w:val="bottom"/>
          </w:tcPr>
          <w:p>
            <w:pPr>
              <w:jc w:val="right"/>
              <w:spacing w:after="0"/>
              <w:rPr>
                <w:sz w:val="20"/>
                <w:szCs w:val="20"/>
                <w:color w:val="auto"/>
              </w:rPr>
            </w:pPr>
            <w:r>
              <w:rPr>
                <w:rFonts w:ascii="Arial" w:cs="Arial" w:eastAsia="Arial" w:hAnsi="Arial"/>
                <w:sz w:val="14"/>
                <w:szCs w:val="14"/>
                <w:color w:val="auto"/>
              </w:rPr>
              <w:t>322,295</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 $</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726,888</w:t>
            </w:r>
          </w:p>
        </w:tc>
        <w:tc>
          <w:tcPr>
            <w:tcW w:w="3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 $</w:t>
            </w:r>
          </w:p>
        </w:tc>
        <w:tc>
          <w:tcPr>
            <w:tcW w:w="760" w:type="dxa"/>
            <w:vAlign w:val="bottom"/>
            <w:gridSpan w:val="4"/>
          </w:tcPr>
          <w:p>
            <w:pPr>
              <w:jc w:val="right"/>
              <w:ind w:right="160"/>
              <w:spacing w:after="0"/>
              <w:rPr>
                <w:sz w:val="20"/>
                <w:szCs w:val="20"/>
                <w:color w:val="auto"/>
              </w:rPr>
            </w:pPr>
            <w:r>
              <w:rPr>
                <w:rFonts w:ascii="Arial" w:cs="Arial" w:eastAsia="Arial" w:hAnsi="Arial"/>
                <w:sz w:val="14"/>
                <w:szCs w:val="14"/>
                <w:color w:val="auto"/>
              </w:rPr>
              <w:t>282,242</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w w:val="94"/>
              </w:rPr>
              <w:t> $</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258,460</w:t>
            </w: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 $</w:t>
            </w:r>
          </w:p>
        </w:tc>
        <w:tc>
          <w:tcPr>
            <w:tcW w:w="820" w:type="dxa"/>
            <w:vAlign w:val="bottom"/>
            <w:gridSpan w:val="3"/>
          </w:tcPr>
          <w:p>
            <w:pPr>
              <w:jc w:val="right"/>
              <w:ind w:right="148"/>
              <w:spacing w:after="0"/>
              <w:rPr>
                <w:sz w:val="20"/>
                <w:szCs w:val="20"/>
                <w:color w:val="auto"/>
              </w:rPr>
            </w:pPr>
            <w:r>
              <w:rPr>
                <w:rFonts w:ascii="Arial" w:cs="Arial" w:eastAsia="Arial" w:hAnsi="Arial"/>
                <w:sz w:val="14"/>
                <w:szCs w:val="14"/>
                <w:color w:val="auto"/>
              </w:rPr>
              <w:t>298,443</w:t>
            </w:r>
          </w:p>
        </w:tc>
        <w:tc>
          <w:tcPr>
            <w:tcW w:w="280" w:type="dxa"/>
            <w:vAlign w:val="bottom"/>
            <w:gridSpan w:val="2"/>
          </w:tcPr>
          <w:p>
            <w:pPr>
              <w:ind w:left="160"/>
              <w:spacing w:after="0"/>
              <w:rPr>
                <w:sz w:val="20"/>
                <w:szCs w:val="20"/>
                <w:color w:val="auto"/>
              </w:rPr>
            </w:pPr>
            <w:r>
              <w:rPr>
                <w:rFonts w:ascii="Arial" w:cs="Arial" w:eastAsia="Arial" w:hAnsi="Arial"/>
                <w:sz w:val="14"/>
                <w:szCs w:val="14"/>
                <w:color w:val="auto"/>
                <w:w w:val="94"/>
              </w:rPr>
              <w:t> $</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1,589,885</w:t>
            </w:r>
          </w:p>
        </w:tc>
        <w:tc>
          <w:tcPr>
            <w:tcW w:w="20" w:type="dxa"/>
            <w:vAlign w:val="bottom"/>
          </w:tcPr>
          <w:p>
            <w:pPr>
              <w:spacing w:after="0"/>
              <w:rPr>
                <w:sz w:val="14"/>
                <w:szCs w:val="14"/>
                <w:color w:val="auto"/>
              </w:rPr>
            </w:pPr>
          </w:p>
        </w:tc>
        <w:tc>
          <w:tcPr>
            <w:tcW w:w="380" w:type="dxa"/>
            <w:vAlign w:val="bottom"/>
            <w:gridSpan w:val="2"/>
          </w:tcPr>
          <w:p>
            <w:pPr>
              <w:ind w:left="260"/>
              <w:spacing w:after="0"/>
              <w:rPr>
                <w:sz w:val="20"/>
                <w:szCs w:val="20"/>
                <w:color w:val="auto"/>
              </w:rPr>
            </w:pPr>
            <w:r>
              <w:rPr>
                <w:rFonts w:ascii="Arial" w:cs="Arial" w:eastAsia="Arial" w:hAnsi="Arial"/>
                <w:sz w:val="14"/>
                <w:szCs w:val="14"/>
                <w:color w:val="auto"/>
                <w:w w:val="94"/>
              </w:rPr>
              <w:t> $</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908,187</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Purchase of property, equipment and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satellites, and other assets (capital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40"/>
              <w:spacing w:after="0"/>
              <w:rPr>
                <w:sz w:val="20"/>
                <w:szCs w:val="20"/>
                <w:color w:val="auto"/>
              </w:rPr>
            </w:pPr>
            <w:r>
              <w:rPr>
                <w:rFonts w:ascii="Arial" w:cs="Arial" w:eastAsia="Arial" w:hAnsi="Arial"/>
                <w:sz w:val="14"/>
                <w:szCs w:val="14"/>
                <w:color w:val="auto"/>
              </w:rPr>
              <w:t>expenditures)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(298,341)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ind w:left="240"/>
              <w:spacing w:after="0"/>
              <w:rPr>
                <w:sz w:val="20"/>
                <w:szCs w:val="20"/>
                <w:color w:val="auto"/>
              </w:rPr>
            </w:pPr>
            <w:r>
              <w:rPr>
                <w:rFonts w:ascii="Arial" w:cs="Arial" w:eastAsia="Arial" w:hAnsi="Arial"/>
                <w:sz w:val="14"/>
                <w:szCs w:val="14"/>
                <w:color w:val="auto"/>
              </w:rPr>
              <w:t>(282,721)</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4"/>
                <w:szCs w:val="14"/>
                <w:color w:val="auto"/>
              </w:rPr>
              <w:t>(213,699)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(198,013)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88"/>
              <w:spacing w:after="0"/>
              <w:rPr>
                <w:sz w:val="20"/>
                <w:szCs w:val="20"/>
                <w:color w:val="auto"/>
              </w:rPr>
            </w:pPr>
            <w:r>
              <w:rPr>
                <w:rFonts w:ascii="Arial" w:cs="Arial" w:eastAsia="Arial" w:hAnsi="Arial"/>
                <w:sz w:val="14"/>
                <w:szCs w:val="14"/>
                <w:color w:val="auto"/>
              </w:rPr>
              <w:t>(247,723)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(992,774)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color w:val="auto"/>
              </w:rPr>
              <w:t>(1,030,182)</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4"/>
                <w:szCs w:val="14"/>
                <w:color w:val="auto"/>
              </w:rPr>
              <w:t>Free cash flow</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 $</w:t>
            </w:r>
          </w:p>
        </w:tc>
        <w:tc>
          <w:tcPr>
            <w:tcW w:w="600" w:type="dxa"/>
            <w:vAlign w:val="bottom"/>
          </w:tcPr>
          <w:p>
            <w:pPr>
              <w:jc w:val="right"/>
              <w:spacing w:after="0"/>
              <w:rPr>
                <w:sz w:val="20"/>
                <w:szCs w:val="20"/>
                <w:color w:val="auto"/>
              </w:rPr>
            </w:pPr>
            <w:r>
              <w:rPr>
                <w:rFonts w:ascii="Arial" w:cs="Arial" w:eastAsia="Arial" w:hAnsi="Arial"/>
                <w:sz w:val="14"/>
                <w:szCs w:val="14"/>
                <w:color w:val="auto"/>
              </w:rPr>
              <w:t>23,954</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 $</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444,167</w:t>
            </w:r>
          </w:p>
        </w:tc>
        <w:tc>
          <w:tcPr>
            <w:tcW w:w="3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 $</w:t>
            </w:r>
          </w:p>
        </w:tc>
        <w:tc>
          <w:tcPr>
            <w:tcW w:w="760" w:type="dxa"/>
            <w:vAlign w:val="bottom"/>
            <w:gridSpan w:val="4"/>
          </w:tcPr>
          <w:p>
            <w:pPr>
              <w:jc w:val="right"/>
              <w:ind w:right="160"/>
              <w:spacing w:after="0"/>
              <w:rPr>
                <w:sz w:val="20"/>
                <w:szCs w:val="20"/>
                <w:color w:val="auto"/>
              </w:rPr>
            </w:pPr>
            <w:r>
              <w:rPr>
                <w:rFonts w:ascii="Arial" w:cs="Arial" w:eastAsia="Arial" w:hAnsi="Arial"/>
                <w:sz w:val="14"/>
                <w:szCs w:val="14"/>
                <w:color w:val="auto"/>
              </w:rPr>
              <w:t>68,543</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w w:val="94"/>
              </w:rPr>
              <w:t> $</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60,447</w:t>
            </w: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 $</w:t>
            </w:r>
          </w:p>
        </w:tc>
        <w:tc>
          <w:tcPr>
            <w:tcW w:w="820" w:type="dxa"/>
            <w:vAlign w:val="bottom"/>
            <w:gridSpan w:val="3"/>
          </w:tcPr>
          <w:p>
            <w:pPr>
              <w:jc w:val="right"/>
              <w:ind w:right="148"/>
              <w:spacing w:after="0"/>
              <w:rPr>
                <w:sz w:val="20"/>
                <w:szCs w:val="20"/>
                <w:color w:val="auto"/>
              </w:rPr>
            </w:pPr>
            <w:r>
              <w:rPr>
                <w:rFonts w:ascii="Arial" w:cs="Arial" w:eastAsia="Arial" w:hAnsi="Arial"/>
                <w:sz w:val="14"/>
                <w:szCs w:val="14"/>
                <w:color w:val="auto"/>
              </w:rPr>
              <w:t>50,720</w:t>
            </w:r>
          </w:p>
        </w:tc>
        <w:tc>
          <w:tcPr>
            <w:tcW w:w="280" w:type="dxa"/>
            <w:vAlign w:val="bottom"/>
            <w:gridSpan w:val="2"/>
          </w:tcPr>
          <w:p>
            <w:pPr>
              <w:ind w:left="160"/>
              <w:spacing w:after="0"/>
              <w:rPr>
                <w:sz w:val="20"/>
                <w:szCs w:val="20"/>
                <w:color w:val="auto"/>
              </w:rPr>
            </w:pPr>
            <w:r>
              <w:rPr>
                <w:rFonts w:ascii="Arial" w:cs="Arial" w:eastAsia="Arial" w:hAnsi="Arial"/>
                <w:sz w:val="14"/>
                <w:szCs w:val="14"/>
                <w:color w:val="auto"/>
                <w:w w:val="94"/>
              </w:rPr>
              <w:t> $</w:t>
            </w: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597,111</w:t>
            </w:r>
          </w:p>
        </w:tc>
        <w:tc>
          <w:tcPr>
            <w:tcW w:w="20" w:type="dxa"/>
            <w:vAlign w:val="bottom"/>
          </w:tcPr>
          <w:p>
            <w:pPr>
              <w:spacing w:after="0"/>
              <w:rPr>
                <w:sz w:val="14"/>
                <w:szCs w:val="14"/>
                <w:color w:val="auto"/>
              </w:rPr>
            </w:pPr>
          </w:p>
        </w:tc>
        <w:tc>
          <w:tcPr>
            <w:tcW w:w="380" w:type="dxa"/>
            <w:vAlign w:val="bottom"/>
            <w:gridSpan w:val="2"/>
          </w:tcPr>
          <w:p>
            <w:pPr>
              <w:ind w:left="260"/>
              <w:spacing w:after="0"/>
              <w:rPr>
                <w:sz w:val="20"/>
                <w:szCs w:val="20"/>
                <w:color w:val="auto"/>
              </w:rPr>
            </w:pPr>
            <w:r>
              <w:rPr>
                <w:rFonts w:ascii="Arial" w:cs="Arial" w:eastAsia="Arial" w:hAnsi="Arial"/>
                <w:sz w:val="14"/>
                <w:szCs w:val="14"/>
                <w:color w:val="auto"/>
                <w:w w:val="94"/>
              </w:rPr>
              <w:t> $</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(121,995)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029450" cy="111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0" cy="111125"/>
                    </a:xfrm>
                    <a:prstGeom prst="rect">
                      <a:avLst/>
                    </a:prstGeom>
                    <a:noFill/>
                  </pic:spPr>
                </pic:pic>
              </a:graphicData>
            </a:graphic>
          </wp:anchor>
        </w:drawing>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Shareholder Letter | Q4 Fiscal Year 2026       17</w:t>
      </w:r>
    </w:p>
    <w:p>
      <w:pPr>
        <w:sectPr>
          <w:pgSz w:w="11900" w:h="16838" w:orient="portrait"/>
          <w:cols w:equalWidth="0" w:num="1">
            <w:col w:w="11020"/>
          </w:cols>
          <w:pgMar w:left="440" w:top="250" w:right="439" w:bottom="1440" w:gutter="0" w:footer="0" w:header="0"/>
        </w:sectPr>
      </w:pPr>
    </w:p>
    <w:bookmarkStart w:id="22" w:name="page23"/>
    <w:bookmarkEnd w:id="22"/>
    <w:p>
      <w:pPr>
        <w:spacing w:after="0"/>
        <w:rPr>
          <w:sz w:val="20"/>
          <w:szCs w:val="20"/>
          <w:color w:val="auto"/>
        </w:rPr>
      </w:pPr>
      <w:r>
        <w:rPr>
          <w:rFonts w:ascii="Arial" w:cs="Arial" w:eastAsia="Arial" w:hAnsi="Arial"/>
          <w:sz w:val="36"/>
          <w:szCs w:val="3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Segment Financial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Twelve months ended</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vMerge w:val="restart"/>
          </w:tcPr>
          <w:p>
            <w:pPr>
              <w:spacing w:after="0"/>
              <w:rPr>
                <w:sz w:val="20"/>
                <w:szCs w:val="20"/>
                <w:color w:val="auto"/>
              </w:rPr>
            </w:pPr>
            <w:r>
              <w:rPr>
                <w:rFonts w:ascii="Arial" w:cs="Arial" w:eastAsia="Arial" w:hAnsi="Arial"/>
                <w:sz w:val="14"/>
                <w:szCs w:val="14"/>
                <w:color w:val="auto"/>
              </w:rPr>
              <w:t>Revenues:</w:t>
            </w:r>
          </w:p>
        </w:tc>
        <w:tc>
          <w:tcPr>
            <w:tcW w:w="16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  March 31, 2026 </w:t>
            </w:r>
          </w:p>
        </w:tc>
        <w:tc>
          <w:tcPr>
            <w:tcW w:w="1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8"/>
              </w:rPr>
              <w:t>  March 31, 2025 </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  March 31, 2026 </w:t>
            </w:r>
          </w:p>
        </w:tc>
        <w:tc>
          <w:tcPr>
            <w:tcW w:w="1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8"/>
              </w:rPr>
              <w:t>  March 31, 2025 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20" w:type="dxa"/>
            <w:vAlign w:val="bottom"/>
            <w:vMerge w:val="continue"/>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80"/>
              <w:spacing w:after="0"/>
              <w:rPr>
                <w:sz w:val="20"/>
                <w:szCs w:val="20"/>
                <w:color w:val="auto"/>
              </w:rPr>
            </w:pPr>
            <w:r>
              <w:rPr>
                <w:rFonts w:ascii="Arial" w:cs="Arial" w:eastAsia="Arial" w:hAnsi="Arial"/>
                <w:sz w:val="14"/>
                <w:szCs w:val="14"/>
                <w:color w:val="auto"/>
              </w:rPr>
              <w:t>Communication services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580"/>
              <w:spacing w:after="0"/>
              <w:rPr>
                <w:sz w:val="20"/>
                <w:szCs w:val="20"/>
                <w:color w:val="auto"/>
              </w:rPr>
            </w:pPr>
            <w:r>
              <w:rPr>
                <w:rFonts w:ascii="Arial" w:cs="Arial" w:eastAsia="Arial" w:hAnsi="Arial"/>
                <w:sz w:val="14"/>
                <w:szCs w:val="14"/>
                <w:color w:val="auto"/>
              </w:rPr>
              <w:t>Aviation services</w:t>
            </w:r>
          </w:p>
        </w:tc>
        <w:tc>
          <w:tcPr>
            <w:tcW w:w="340" w:type="dxa"/>
            <w:vAlign w:val="bottom"/>
          </w:tcPr>
          <w:p>
            <w:pPr>
              <w:spacing w:after="0"/>
              <w:rPr>
                <w:sz w:val="20"/>
                <w:szCs w:val="20"/>
                <w:color w:val="auto"/>
              </w:rPr>
            </w:pPr>
            <w:r>
              <w:rPr>
                <w:rFonts w:ascii="Arial" w:cs="Arial" w:eastAsia="Arial" w:hAnsi="Arial"/>
                <w:sz w:val="14"/>
                <w:szCs w:val="14"/>
                <w:color w:val="auto"/>
              </w:rPr>
              <w:t> $</w:t>
            </w:r>
          </w:p>
        </w:tc>
        <w:tc>
          <w:tcPr>
            <w:tcW w:w="840" w:type="dxa"/>
            <w:vAlign w:val="bottom"/>
          </w:tcPr>
          <w:p>
            <w:pPr>
              <w:jc w:val="right"/>
              <w:spacing w:after="0"/>
              <w:rPr>
                <w:sz w:val="20"/>
                <w:szCs w:val="20"/>
                <w:color w:val="auto"/>
              </w:rPr>
            </w:pPr>
            <w:r>
              <w:rPr>
                <w:rFonts w:ascii="Arial" w:cs="Arial" w:eastAsia="Arial" w:hAnsi="Arial"/>
                <w:sz w:val="14"/>
                <w:szCs w:val="14"/>
                <w:color w:val="auto"/>
              </w:rPr>
              <w:t>294,109</w:t>
            </w:r>
          </w:p>
        </w:tc>
        <w:tc>
          <w:tcPr>
            <w:tcW w:w="4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rPr>
              <w:t> $</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265,203</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 $</w:t>
            </w: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1,191,426</w:t>
            </w:r>
          </w:p>
        </w:tc>
        <w:tc>
          <w:tcPr>
            <w:tcW w:w="520" w:type="dxa"/>
            <w:vAlign w:val="bottom"/>
          </w:tcPr>
          <w:p>
            <w:pPr>
              <w:spacing w:after="0"/>
              <w:rPr>
                <w:sz w:val="20"/>
                <w:szCs w:val="20"/>
                <w:color w:val="auto"/>
              </w:rPr>
            </w:pPr>
            <w:r>
              <w:rPr>
                <w:rFonts w:ascii="Arial" w:cs="Arial" w:eastAsia="Arial" w:hAnsi="Arial"/>
                <w:sz w:val="14"/>
                <w:szCs w:val="14"/>
                <w:color w:val="auto"/>
              </w:rPr>
              <w:t> $</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1,048,225</w:t>
            </w:r>
          </w:p>
        </w:tc>
        <w:tc>
          <w:tcPr>
            <w:tcW w:w="0" w:type="dxa"/>
            <w:vAlign w:val="bottom"/>
          </w:tcPr>
          <w:p>
            <w:pPr>
              <w:spacing w:after="0"/>
              <w:rPr>
                <w:sz w:val="1"/>
                <w:szCs w:val="1"/>
                <w:color w:val="auto"/>
              </w:rPr>
            </w:pPr>
          </w:p>
        </w:tc>
      </w:tr>
      <w:tr>
        <w:trPr>
          <w:trHeight w:val="162"/>
        </w:trPr>
        <w:tc>
          <w:tcPr>
            <w:tcW w:w="4820" w:type="dxa"/>
            <w:vAlign w:val="bottom"/>
          </w:tcPr>
          <w:p>
            <w:pPr>
              <w:ind w:left="580"/>
              <w:spacing w:after="0"/>
              <w:rPr>
                <w:sz w:val="20"/>
                <w:szCs w:val="20"/>
                <w:color w:val="auto"/>
              </w:rPr>
            </w:pPr>
            <w:r>
              <w:rPr>
                <w:rFonts w:ascii="Arial" w:cs="Arial" w:eastAsia="Arial" w:hAnsi="Arial"/>
                <w:sz w:val="14"/>
                <w:szCs w:val="14"/>
                <w:color w:val="auto"/>
              </w:rPr>
              <w:t>Government satcom services</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205,106</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195,756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795,043</w:t>
            </w:r>
          </w:p>
        </w:tc>
        <w:tc>
          <w:tcPr>
            <w:tcW w:w="5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754,552</w:t>
            </w:r>
          </w:p>
        </w:tc>
        <w:tc>
          <w:tcPr>
            <w:tcW w:w="0" w:type="dxa"/>
            <w:vAlign w:val="bottom"/>
          </w:tcPr>
          <w:p>
            <w:pPr>
              <w:spacing w:after="0"/>
              <w:rPr>
                <w:sz w:val="1"/>
                <w:szCs w:val="1"/>
                <w:color w:val="auto"/>
              </w:rPr>
            </w:pPr>
          </w:p>
        </w:tc>
      </w:tr>
      <w:tr>
        <w:trPr>
          <w:trHeight w:val="162"/>
        </w:trPr>
        <w:tc>
          <w:tcPr>
            <w:tcW w:w="4820" w:type="dxa"/>
            <w:vAlign w:val="bottom"/>
          </w:tcPr>
          <w:p>
            <w:pPr>
              <w:ind w:left="580"/>
              <w:spacing w:after="0"/>
              <w:rPr>
                <w:sz w:val="20"/>
                <w:szCs w:val="20"/>
                <w:color w:val="auto"/>
              </w:rPr>
            </w:pPr>
            <w:r>
              <w:rPr>
                <w:rFonts w:ascii="Arial" w:cs="Arial" w:eastAsia="Arial" w:hAnsi="Arial"/>
                <w:sz w:val="14"/>
                <w:szCs w:val="14"/>
                <w:color w:val="auto"/>
              </w:rPr>
              <w:t>Maritime services</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112,717</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113,947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463,061</w:t>
            </w:r>
          </w:p>
        </w:tc>
        <w:tc>
          <w:tcPr>
            <w:tcW w:w="5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477,968</w:t>
            </w:r>
          </w:p>
        </w:tc>
        <w:tc>
          <w:tcPr>
            <w:tcW w:w="0" w:type="dxa"/>
            <w:vAlign w:val="bottom"/>
          </w:tcPr>
          <w:p>
            <w:pPr>
              <w:spacing w:after="0"/>
              <w:rPr>
                <w:sz w:val="1"/>
                <w:szCs w:val="1"/>
                <w:color w:val="auto"/>
              </w:rPr>
            </w:pPr>
          </w:p>
        </w:tc>
      </w:tr>
      <w:tr>
        <w:trPr>
          <w:trHeight w:val="171"/>
        </w:trPr>
        <w:tc>
          <w:tcPr>
            <w:tcW w:w="4820" w:type="dxa"/>
            <w:vAlign w:val="bottom"/>
          </w:tcPr>
          <w:p>
            <w:pPr>
              <w:ind w:left="580"/>
              <w:spacing w:after="0"/>
              <w:rPr>
                <w:sz w:val="20"/>
                <w:szCs w:val="20"/>
                <w:color w:val="auto"/>
              </w:rPr>
            </w:pPr>
            <w:r>
              <w:rPr>
                <w:rFonts w:ascii="Arial" w:cs="Arial" w:eastAsia="Arial" w:hAnsi="Arial"/>
                <w:sz w:val="14"/>
                <w:szCs w:val="14"/>
                <w:color w:val="auto"/>
              </w:rPr>
              <w:t>Fixed services and other services</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132,700</w:t>
            </w:r>
          </w:p>
        </w:tc>
        <w:tc>
          <w:tcPr>
            <w:tcW w:w="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173,950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607,693</w:t>
            </w:r>
          </w:p>
        </w:tc>
        <w:tc>
          <w:tcPr>
            <w:tcW w:w="4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741,601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20" w:type="dxa"/>
            <w:vAlign w:val="bottom"/>
          </w:tcPr>
          <w:p>
            <w:pPr>
              <w:ind w:left="860"/>
              <w:spacing w:after="0" w:line="160" w:lineRule="exact"/>
              <w:rPr>
                <w:sz w:val="20"/>
                <w:szCs w:val="20"/>
                <w:color w:val="auto"/>
              </w:rPr>
            </w:pPr>
            <w:r>
              <w:rPr>
                <w:rFonts w:ascii="Arial" w:cs="Arial" w:eastAsia="Arial" w:hAnsi="Arial"/>
                <w:sz w:val="14"/>
                <w:szCs w:val="14"/>
                <w:color w:val="auto"/>
              </w:rPr>
              <w:t>Total services</w:t>
            </w:r>
          </w:p>
        </w:tc>
        <w:tc>
          <w:tcPr>
            <w:tcW w:w="340" w:type="dxa"/>
            <w:vAlign w:val="bottom"/>
          </w:tcPr>
          <w:p>
            <w:pPr>
              <w:spacing w:after="0"/>
              <w:rPr>
                <w:sz w:val="13"/>
                <w:szCs w:val="13"/>
                <w:color w:val="auto"/>
              </w:rPr>
            </w:pPr>
          </w:p>
        </w:tc>
        <w:tc>
          <w:tcPr>
            <w:tcW w:w="840" w:type="dxa"/>
            <w:vAlign w:val="bottom"/>
          </w:tcPr>
          <w:p>
            <w:pPr>
              <w:jc w:val="right"/>
              <w:spacing w:after="0" w:line="160" w:lineRule="exact"/>
              <w:rPr>
                <w:sz w:val="20"/>
                <w:szCs w:val="20"/>
                <w:color w:val="auto"/>
              </w:rPr>
            </w:pPr>
            <w:r>
              <w:rPr>
                <w:rFonts w:ascii="Arial" w:cs="Arial" w:eastAsia="Arial" w:hAnsi="Arial"/>
                <w:sz w:val="14"/>
                <w:szCs w:val="14"/>
                <w:color w:val="auto"/>
              </w:rPr>
              <w:t>744,632</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jc w:val="right"/>
              <w:ind w:right="240"/>
              <w:spacing w:after="0" w:line="160" w:lineRule="exact"/>
              <w:rPr>
                <w:sz w:val="20"/>
                <w:szCs w:val="20"/>
                <w:color w:val="auto"/>
              </w:rPr>
            </w:pPr>
            <w:r>
              <w:rPr>
                <w:rFonts w:ascii="Arial" w:cs="Arial" w:eastAsia="Arial" w:hAnsi="Arial"/>
                <w:sz w:val="14"/>
                <w:szCs w:val="14"/>
                <w:color w:val="auto"/>
              </w:rPr>
              <w:t>748,856</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480"/>
              <w:spacing w:after="0" w:line="160" w:lineRule="exact"/>
              <w:rPr>
                <w:sz w:val="20"/>
                <w:szCs w:val="20"/>
                <w:color w:val="auto"/>
              </w:rPr>
            </w:pPr>
            <w:r>
              <w:rPr>
                <w:rFonts w:ascii="Arial" w:cs="Arial" w:eastAsia="Arial" w:hAnsi="Arial"/>
                <w:sz w:val="14"/>
                <w:szCs w:val="14"/>
                <w:color w:val="auto"/>
              </w:rPr>
              <w:t>3,057,223</w:t>
            </w:r>
          </w:p>
        </w:tc>
        <w:tc>
          <w:tcPr>
            <w:tcW w:w="520" w:type="dxa"/>
            <w:vAlign w:val="bottom"/>
          </w:tcPr>
          <w:p>
            <w:pPr>
              <w:spacing w:after="0"/>
              <w:rPr>
                <w:sz w:val="13"/>
                <w:szCs w:val="13"/>
                <w:color w:val="auto"/>
              </w:rPr>
            </w:pPr>
          </w:p>
        </w:tc>
        <w:tc>
          <w:tcPr>
            <w:tcW w:w="680" w:type="dxa"/>
            <w:vAlign w:val="bottom"/>
            <w:gridSpan w:val="2"/>
          </w:tcPr>
          <w:p>
            <w:pPr>
              <w:jc w:val="right"/>
              <w:ind w:right="20"/>
              <w:spacing w:after="0" w:line="160" w:lineRule="exact"/>
              <w:rPr>
                <w:sz w:val="20"/>
                <w:szCs w:val="20"/>
                <w:color w:val="auto"/>
              </w:rPr>
            </w:pPr>
            <w:r>
              <w:rPr>
                <w:rFonts w:ascii="Arial" w:cs="Arial" w:eastAsia="Arial" w:hAnsi="Arial"/>
                <w:sz w:val="14"/>
                <w:szCs w:val="14"/>
                <w:color w:val="auto"/>
              </w:rPr>
              <w:t>3,022,346</w:t>
            </w:r>
          </w:p>
        </w:tc>
        <w:tc>
          <w:tcPr>
            <w:tcW w:w="0" w:type="dxa"/>
            <w:vAlign w:val="bottom"/>
          </w:tcPr>
          <w:p>
            <w:pPr>
              <w:spacing w:after="0"/>
              <w:rPr>
                <w:sz w:val="1"/>
                <w:szCs w:val="1"/>
                <w:color w:val="auto"/>
              </w:rPr>
            </w:pPr>
          </w:p>
        </w:tc>
      </w:tr>
      <w:tr>
        <w:trPr>
          <w:trHeight w:val="171"/>
        </w:trPr>
        <w:tc>
          <w:tcPr>
            <w:tcW w:w="4820" w:type="dxa"/>
            <w:vAlign w:val="bottom"/>
          </w:tcPr>
          <w:p>
            <w:pPr>
              <w:ind w:left="860"/>
              <w:spacing w:after="0"/>
              <w:rPr>
                <w:sz w:val="20"/>
                <w:szCs w:val="20"/>
                <w:color w:val="auto"/>
              </w:rPr>
            </w:pPr>
            <w:r>
              <w:rPr>
                <w:rFonts w:ascii="Arial" w:cs="Arial" w:eastAsia="Arial" w:hAnsi="Arial"/>
                <w:sz w:val="14"/>
                <w:szCs w:val="14"/>
                <w:color w:val="auto"/>
              </w:rPr>
              <w:t>Total products</w:t>
            </w:r>
          </w:p>
        </w:tc>
        <w:tc>
          <w:tcPr>
            <w:tcW w:w="34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65,651</w:t>
            </w:r>
          </w:p>
        </w:tc>
        <w:tc>
          <w:tcPr>
            <w:tcW w:w="5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76,110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242,428</w:t>
            </w:r>
          </w:p>
        </w:tc>
        <w:tc>
          <w:tcPr>
            <w:tcW w:w="5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276,139</w:t>
            </w:r>
          </w:p>
        </w:tc>
        <w:tc>
          <w:tcPr>
            <w:tcW w:w="0" w:type="dxa"/>
            <w:vAlign w:val="bottom"/>
          </w:tcPr>
          <w:p>
            <w:pPr>
              <w:spacing w:after="0"/>
              <w:rPr>
                <w:sz w:val="1"/>
                <w:szCs w:val="1"/>
                <w:color w:val="auto"/>
              </w:rPr>
            </w:pPr>
          </w:p>
        </w:tc>
      </w:tr>
      <w:tr>
        <w:trPr>
          <w:trHeight w:val="160"/>
        </w:trPr>
        <w:tc>
          <w:tcPr>
            <w:tcW w:w="4820" w:type="dxa"/>
            <w:vAlign w:val="bottom"/>
          </w:tcPr>
          <w:p>
            <w:pPr>
              <w:ind w:left="1140"/>
              <w:spacing w:after="0" w:line="160" w:lineRule="exact"/>
              <w:rPr>
                <w:sz w:val="20"/>
                <w:szCs w:val="20"/>
                <w:color w:val="auto"/>
              </w:rPr>
            </w:pPr>
            <w:r>
              <w:rPr>
                <w:rFonts w:ascii="Arial" w:cs="Arial" w:eastAsia="Arial" w:hAnsi="Arial"/>
                <w:sz w:val="14"/>
                <w:szCs w:val="14"/>
                <w:color w:val="auto"/>
              </w:rPr>
              <w:t>Total communication services revenues</w:t>
            </w:r>
          </w:p>
        </w:tc>
        <w:tc>
          <w:tcPr>
            <w:tcW w:w="3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810,283</w:t>
            </w:r>
          </w:p>
        </w:tc>
        <w:tc>
          <w:tcPr>
            <w:tcW w:w="4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824,966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3,299,651</w:t>
            </w:r>
          </w:p>
        </w:tc>
        <w:tc>
          <w:tcPr>
            <w:tcW w:w="4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3,298,485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80"/>
              <w:spacing w:after="0"/>
              <w:rPr>
                <w:sz w:val="20"/>
                <w:szCs w:val="20"/>
                <w:color w:val="auto"/>
              </w:rPr>
            </w:pPr>
            <w:r>
              <w:rPr>
                <w:rFonts w:ascii="Arial" w:cs="Arial" w:eastAsia="Arial" w:hAnsi="Arial"/>
                <w:sz w:val="14"/>
                <w:szCs w:val="14"/>
                <w:color w:val="auto"/>
              </w:rPr>
              <w:t>Defense and advanced technologies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860"/>
              <w:spacing w:after="0"/>
              <w:rPr>
                <w:sz w:val="20"/>
                <w:szCs w:val="20"/>
                <w:color w:val="auto"/>
              </w:rPr>
            </w:pPr>
            <w:r>
              <w:rPr>
                <w:rFonts w:ascii="Arial" w:cs="Arial" w:eastAsia="Arial" w:hAnsi="Arial"/>
                <w:sz w:val="14"/>
                <w:szCs w:val="14"/>
                <w:color w:val="auto"/>
              </w:rPr>
              <w:t>Total services</w:t>
            </w:r>
          </w:p>
        </w:tc>
        <w:tc>
          <w:tcPr>
            <w:tcW w:w="34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59,093</w:t>
            </w:r>
          </w:p>
        </w:tc>
        <w:tc>
          <w:tcPr>
            <w:tcW w:w="5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48,515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217,200</w:t>
            </w:r>
          </w:p>
        </w:tc>
        <w:tc>
          <w:tcPr>
            <w:tcW w:w="5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203,430</w:t>
            </w:r>
          </w:p>
        </w:tc>
        <w:tc>
          <w:tcPr>
            <w:tcW w:w="0" w:type="dxa"/>
            <w:vAlign w:val="bottom"/>
          </w:tcPr>
          <w:p>
            <w:pPr>
              <w:spacing w:after="0"/>
              <w:rPr>
                <w:sz w:val="1"/>
                <w:szCs w:val="1"/>
                <w:color w:val="auto"/>
              </w:rPr>
            </w:pPr>
          </w:p>
        </w:tc>
      </w:tr>
      <w:tr>
        <w:trPr>
          <w:trHeight w:val="162"/>
        </w:trPr>
        <w:tc>
          <w:tcPr>
            <w:tcW w:w="4820" w:type="dxa"/>
            <w:vAlign w:val="bottom"/>
          </w:tcPr>
          <w:p>
            <w:pPr>
              <w:ind w:left="580"/>
              <w:spacing w:after="0"/>
              <w:rPr>
                <w:sz w:val="20"/>
                <w:szCs w:val="20"/>
                <w:color w:val="auto"/>
              </w:rPr>
            </w:pPr>
            <w:r>
              <w:rPr>
                <w:rFonts w:ascii="Arial" w:cs="Arial" w:eastAsia="Arial" w:hAnsi="Arial"/>
                <w:sz w:val="14"/>
                <w:szCs w:val="14"/>
                <w:color w:val="auto"/>
              </w:rPr>
              <w:t>Information security and cyber defense products</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120,452</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96,887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414,482</w:t>
            </w:r>
          </w:p>
        </w:tc>
        <w:tc>
          <w:tcPr>
            <w:tcW w:w="5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325,439</w:t>
            </w:r>
          </w:p>
        </w:tc>
        <w:tc>
          <w:tcPr>
            <w:tcW w:w="0" w:type="dxa"/>
            <w:vAlign w:val="bottom"/>
          </w:tcPr>
          <w:p>
            <w:pPr>
              <w:spacing w:after="0"/>
              <w:rPr>
                <w:sz w:val="1"/>
                <w:szCs w:val="1"/>
                <w:color w:val="auto"/>
              </w:rPr>
            </w:pPr>
          </w:p>
        </w:tc>
      </w:tr>
      <w:tr>
        <w:trPr>
          <w:trHeight w:val="162"/>
        </w:trPr>
        <w:tc>
          <w:tcPr>
            <w:tcW w:w="4820" w:type="dxa"/>
            <w:vAlign w:val="bottom"/>
          </w:tcPr>
          <w:p>
            <w:pPr>
              <w:ind w:left="580"/>
              <w:spacing w:after="0"/>
              <w:rPr>
                <w:sz w:val="20"/>
                <w:szCs w:val="20"/>
                <w:color w:val="auto"/>
              </w:rPr>
            </w:pPr>
            <w:r>
              <w:rPr>
                <w:rFonts w:ascii="Arial" w:cs="Arial" w:eastAsia="Arial" w:hAnsi="Arial"/>
                <w:sz w:val="14"/>
                <w:szCs w:val="14"/>
                <w:color w:val="auto"/>
              </w:rPr>
              <w:t>Space and mission systems products</w:t>
            </w:r>
          </w:p>
        </w:tc>
        <w:tc>
          <w:tcPr>
            <w:tcW w:w="34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87,173</w:t>
            </w:r>
          </w:p>
        </w:tc>
        <w:tc>
          <w:tcPr>
            <w:tcW w:w="5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75,030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330,867</w:t>
            </w:r>
          </w:p>
        </w:tc>
        <w:tc>
          <w:tcPr>
            <w:tcW w:w="5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304,870</w:t>
            </w:r>
          </w:p>
        </w:tc>
        <w:tc>
          <w:tcPr>
            <w:tcW w:w="0" w:type="dxa"/>
            <w:vAlign w:val="bottom"/>
          </w:tcPr>
          <w:p>
            <w:pPr>
              <w:spacing w:after="0"/>
              <w:rPr>
                <w:sz w:val="1"/>
                <w:szCs w:val="1"/>
                <w:color w:val="auto"/>
              </w:rPr>
            </w:pPr>
          </w:p>
        </w:tc>
      </w:tr>
      <w:tr>
        <w:trPr>
          <w:trHeight w:val="162"/>
        </w:trPr>
        <w:tc>
          <w:tcPr>
            <w:tcW w:w="4820" w:type="dxa"/>
            <w:vAlign w:val="bottom"/>
          </w:tcPr>
          <w:p>
            <w:pPr>
              <w:ind w:left="580"/>
              <w:spacing w:after="0"/>
              <w:rPr>
                <w:sz w:val="20"/>
                <w:szCs w:val="20"/>
                <w:color w:val="auto"/>
              </w:rPr>
            </w:pPr>
            <w:r>
              <w:rPr>
                <w:rFonts w:ascii="Arial" w:cs="Arial" w:eastAsia="Arial" w:hAnsi="Arial"/>
                <w:sz w:val="14"/>
                <w:szCs w:val="14"/>
                <w:color w:val="auto"/>
              </w:rPr>
              <w:t>Tactical networking products</w:t>
            </w:r>
          </w:p>
        </w:tc>
        <w:tc>
          <w:tcPr>
            <w:tcW w:w="34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93,045</w:t>
            </w:r>
          </w:p>
        </w:tc>
        <w:tc>
          <w:tcPr>
            <w:tcW w:w="5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89,605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329,417</w:t>
            </w:r>
          </w:p>
        </w:tc>
        <w:tc>
          <w:tcPr>
            <w:tcW w:w="5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319,577</w:t>
            </w:r>
          </w:p>
        </w:tc>
        <w:tc>
          <w:tcPr>
            <w:tcW w:w="0" w:type="dxa"/>
            <w:vAlign w:val="bottom"/>
          </w:tcPr>
          <w:p>
            <w:pPr>
              <w:spacing w:after="0"/>
              <w:rPr>
                <w:sz w:val="1"/>
                <w:szCs w:val="1"/>
                <w:color w:val="auto"/>
              </w:rPr>
            </w:pPr>
          </w:p>
        </w:tc>
      </w:tr>
      <w:tr>
        <w:trPr>
          <w:trHeight w:val="171"/>
        </w:trPr>
        <w:tc>
          <w:tcPr>
            <w:tcW w:w="4820" w:type="dxa"/>
            <w:vAlign w:val="bottom"/>
          </w:tcPr>
          <w:p>
            <w:pPr>
              <w:ind w:left="580"/>
              <w:spacing w:after="0"/>
              <w:rPr>
                <w:sz w:val="20"/>
                <w:szCs w:val="20"/>
                <w:color w:val="auto"/>
              </w:rPr>
            </w:pPr>
            <w:r>
              <w:rPr>
                <w:rFonts w:ascii="Arial" w:cs="Arial" w:eastAsia="Arial" w:hAnsi="Arial"/>
                <w:sz w:val="14"/>
                <w:szCs w:val="14"/>
                <w:color w:val="auto"/>
              </w:rPr>
              <w:t>Advanced technologies and other products</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w:t>
            </w:r>
          </w:p>
        </w:tc>
        <w:tc>
          <w:tcPr>
            <w:tcW w:w="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48,663</w:t>
            </w:r>
          </w:p>
        </w:tc>
        <w:tc>
          <w:tcPr>
            <w:tcW w:w="4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20" w:type="dxa"/>
            <w:vAlign w:val="bottom"/>
          </w:tcPr>
          <w:p>
            <w:pPr>
              <w:ind w:left="860"/>
              <w:spacing w:after="0"/>
              <w:rPr>
                <w:sz w:val="20"/>
                <w:szCs w:val="20"/>
                <w:color w:val="auto"/>
              </w:rPr>
            </w:pPr>
            <w:r>
              <w:rPr>
                <w:rFonts w:ascii="Arial" w:cs="Arial" w:eastAsia="Arial" w:hAnsi="Arial"/>
                <w:sz w:val="14"/>
                <w:szCs w:val="14"/>
                <w:color w:val="auto"/>
              </w:rPr>
              <w:t>Total products</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301,912</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273,601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1,123,429</w:t>
            </w:r>
          </w:p>
        </w:tc>
        <w:tc>
          <w:tcPr>
            <w:tcW w:w="5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1,017,656</w:t>
            </w:r>
          </w:p>
        </w:tc>
        <w:tc>
          <w:tcPr>
            <w:tcW w:w="0" w:type="dxa"/>
            <w:vAlign w:val="bottom"/>
          </w:tcPr>
          <w:p>
            <w:pPr>
              <w:spacing w:after="0"/>
              <w:rPr>
                <w:sz w:val="1"/>
                <w:szCs w:val="1"/>
                <w:color w:val="auto"/>
              </w:rPr>
            </w:pPr>
          </w:p>
        </w:tc>
      </w:tr>
      <w:tr>
        <w:trPr>
          <w:trHeight w:val="160"/>
        </w:trPr>
        <w:tc>
          <w:tcPr>
            <w:tcW w:w="4820" w:type="dxa"/>
            <w:vAlign w:val="bottom"/>
          </w:tcPr>
          <w:p>
            <w:pPr>
              <w:ind w:left="1140"/>
              <w:spacing w:after="0" w:line="160" w:lineRule="exact"/>
              <w:rPr>
                <w:sz w:val="20"/>
                <w:szCs w:val="20"/>
                <w:color w:val="auto"/>
              </w:rPr>
            </w:pPr>
            <w:r>
              <w:rPr>
                <w:rFonts w:ascii="Arial" w:cs="Arial" w:eastAsia="Arial" w:hAnsi="Arial"/>
                <w:sz w:val="14"/>
                <w:szCs w:val="14"/>
                <w:color w:val="auto"/>
              </w:rPr>
              <w:t>Total defense and advanced technologies</w:t>
            </w:r>
          </w:p>
        </w:tc>
        <w:tc>
          <w:tcPr>
            <w:tcW w:w="3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300"/>
              <w:spacing w:after="0"/>
              <w:rPr>
                <w:sz w:val="20"/>
                <w:szCs w:val="20"/>
                <w:color w:val="auto"/>
              </w:rPr>
            </w:pPr>
            <w:r>
              <w:rPr>
                <w:rFonts w:ascii="Arial" w:cs="Arial" w:eastAsia="Arial" w:hAnsi="Arial"/>
                <w:sz w:val="14"/>
                <w:szCs w:val="14"/>
                <w:color w:val="auto"/>
              </w:rPr>
              <w:t>revenues</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361,005</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322,116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1,340,629</w:t>
            </w:r>
          </w:p>
        </w:tc>
        <w:tc>
          <w:tcPr>
            <w:tcW w:w="5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1,221,086</w:t>
            </w:r>
          </w:p>
        </w:tc>
        <w:tc>
          <w:tcPr>
            <w:tcW w:w="0" w:type="dxa"/>
            <w:vAlign w:val="bottom"/>
          </w:tcPr>
          <w:p>
            <w:pPr>
              <w:spacing w:after="0"/>
              <w:rPr>
                <w:sz w:val="1"/>
                <w:szCs w:val="1"/>
                <w:color w:val="auto"/>
              </w:rPr>
            </w:pPr>
          </w:p>
        </w:tc>
      </w:tr>
      <w:tr>
        <w:trPr>
          <w:trHeight w:val="171"/>
        </w:trPr>
        <w:tc>
          <w:tcPr>
            <w:tcW w:w="4820" w:type="dxa"/>
            <w:vAlign w:val="bottom"/>
          </w:tcPr>
          <w:p>
            <w:pPr>
              <w:ind w:left="280"/>
              <w:spacing w:after="0"/>
              <w:rPr>
                <w:sz w:val="20"/>
                <w:szCs w:val="20"/>
                <w:color w:val="auto"/>
              </w:rPr>
            </w:pPr>
            <w:r>
              <w:rPr>
                <w:rFonts w:ascii="Arial" w:cs="Arial" w:eastAsia="Arial" w:hAnsi="Arial"/>
                <w:sz w:val="14"/>
                <w:szCs w:val="14"/>
                <w:color w:val="auto"/>
              </w:rPr>
              <w:t>Elimination of intersegment revenues</w:t>
            </w:r>
          </w:p>
        </w:tc>
        <w:tc>
          <w:tcPr>
            <w:tcW w:w="34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color w:val="auto"/>
              </w:rPr>
              <w:t>Total revenues</w:t>
            </w: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20" w:type="dxa"/>
            <w:vAlign w:val="bottom"/>
            <w:vMerge w:val="continue"/>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 $</w:t>
            </w:r>
          </w:p>
        </w:tc>
        <w:tc>
          <w:tcPr>
            <w:tcW w:w="840" w:type="dxa"/>
            <w:vAlign w:val="bottom"/>
          </w:tcPr>
          <w:p>
            <w:pPr>
              <w:jc w:val="right"/>
              <w:spacing w:after="0"/>
              <w:rPr>
                <w:sz w:val="20"/>
                <w:szCs w:val="20"/>
                <w:color w:val="auto"/>
              </w:rPr>
            </w:pPr>
            <w:r>
              <w:rPr>
                <w:rFonts w:ascii="Arial" w:cs="Arial" w:eastAsia="Arial" w:hAnsi="Arial"/>
                <w:sz w:val="14"/>
                <w:szCs w:val="14"/>
                <w:color w:val="auto"/>
              </w:rPr>
              <w:t>1,171,288</w:t>
            </w:r>
          </w:p>
        </w:tc>
        <w:tc>
          <w:tcPr>
            <w:tcW w:w="4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1,147,082</w:t>
            </w:r>
          </w:p>
        </w:tc>
        <w:tc>
          <w:tcPr>
            <w:tcW w:w="24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 $</w:t>
            </w: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rPr>
              <w:t>4,640,280</w:t>
            </w:r>
          </w:p>
        </w:tc>
        <w:tc>
          <w:tcPr>
            <w:tcW w:w="520" w:type="dxa"/>
            <w:vAlign w:val="bottom"/>
          </w:tcPr>
          <w:p>
            <w:pPr>
              <w:spacing w:after="0"/>
              <w:rPr>
                <w:sz w:val="20"/>
                <w:szCs w:val="20"/>
                <w:color w:val="auto"/>
              </w:rPr>
            </w:pPr>
            <w:r>
              <w:rPr>
                <w:rFonts w:ascii="Arial" w:cs="Arial" w:eastAsia="Arial" w:hAnsi="Arial"/>
                <w:sz w:val="14"/>
                <w:szCs w:val="14"/>
                <w:color w:val="auto"/>
              </w:rPr>
              <w:t> $</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4,519,571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029450" cy="111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9450" cy="111760"/>
                    </a:xfrm>
                    <a:prstGeom prst="rect">
                      <a:avLst/>
                    </a:prstGeom>
                    <a:noFill/>
                  </pic:spPr>
                </pic:pic>
              </a:graphicData>
            </a:graphic>
          </wp:anchor>
        </w:drawing>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Shareholder Letter | Q4 Fiscal Year 2026       18</w:t>
      </w:r>
    </w:p>
    <w:sectPr>
      <w:pgSz w:w="11900" w:h="16838" w:orient="portrait"/>
      <w:cols w:equalWidth="0" w:num="1">
        <w:col w:w="11020"/>
      </w:cols>
      <w:pgMar w:left="440" w:top="25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2026-05-28T17:41:46Z</dcterms:created>
  <dcterms:modified xsi:type="dcterms:W3CDTF">2026-05-28T17:41:46Z</dcterms:modified>
</cp:coreProperties>
</file>