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40640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76835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9" w:lineRule="exact"/>
        <w:rPr>
          <w:sz w:val="24"/>
          <w:szCs w:val="24"/>
          <w:color w:val="auto"/>
        </w:rPr>
      </w:pPr>
    </w:p>
    <w:p>
      <w:pPr>
        <w:ind w:left="3440" w:right="1560" w:hanging="3419"/>
        <w:spacing w:after="0" w:line="328"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2024.</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20" w:hanging="399"/>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40"/>
        <w:spacing w:after="0"/>
        <w:tabs>
          <w:tab w:leader="none" w:pos="6760" w:val="left"/>
          <w:tab w:leader="none" w:pos="7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VIASAT, INC.</w:t>
      </w:r>
    </w:p>
    <w:p>
      <w:pPr>
        <w:spacing w:after="0" w:line="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tbl>
      <w:tblPr>
        <w:tblLayout w:type="fixed"/>
        <w:tblInd w:w="1780" w:type="dxa"/>
        <w:tblCellMar>
          <w:top w:w="0" w:type="dxa"/>
          <w:left w:w="0" w:type="dxa"/>
          <w:bottom w:w="0" w:type="dxa"/>
          <w:right w:w="0" w:type="dxa"/>
        </w:tblCellMar>
      </w:tblPr>
      <w:tr>
        <w:trPr>
          <w:trHeight w:val="212"/>
        </w:trPr>
        <w:tc>
          <w:tcPr>
            <w:tcW w:w="4060" w:type="dxa"/>
            <w:vAlign w:val="bottom"/>
          </w:tcPr>
          <w:p>
            <w:pPr>
              <w:jc w:val="center"/>
              <w:ind w:right="1902"/>
              <w:spacing w:after="0"/>
              <w:rPr>
                <w:sz w:val="20"/>
                <w:szCs w:val="20"/>
                <w:color w:val="auto"/>
              </w:rPr>
            </w:pPr>
            <w:r>
              <w:rPr>
                <w:rFonts w:ascii="Arial" w:cs="Arial" w:eastAsia="Arial" w:hAnsi="Arial"/>
                <w:sz w:val="18"/>
                <w:szCs w:val="18"/>
                <w:b w:val="1"/>
                <w:bCs w:val="1"/>
                <w:color w:val="auto"/>
              </w:rPr>
              <w:t>Delaware</w:t>
            </w:r>
          </w:p>
        </w:tc>
        <w:tc>
          <w:tcPr>
            <w:tcW w:w="3200" w:type="dxa"/>
            <w:vAlign w:val="bottom"/>
          </w:tcPr>
          <w:p>
            <w:pPr>
              <w:jc w:val="center"/>
              <w:ind w:left="1922"/>
              <w:spacing w:after="0"/>
              <w:rPr>
                <w:sz w:val="20"/>
                <w:szCs w:val="20"/>
                <w:color w:val="auto"/>
              </w:rPr>
            </w:pPr>
            <w:r>
              <w:rPr>
                <w:rFonts w:ascii="Arial" w:cs="Arial" w:eastAsia="Arial" w:hAnsi="Arial"/>
                <w:sz w:val="18"/>
                <w:szCs w:val="18"/>
                <w:b w:val="1"/>
                <w:bCs w:val="1"/>
                <w:color w:val="auto"/>
                <w:w w:val="99"/>
              </w:rPr>
              <w:t>33-0174996</w:t>
            </w:r>
          </w:p>
        </w:tc>
      </w:tr>
      <w:tr>
        <w:trPr>
          <w:trHeight w:val="162"/>
        </w:trPr>
        <w:tc>
          <w:tcPr>
            <w:tcW w:w="4060" w:type="dxa"/>
            <w:vAlign w:val="bottom"/>
          </w:tcPr>
          <w:p>
            <w:pPr>
              <w:jc w:val="center"/>
              <w:ind w:right="1922"/>
              <w:spacing w:after="0"/>
              <w:rPr>
                <w:sz w:val="20"/>
                <w:szCs w:val="20"/>
                <w:color w:val="auto"/>
              </w:rPr>
            </w:pPr>
            <w:r>
              <w:rPr>
                <w:rFonts w:ascii="Arial" w:cs="Arial" w:eastAsia="Arial" w:hAnsi="Arial"/>
                <w:sz w:val="14"/>
                <w:szCs w:val="14"/>
                <w:b w:val="1"/>
                <w:bCs w:val="1"/>
                <w:color w:val="auto"/>
              </w:rPr>
              <w:t>(State or other jurisdiction of</w:t>
            </w:r>
          </w:p>
        </w:tc>
        <w:tc>
          <w:tcPr>
            <w:tcW w:w="3200" w:type="dxa"/>
            <w:vAlign w:val="bottom"/>
          </w:tcPr>
          <w:p>
            <w:pPr>
              <w:jc w:val="center"/>
              <w:ind w:left="1902"/>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060" w:type="dxa"/>
            <w:vAlign w:val="bottom"/>
          </w:tcPr>
          <w:p>
            <w:pPr>
              <w:jc w:val="center"/>
              <w:ind w:right="1922"/>
              <w:spacing w:after="0"/>
              <w:rPr>
                <w:sz w:val="20"/>
                <w:szCs w:val="20"/>
                <w:color w:val="auto"/>
              </w:rPr>
            </w:pPr>
            <w:r>
              <w:rPr>
                <w:rFonts w:ascii="Arial" w:cs="Arial" w:eastAsia="Arial" w:hAnsi="Arial"/>
                <w:sz w:val="14"/>
                <w:szCs w:val="14"/>
                <w:b w:val="1"/>
                <w:bCs w:val="1"/>
                <w:color w:val="auto"/>
              </w:rPr>
              <w:t>incorporation or organization)</w:t>
            </w:r>
          </w:p>
        </w:tc>
        <w:tc>
          <w:tcPr>
            <w:tcW w:w="3200" w:type="dxa"/>
            <w:vAlign w:val="bottom"/>
          </w:tcPr>
          <w:p>
            <w:pPr>
              <w:jc w:val="center"/>
              <w:ind w:left="1902"/>
              <w:spacing w:after="0"/>
              <w:rPr>
                <w:sz w:val="20"/>
                <w:szCs w:val="20"/>
                <w:color w:val="auto"/>
              </w:rPr>
            </w:pPr>
            <w:r>
              <w:rPr>
                <w:rFonts w:ascii="Arial" w:cs="Arial" w:eastAsia="Arial" w:hAnsi="Arial"/>
                <w:sz w:val="14"/>
                <w:szCs w:val="14"/>
                <w:b w:val="1"/>
                <w:bCs w:val="1"/>
                <w:color w:val="auto"/>
              </w:rPr>
              <w:t>Identification No.)</w:t>
            </w:r>
          </w:p>
        </w:tc>
      </w:tr>
    </w:tbl>
    <w:p>
      <w:pPr>
        <w:spacing w:after="0" w:line="3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6155 El Camino Real</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Carlsbad, California 92009</w:t>
      </w:r>
    </w:p>
    <w:p>
      <w:pPr>
        <w:jc w:val="center"/>
        <w:ind w:right="40"/>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6"/>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VSAT</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29" w:lineRule="exact"/>
        <w:rPr>
          <w:sz w:val="24"/>
          <w:szCs w:val="24"/>
          <w:color w:val="auto"/>
        </w:rPr>
      </w:pPr>
    </w:p>
    <w:p>
      <w:pPr>
        <w:jc w:val="both"/>
        <w:ind w:right="260" w:firstLine="509"/>
        <w:spacing w:after="0" w:line="24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20" w:val="left"/>
          <w:tab w:leader="none" w:pos="680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63" w:lineRule="exact"/>
        <w:rPr>
          <w:sz w:val="24"/>
          <w:szCs w:val="24"/>
          <w:color w:val="auto"/>
        </w:rPr>
      </w:pPr>
    </w:p>
    <w:p>
      <w:pPr>
        <w:jc w:val="both"/>
        <w:ind w:right="660" w:firstLine="509"/>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400" w:firstLine="509"/>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9" w:lineRule="exact"/>
        <w:rPr>
          <w:sz w:val="24"/>
          <w:szCs w:val="24"/>
          <w:color w:val="auto"/>
        </w:rPr>
      </w:pPr>
    </w:p>
    <w:p>
      <w:pPr>
        <w:ind w:right="140" w:firstLine="50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20" w:right="130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$0.0001 par value, as of January 24, 2025 was 129,119,989.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3000" w:type="dxa"/>
            <w:vAlign w:val="bottom"/>
            <w:gridSpan w:val="11"/>
            <w:vMerge w:val="restart"/>
          </w:tcPr>
          <w:p>
            <w:pPr>
              <w:ind w:left="20"/>
              <w:spacing w:after="0"/>
              <w:rPr>
                <w:sz w:val="20"/>
                <w:szCs w:val="20"/>
                <w:color w:val="auto"/>
              </w:rPr>
            </w:pPr>
            <w:r>
              <w:rPr>
                <w:rFonts w:ascii="Arial" w:cs="Arial" w:eastAsia="Arial" w:hAnsi="Arial"/>
                <w:sz w:val="18"/>
                <w:szCs w:val="18"/>
                <w:b w:val="1"/>
                <w:bCs w:val="1"/>
                <w:color w:val="0000FF"/>
                <w:w w:val="99"/>
              </w:rPr>
              <w:t>PART I. FINANCIAL INFORMATION</w:t>
            </w:r>
          </w:p>
        </w:tc>
        <w:tc>
          <w:tcPr>
            <w:tcW w:w="7340" w:type="dxa"/>
            <w:vAlign w:val="bottom"/>
            <w:gridSpan w:val="10"/>
            <w:vMerge w:val="restart"/>
          </w:tcPr>
          <w:p>
            <w:pPr>
              <w:spacing w:after="0"/>
              <w:rPr>
                <w:sz w:val="14"/>
                <w:szCs w:val="14"/>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000" w:type="dxa"/>
            <w:vAlign w:val="bottom"/>
            <w:tcBorders>
              <w:bottom w:val="single" w:sz="8" w:color="0000FF"/>
            </w:tcBorders>
            <w:gridSpan w:val="11"/>
            <w:vMerge w:val="continue"/>
          </w:tcPr>
          <w:p>
            <w:pPr>
              <w:spacing w:after="0"/>
              <w:rPr>
                <w:sz w:val="14"/>
                <w:szCs w:val="14"/>
                <w:color w:val="auto"/>
              </w:rPr>
            </w:pPr>
          </w:p>
        </w:tc>
        <w:tc>
          <w:tcPr>
            <w:tcW w:w="7340" w:type="dxa"/>
            <w:vAlign w:val="bottom"/>
            <w:gridSpan w:val="10"/>
            <w:vMerge w:val="continue"/>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0000FF"/>
            </w:tcBorders>
            <w:gridSpan w:val="12"/>
          </w:tcPr>
          <w:p>
            <w:pPr>
              <w:ind w:left="20"/>
              <w:spacing w:after="0" w:line="182" w:lineRule="exact"/>
              <w:rPr>
                <w:sz w:val="20"/>
                <w:szCs w:val="20"/>
                <w:color w:val="auto"/>
              </w:rPr>
            </w:pPr>
            <w:r>
              <w:rPr>
                <w:rFonts w:ascii="Arial" w:cs="Arial" w:eastAsia="Arial" w:hAnsi="Arial"/>
                <w:sz w:val="18"/>
                <w:szCs w:val="18"/>
                <w:color w:val="0000FF"/>
                <w:w w:val="99"/>
              </w:rPr>
              <w:t>Item 1. Financial Statements (Unaudited)</w:t>
            </w:r>
          </w:p>
        </w:tc>
        <w:tc>
          <w:tcPr>
            <w:tcW w:w="20" w:type="dxa"/>
            <w:vAlign w:val="bottom"/>
            <w:tcBorders>
              <w:bottom w:val="single" w:sz="8" w:color="0000EE"/>
            </w:tcBorders>
          </w:tcPr>
          <w:p>
            <w:pPr>
              <w:spacing w:after="0"/>
              <w:rPr>
                <w:sz w:val="15"/>
                <w:szCs w:val="15"/>
                <w:color w:val="auto"/>
              </w:rPr>
            </w:pPr>
          </w:p>
        </w:tc>
        <w:tc>
          <w:tcPr>
            <w:tcW w:w="7020" w:type="dxa"/>
            <w:vAlign w:val="bottom"/>
            <w:gridSpan w:val="8"/>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860" w:type="dxa"/>
            <w:vAlign w:val="bottom"/>
            <w:gridSpan w:val="12"/>
          </w:tcPr>
          <w:p>
            <w:pPr>
              <w:spacing w:after="0" w:line="182" w:lineRule="exact"/>
              <w:rPr>
                <w:sz w:val="20"/>
                <w:szCs w:val="20"/>
                <w:color w:val="auto"/>
              </w:rPr>
            </w:pPr>
            <w:r>
              <w:rPr>
                <w:rFonts w:ascii="Arial" w:cs="Arial" w:eastAsia="Arial" w:hAnsi="Arial"/>
                <w:sz w:val="18"/>
                <w:szCs w:val="18"/>
                <w:color w:val="0000FF"/>
              </w:rPr>
              <w:t>Condensed Consolidated Balance</w:t>
            </w:r>
          </w:p>
        </w:tc>
        <w:tc>
          <w:tcPr>
            <w:tcW w:w="7020" w:type="dxa"/>
            <w:vAlign w:val="bottom"/>
            <w:gridSpan w:val="8"/>
          </w:tcPr>
          <w:p>
            <w:pPr>
              <w:spacing w:after="0" w:line="182" w:lineRule="exact"/>
              <w:rPr>
                <w:sz w:val="20"/>
                <w:szCs w:val="20"/>
                <w:color w:val="auto"/>
              </w:rPr>
            </w:pPr>
            <w:r>
              <w:rPr>
                <w:rFonts w:ascii="Arial" w:cs="Arial" w:eastAsia="Arial" w:hAnsi="Arial"/>
                <w:sz w:val="18"/>
                <w:szCs w:val="18"/>
                <w:color w:val="0000FF"/>
              </w:rPr>
              <w:t>Sheets</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334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6540" w:type="dxa"/>
            <w:vAlign w:val="bottom"/>
            <w:gridSpan w:val="7"/>
          </w:tcPr>
          <w:p>
            <w:pPr>
              <w:jc w:val="center"/>
              <w:ind w:right="2920"/>
              <w:spacing w:after="0" w:line="182" w:lineRule="exact"/>
              <w:rPr>
                <w:sz w:val="20"/>
                <w:szCs w:val="20"/>
                <w:color w:val="auto"/>
              </w:rPr>
            </w:pPr>
            <w:r>
              <w:rPr>
                <w:rFonts w:ascii="Arial" w:cs="Arial" w:eastAsia="Arial" w:hAnsi="Arial"/>
                <w:sz w:val="18"/>
                <w:szCs w:val="18"/>
                <w:color w:val="0000FF"/>
                <w:w w:val="97"/>
              </w:rPr>
              <w:t>Operations and Comprehensive Income (Loss)</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696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Condensed Consolidated Statements of Cash Flows</w:t>
            </w:r>
          </w:p>
        </w:tc>
        <w:tc>
          <w:tcPr>
            <w:tcW w:w="2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18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Condensed Consolidated Statements of Equity</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2"/>
          </w:tcPr>
          <w:p>
            <w:pPr>
              <w:spacing w:after="0"/>
              <w:rPr>
                <w:sz w:val="15"/>
                <w:szCs w:val="15"/>
                <w:color w:val="auto"/>
              </w:rPr>
            </w:pPr>
          </w:p>
        </w:tc>
        <w:tc>
          <w:tcPr>
            <w:tcW w:w="26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3740" w:type="dxa"/>
            <w:vAlign w:val="bottom"/>
            <w:tcBorders>
              <w:top w:val="single" w:sz="8" w:color="0000FF"/>
              <w:bottom w:val="single" w:sz="8" w:color="0000FF"/>
            </w:tcBorders>
            <w:gridSpan w:val="14"/>
          </w:tcPr>
          <w:p>
            <w:pPr>
              <w:spacing w:after="0" w:line="182" w:lineRule="exact"/>
              <w:rPr>
                <w:sz w:val="20"/>
                <w:szCs w:val="20"/>
                <w:color w:val="auto"/>
              </w:rPr>
            </w:pPr>
            <w:r>
              <w:rPr>
                <w:rFonts w:ascii="Arial" w:cs="Arial" w:eastAsia="Arial" w:hAnsi="Arial"/>
                <w:sz w:val="18"/>
                <w:szCs w:val="18"/>
                <w:color w:val="0000FF"/>
                <w:w w:val="97"/>
              </w:rPr>
              <w:t>Notes to the Condensed Consolidated Financial</w:t>
            </w:r>
          </w:p>
        </w:tc>
        <w:tc>
          <w:tcPr>
            <w:tcW w:w="1040" w:type="dxa"/>
            <w:vAlign w:val="bottom"/>
            <w:tcBorders>
              <w:bottom w:val="single" w:sz="8" w:color="0000FF"/>
            </w:tcBorders>
            <w:gridSpan w:val="2"/>
          </w:tcPr>
          <w:p>
            <w:pPr>
              <w:ind w:left="120"/>
              <w:spacing w:after="0" w:line="182" w:lineRule="exact"/>
              <w:rPr>
                <w:sz w:val="20"/>
                <w:szCs w:val="20"/>
                <w:color w:val="auto"/>
              </w:rPr>
            </w:pPr>
            <w:r>
              <w:rPr>
                <w:rFonts w:ascii="Arial" w:cs="Arial" w:eastAsia="Arial" w:hAnsi="Arial"/>
                <w:sz w:val="18"/>
                <w:szCs w:val="18"/>
                <w:color w:val="0000FF"/>
                <w:w w:val="98"/>
              </w:rPr>
              <w:t>Statements</w:t>
            </w:r>
          </w:p>
        </w:tc>
        <w:tc>
          <w:tcPr>
            <w:tcW w:w="5100" w:type="dxa"/>
            <w:vAlign w:val="bottom"/>
            <w:gridSpan w:val="4"/>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10340" w:type="dxa"/>
            <w:vAlign w:val="bottom"/>
            <w:gridSpan w:val="21"/>
          </w:tcPr>
          <w:p>
            <w:pPr>
              <w:ind w:left="20"/>
              <w:spacing w:after="0" w:line="182"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7700" w:type="dxa"/>
            <w:vAlign w:val="bottom"/>
            <w:tcBorders>
              <w:top w:val="single" w:sz="8" w:color="0000FF"/>
            </w:tcBorders>
            <w:gridSpan w:val="20"/>
          </w:tcPr>
          <w:p>
            <w:pPr>
              <w:ind w:left="20"/>
              <w:spacing w:after="0" w:line="182" w:lineRule="exact"/>
              <w:rPr>
                <w:sz w:val="20"/>
                <w:szCs w:val="20"/>
                <w:color w:val="auto"/>
              </w:rPr>
            </w:pPr>
            <w:r>
              <w:rPr>
                <w:rFonts w:ascii="Arial" w:cs="Arial" w:eastAsia="Arial" w:hAnsi="Arial"/>
                <w:sz w:val="18"/>
                <w:szCs w:val="18"/>
                <w:color w:val="0000FF"/>
              </w:rPr>
              <w:t>Item 3. Quantitative and Qualitative Disclosures About Market Risk</w:t>
            </w:r>
          </w:p>
        </w:tc>
        <w:tc>
          <w:tcPr>
            <w:tcW w:w="26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600" w:type="dxa"/>
            <w:vAlign w:val="bottom"/>
            <w:tcBorders>
              <w:top w:val="single" w:sz="8" w:color="0000FF"/>
              <w:bottom w:val="single" w:sz="8" w:color="0000FF"/>
            </w:tcBorders>
            <w:gridSpan w:val="2"/>
          </w:tcPr>
          <w:p>
            <w:pPr>
              <w:ind w:left="20"/>
              <w:spacing w:after="0" w:line="182" w:lineRule="exact"/>
              <w:rPr>
                <w:sz w:val="20"/>
                <w:szCs w:val="20"/>
                <w:color w:val="auto"/>
              </w:rPr>
            </w:pPr>
            <w:r>
              <w:rPr>
                <w:rFonts w:ascii="Arial" w:cs="Arial" w:eastAsia="Arial" w:hAnsi="Arial"/>
                <w:sz w:val="18"/>
                <w:szCs w:val="18"/>
                <w:color w:val="0000FF"/>
              </w:rPr>
              <w:t>Item 4.</w:t>
            </w:r>
          </w:p>
        </w:tc>
        <w:tc>
          <w:tcPr>
            <w:tcW w:w="2020" w:type="dxa"/>
            <w:vAlign w:val="bottom"/>
            <w:tcBorders>
              <w:top w:val="single" w:sz="8" w:color="0000FF"/>
              <w:bottom w:val="single" w:sz="8" w:color="0000FF"/>
            </w:tcBorders>
            <w:gridSpan w:val="6"/>
          </w:tcPr>
          <w:p>
            <w:pPr>
              <w:ind w:left="20"/>
              <w:spacing w:after="0" w:line="182" w:lineRule="exact"/>
              <w:rPr>
                <w:sz w:val="20"/>
                <w:szCs w:val="20"/>
                <w:color w:val="auto"/>
              </w:rPr>
            </w:pPr>
            <w:r>
              <w:rPr>
                <w:rFonts w:ascii="Arial" w:cs="Arial" w:eastAsia="Arial" w:hAnsi="Arial"/>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700" w:type="dxa"/>
            <w:vAlign w:val="bottom"/>
            <w:tcBorders>
              <w:top w:val="single" w:sz="8" w:color="0000FF"/>
            </w:tcBorders>
            <w:gridSpan w:val="9"/>
          </w:tcPr>
          <w:p>
            <w:pPr>
              <w:spacing w:after="0"/>
              <w:rPr>
                <w:sz w:val="15"/>
                <w:szCs w:val="15"/>
                <w:color w:val="auto"/>
              </w:rPr>
            </w:pPr>
          </w:p>
        </w:tc>
        <w:tc>
          <w:tcPr>
            <w:tcW w:w="5000" w:type="dxa"/>
            <w:vAlign w:val="bottom"/>
            <w:gridSpan w:val="3"/>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0000FF"/>
            </w:tcBorders>
            <w:gridSpan w:val="9"/>
          </w:tcPr>
          <w:p>
            <w:pPr>
              <w:ind w:left="20"/>
              <w:spacing w:after="0" w:line="182" w:lineRule="exact"/>
              <w:rPr>
                <w:sz w:val="20"/>
                <w:szCs w:val="20"/>
                <w:color w:val="auto"/>
              </w:rPr>
            </w:pPr>
            <w:r>
              <w:rPr>
                <w:rFonts w:ascii="Arial" w:cs="Arial" w:eastAsia="Arial" w:hAnsi="Arial"/>
                <w:sz w:val="18"/>
                <w:szCs w:val="18"/>
                <w:b w:val="1"/>
                <w:bCs w:val="1"/>
                <w:color w:val="0000FF"/>
                <w:w w:val="96"/>
              </w:rPr>
              <w:t>PART II. OTHER INFORMATION</w:t>
            </w:r>
          </w:p>
        </w:tc>
        <w:tc>
          <w:tcPr>
            <w:tcW w:w="80" w:type="dxa"/>
            <w:vAlign w:val="bottom"/>
            <w:tcBorders>
              <w:bottom w:val="single" w:sz="8" w:color="0000FF"/>
            </w:tcBorders>
          </w:tcPr>
          <w:p>
            <w:pPr>
              <w:spacing w:after="0"/>
              <w:rPr>
                <w:sz w:val="15"/>
                <w:szCs w:val="15"/>
                <w:color w:val="auto"/>
              </w:rPr>
            </w:pPr>
          </w:p>
        </w:tc>
        <w:tc>
          <w:tcPr>
            <w:tcW w:w="7620" w:type="dxa"/>
            <w:vAlign w:val="bottom"/>
            <w:gridSpan w:val="11"/>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600" w:type="dxa"/>
            <w:vAlign w:val="bottom"/>
            <w:gridSpan w:val="2"/>
          </w:tcPr>
          <w:p>
            <w:pPr>
              <w:ind w:left="20"/>
              <w:spacing w:after="0" w:line="182" w:lineRule="exact"/>
              <w:rPr>
                <w:sz w:val="20"/>
                <w:szCs w:val="20"/>
                <w:color w:val="auto"/>
              </w:rPr>
            </w:pPr>
            <w:r>
              <w:rPr>
                <w:rFonts w:ascii="Arial" w:cs="Arial" w:eastAsia="Arial" w:hAnsi="Arial"/>
                <w:sz w:val="18"/>
                <w:szCs w:val="18"/>
                <w:color w:val="0000FF"/>
              </w:rPr>
              <w:t>Item 1.</w:t>
            </w:r>
          </w:p>
        </w:tc>
        <w:tc>
          <w:tcPr>
            <w:tcW w:w="2120" w:type="dxa"/>
            <w:vAlign w:val="bottom"/>
            <w:gridSpan w:val="8"/>
          </w:tcPr>
          <w:p>
            <w:pPr>
              <w:ind w:left="20"/>
              <w:spacing w:after="0" w:line="182" w:lineRule="exact"/>
              <w:rPr>
                <w:sz w:val="20"/>
                <w:szCs w:val="20"/>
                <w:color w:val="auto"/>
              </w:rPr>
            </w:pPr>
            <w:r>
              <w:rPr>
                <w:rFonts w:ascii="Arial" w:cs="Arial" w:eastAsia="Arial" w:hAnsi="Arial"/>
                <w:sz w:val="18"/>
                <w:szCs w:val="18"/>
                <w:color w:val="0000FF"/>
              </w:rPr>
              <w:t>Legal Proceedings</w:t>
            </w:r>
          </w:p>
        </w:tc>
        <w:tc>
          <w:tcPr>
            <w:tcW w:w="7620" w:type="dxa"/>
            <w:vAlign w:val="bottom"/>
            <w:gridSpan w:val="11"/>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tcBorders>
              <w:top w:val="single" w:sz="8" w:color="0000FF"/>
            </w:tcBorders>
            <w:gridSpan w:val="7"/>
          </w:tcPr>
          <w:p>
            <w:pPr>
              <w:ind w:left="20"/>
              <w:spacing w:after="0" w:line="182" w:lineRule="exact"/>
              <w:rPr>
                <w:sz w:val="20"/>
                <w:szCs w:val="20"/>
                <w:color w:val="auto"/>
              </w:rPr>
            </w:pPr>
            <w:r>
              <w:rPr>
                <w:rFonts w:ascii="Arial" w:cs="Arial" w:eastAsia="Arial" w:hAnsi="Arial"/>
                <w:sz w:val="18"/>
                <w:szCs w:val="18"/>
                <w:color w:val="0000FF"/>
              </w:rPr>
              <w:t>Item 1A. Risk Factors</w:t>
            </w:r>
          </w:p>
        </w:tc>
        <w:tc>
          <w:tcPr>
            <w:tcW w:w="8220" w:type="dxa"/>
            <w:vAlign w:val="bottom"/>
            <w:gridSpan w:val="14"/>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183"/>
        </w:trPr>
        <w:tc>
          <w:tcPr>
            <w:tcW w:w="600" w:type="dxa"/>
            <w:vAlign w:val="bottom"/>
            <w:gridSpan w:val="2"/>
          </w:tcPr>
          <w:p>
            <w:pPr>
              <w:ind w:left="20"/>
              <w:spacing w:after="0" w:line="182" w:lineRule="exact"/>
              <w:rPr>
                <w:sz w:val="20"/>
                <w:szCs w:val="20"/>
                <w:color w:val="auto"/>
              </w:rPr>
            </w:pPr>
            <w:r>
              <w:rPr>
                <w:rFonts w:ascii="Arial" w:cs="Arial" w:eastAsia="Arial" w:hAnsi="Arial"/>
                <w:sz w:val="18"/>
                <w:szCs w:val="18"/>
                <w:color w:val="0000FF"/>
              </w:rPr>
              <w:t>Item 5.</w:t>
            </w:r>
          </w:p>
        </w:tc>
        <w:tc>
          <w:tcPr>
            <w:tcW w:w="9740" w:type="dxa"/>
            <w:vAlign w:val="bottom"/>
            <w:gridSpan w:val="19"/>
          </w:tcPr>
          <w:p>
            <w:pPr>
              <w:ind w:left="20"/>
              <w:spacing w:after="0" w:line="182" w:lineRule="exact"/>
              <w:rPr>
                <w:sz w:val="20"/>
                <w:szCs w:val="20"/>
                <w:color w:val="auto"/>
              </w:rPr>
            </w:pPr>
            <w:r>
              <w:rPr>
                <w:rFonts w:ascii="Arial" w:cs="Arial" w:eastAsia="Arial" w:hAnsi="Arial"/>
                <w:sz w:val="18"/>
                <w:szCs w:val="18"/>
                <w:color w:val="0000FF"/>
              </w:rPr>
              <w:t>Other Information</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Borders>
              <w:top w:val="single" w:sz="8" w:color="0000FF"/>
            </w:tcBorders>
            <w:gridSpan w:val="2"/>
          </w:tcPr>
          <w:p>
            <w:pPr>
              <w:ind w:left="20"/>
              <w:spacing w:after="0" w:line="182" w:lineRule="exact"/>
              <w:rPr>
                <w:sz w:val="20"/>
                <w:szCs w:val="20"/>
                <w:color w:val="auto"/>
              </w:rPr>
            </w:pPr>
            <w:r>
              <w:rPr>
                <w:rFonts w:ascii="Arial" w:cs="Arial" w:eastAsia="Arial" w:hAnsi="Arial"/>
                <w:sz w:val="18"/>
                <w:szCs w:val="18"/>
                <w:color w:val="0000FF"/>
              </w:rPr>
              <w:t>Item 6.</w:t>
            </w:r>
          </w:p>
        </w:tc>
        <w:tc>
          <w:tcPr>
            <w:tcW w:w="1420" w:type="dxa"/>
            <w:vAlign w:val="bottom"/>
            <w:tcBorders>
              <w:top w:val="single" w:sz="8" w:color="0000FF"/>
            </w:tcBorders>
            <w:gridSpan w:val="4"/>
          </w:tcPr>
          <w:p>
            <w:pPr>
              <w:ind w:left="20"/>
              <w:spacing w:after="0" w:line="182" w:lineRule="exact"/>
              <w:rPr>
                <w:sz w:val="20"/>
                <w:szCs w:val="20"/>
                <w:color w:val="auto"/>
              </w:rPr>
            </w:pPr>
            <w:r>
              <w:rPr>
                <w:rFonts w:ascii="Arial" w:cs="Arial" w:eastAsia="Arial" w:hAnsi="Arial"/>
                <w:sz w:val="18"/>
                <w:szCs w:val="18"/>
                <w:color w:val="0000FF"/>
              </w:rPr>
              <w:t>Exhibits</w:t>
            </w:r>
          </w:p>
        </w:tc>
        <w:tc>
          <w:tcPr>
            <w:tcW w:w="8320" w:type="dxa"/>
            <w:vAlign w:val="bottom"/>
            <w:gridSpan w:val="15"/>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3"/>
        </w:trPr>
        <w:tc>
          <w:tcPr>
            <w:tcW w:w="1260" w:type="dxa"/>
            <w:vAlign w:val="bottom"/>
            <w:tcBorders>
              <w:top w:val="single" w:sz="8" w:color="0000FF"/>
            </w:tcBorders>
            <w:gridSpan w:val="4"/>
          </w:tcPr>
          <w:p>
            <w:pPr>
              <w:ind w:left="20"/>
              <w:spacing w:after="0" w:line="182" w:lineRule="exact"/>
              <w:rPr>
                <w:sz w:val="20"/>
                <w:szCs w:val="20"/>
                <w:color w:val="auto"/>
              </w:rPr>
            </w:pPr>
            <w:r>
              <w:rPr>
                <w:rFonts w:ascii="Arial" w:cs="Arial" w:eastAsia="Arial" w:hAnsi="Arial"/>
                <w:sz w:val="18"/>
                <w:szCs w:val="18"/>
                <w:color w:val="0000FF"/>
              </w:rPr>
              <w:t>Signatures</w:t>
            </w:r>
          </w:p>
        </w:tc>
        <w:tc>
          <w:tcPr>
            <w:tcW w:w="9080" w:type="dxa"/>
            <w:vAlign w:val="bottom"/>
            <w:gridSpan w:val="17"/>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659"/>
        </w:trPr>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540" w:type="dxa"/>
            <w:vAlign w:val="bottom"/>
            <w:gridSpan w:val="16"/>
          </w:tcPr>
          <w:p>
            <w:pPr>
              <w:jc w:val="right"/>
              <w:ind w:right="17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right"/>
              <w:ind w:right="948"/>
              <w:spacing w:after="0"/>
              <w:rPr>
                <w:sz w:val="20"/>
                <w:szCs w:val="20"/>
                <w:color w:val="auto"/>
              </w:rPr>
            </w:pPr>
            <w:r>
              <w:rPr>
                <w:rFonts w:ascii="Arial" w:cs="Arial" w:eastAsia="Arial" w:hAnsi="Arial"/>
                <w:sz w:val="14"/>
                <w:szCs w:val="14"/>
                <w:b w:val="1"/>
                <w:bCs w:val="1"/>
                <w:color w:val="auto"/>
              </w:rPr>
              <w:t>As of</w:t>
            </w:r>
          </w:p>
        </w:tc>
        <w:tc>
          <w:tcPr>
            <w:tcW w:w="380" w:type="dxa"/>
            <w:vAlign w:val="bottom"/>
          </w:tcPr>
          <w:p>
            <w:pPr>
              <w:spacing w:after="0"/>
              <w:rPr>
                <w:sz w:val="14"/>
                <w:szCs w:val="14"/>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As of</w:t>
            </w:r>
          </w:p>
        </w:tc>
      </w:tr>
      <w:tr>
        <w:trPr>
          <w:trHeight w:val="171"/>
        </w:trPr>
        <w:tc>
          <w:tcPr>
            <w:tcW w:w="7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4"/>
                <w:szCs w:val="14"/>
                <w:color w:val="auto"/>
              </w:rPr>
            </w:pPr>
          </w:p>
        </w:tc>
      </w:tr>
      <w:tr>
        <w:trPr>
          <w:trHeight w:val="156"/>
        </w:trPr>
        <w:tc>
          <w:tcPr>
            <w:tcW w:w="7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2"/>
              </w:rPr>
              <w:t>thousands)</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7200" w:type="dxa"/>
            <w:vAlign w:val="bottom"/>
            <w:shd w:val="clear" w:color="auto" w:fill="CFF0FC"/>
          </w:tcPr>
          <w:p>
            <w:pPr>
              <w:ind w:left="3160"/>
              <w:spacing w:after="0" w:line="20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1,556,489</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1,901,033</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648,962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678,210</w:t>
            </w: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320,137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317,878</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316,012</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581,783</w:t>
            </w:r>
          </w:p>
        </w:tc>
        <w:tc>
          <w:tcPr>
            <w:tcW w:w="100" w:type="dxa"/>
            <w:vAlign w:val="bottom"/>
          </w:tcPr>
          <w:p>
            <w:pPr>
              <w:spacing w:after="0"/>
              <w:rPr>
                <w:sz w:val="17"/>
                <w:szCs w:val="17"/>
                <w:color w:val="auto"/>
              </w:rPr>
            </w:pPr>
          </w:p>
        </w:tc>
      </w:tr>
      <w:tr>
        <w:trPr>
          <w:trHeight w:val="196"/>
        </w:trPr>
        <w:tc>
          <w:tcPr>
            <w:tcW w:w="720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2,841,600</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3,478,904</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equipment and satellites, net</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7,555,524</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7,557,206</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422,021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393,077</w:t>
            </w: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acquired intangible assets, net</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2,338,088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2,544,467</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1,620,267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1,621,763</w:t>
            </w:r>
          </w:p>
        </w:tc>
        <w:tc>
          <w:tcPr>
            <w:tcW w:w="100" w:type="dxa"/>
            <w:vAlign w:val="bottom"/>
          </w:tcPr>
          <w:p>
            <w:pPr>
              <w:spacing w:after="0"/>
              <w:rPr>
                <w:sz w:val="17"/>
                <w:szCs w:val="17"/>
                <w:color w:val="auto"/>
              </w:rPr>
            </w:pPr>
          </w:p>
        </w:tc>
      </w:tr>
      <w:tr>
        <w:trPr>
          <w:trHeight w:val="203"/>
        </w:trPr>
        <w:tc>
          <w:tcPr>
            <w:tcW w:w="7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822,851</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733,947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00" w:type="dxa"/>
            <w:vAlign w:val="bottom"/>
          </w:tcPr>
          <w:p>
            <w:pPr>
              <w:ind w:left="28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15,600,351</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16,329,364</w:t>
            </w:r>
          </w:p>
        </w:tc>
        <w:tc>
          <w:tcPr>
            <w:tcW w:w="100" w:type="dxa"/>
            <w:vAlign w:val="bottom"/>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200" w:type="dxa"/>
            <w:vAlign w:val="bottom"/>
            <w:shd w:val="clear" w:color="auto" w:fill="CFF0FC"/>
          </w:tcPr>
          <w:p>
            <w:pPr>
              <w:ind w:left="2420"/>
              <w:spacing w:after="0" w:line="183"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218,585</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287,206</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854,900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950,621</w:t>
            </w:r>
          </w:p>
        </w:tc>
        <w:tc>
          <w:tcPr>
            <w:tcW w:w="100" w:type="dxa"/>
            <w:vAlign w:val="bottom"/>
          </w:tcPr>
          <w:p>
            <w:pPr>
              <w:spacing w:after="0"/>
              <w:rPr>
                <w:sz w:val="17"/>
                <w:szCs w:val="17"/>
                <w:color w:val="auto"/>
              </w:rPr>
            </w:pPr>
          </w:p>
        </w:tc>
      </w:tr>
      <w:tr>
        <w:trPr>
          <w:trHeight w:val="203"/>
        </w:trPr>
        <w:tc>
          <w:tcPr>
            <w:tcW w:w="72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506,922</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58,054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00" w:type="dxa"/>
            <w:vAlign w:val="bottom"/>
          </w:tcPr>
          <w:p>
            <w:pPr>
              <w:ind w:left="280"/>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1,580,407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1,295,881</w:t>
            </w: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Senior notes</w:t>
            </w:r>
          </w:p>
        </w:tc>
        <w:tc>
          <w:tcPr>
            <w:tcW w:w="2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3,649,874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4,354,714</w:t>
            </w: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debt</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2,885,929</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2,774,521</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Non-current operating lease liabilities</w:t>
            </w:r>
          </w:p>
        </w:tc>
        <w:tc>
          <w:tcPr>
            <w:tcW w:w="2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411,784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379,644</w:t>
            </w:r>
          </w:p>
        </w:tc>
        <w:tc>
          <w:tcPr>
            <w:tcW w:w="100" w:type="dxa"/>
            <w:vAlign w:val="bottom"/>
          </w:tcPr>
          <w:p>
            <w:pPr>
              <w:spacing w:after="0"/>
              <w:rPr>
                <w:sz w:val="17"/>
                <w:szCs w:val="17"/>
                <w:color w:val="auto"/>
              </w:rPr>
            </w:pPr>
          </w:p>
        </w:tc>
      </w:tr>
      <w:tr>
        <w:trPr>
          <w:trHeight w:val="203"/>
        </w:trPr>
        <w:tc>
          <w:tcPr>
            <w:tcW w:w="7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2,226,228</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2,452,100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00" w:type="dxa"/>
            <w:vAlign w:val="bottom"/>
          </w:tcPr>
          <w:p>
            <w:pPr>
              <w:ind w:left="280"/>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10,754,222</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11,256,860</w:t>
            </w:r>
          </w:p>
        </w:tc>
        <w:tc>
          <w:tcPr>
            <w:tcW w:w="100" w:type="dxa"/>
            <w:vAlign w:val="bottom"/>
          </w:tcPr>
          <w:p>
            <w:pPr>
              <w:spacing w:after="0"/>
              <w:rPr>
                <w:sz w:val="17"/>
                <w:szCs w:val="17"/>
                <w:color w:val="auto"/>
              </w:rPr>
            </w:pPr>
          </w:p>
        </w:tc>
      </w:tr>
      <w:tr>
        <w:trPr>
          <w:trHeight w:val="196"/>
        </w:trPr>
        <w:tc>
          <w:tcPr>
            <w:tcW w:w="7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9)</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Viasat, Inc. stockholders’ equity</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r>
      <w:tr>
        <w:trPr>
          <w:trHeight w:val="203"/>
        </w:trPr>
        <w:tc>
          <w:tcPr>
            <w:tcW w:w="72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Paid-in capital</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4,899,100</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4,797,253</w:t>
            </w:r>
          </w:p>
        </w:tc>
        <w:tc>
          <w:tcPr>
            <w:tcW w:w="100" w:type="dxa"/>
            <w:vAlign w:val="bottom"/>
            <w:shd w:val="clear" w:color="auto" w:fill="CFF0FC"/>
          </w:tcPr>
          <w:p>
            <w:pPr>
              <w:spacing w:after="0"/>
              <w:rPr>
                <w:sz w:val="17"/>
                <w:szCs w:val="17"/>
                <w:color w:val="auto"/>
              </w:rPr>
            </w:pPr>
          </w:p>
        </w:tc>
      </w:tr>
      <w:tr>
        <w:trPr>
          <w:trHeight w:val="203"/>
        </w:trPr>
        <w:tc>
          <w:tcPr>
            <w:tcW w:w="7200" w:type="dxa"/>
            <w:vAlign w:val="bottom"/>
          </w:tcPr>
          <w:p>
            <w:pPr>
              <w:ind w:left="280"/>
              <w:spacing w:after="0" w:line="202" w:lineRule="exact"/>
              <w:rPr>
                <w:sz w:val="20"/>
                <w:szCs w:val="20"/>
                <w:color w:val="auto"/>
              </w:rPr>
            </w:pPr>
            <w:r>
              <w:rPr>
                <w:rFonts w:ascii="Arial" w:cs="Arial" w:eastAsia="Arial" w:hAnsi="Arial"/>
                <w:sz w:val="18"/>
                <w:szCs w:val="18"/>
                <w:color w:val="auto"/>
              </w:rPr>
              <w:t>Retained earnings (accumulated deficit)</w:t>
            </w:r>
          </w:p>
        </w:tc>
        <w:tc>
          <w:tcPr>
            <w:tcW w:w="200" w:type="dxa"/>
            <w:vAlign w:val="bottom"/>
          </w:tcPr>
          <w:p>
            <w:pPr>
              <w:spacing w:after="0"/>
              <w:rPr>
                <w:sz w:val="17"/>
                <w:szCs w:val="17"/>
                <w:color w:val="auto"/>
              </w:rPr>
            </w:pPr>
          </w:p>
        </w:tc>
        <w:tc>
          <w:tcPr>
            <w:tcW w:w="190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(79,477 )</w:t>
            </w:r>
          </w:p>
        </w:tc>
        <w:tc>
          <w:tcPr>
            <w:tcW w:w="3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249,432</w:t>
            </w:r>
          </w:p>
        </w:tc>
        <w:tc>
          <w:tcPr>
            <w:tcW w:w="100" w:type="dxa"/>
            <w:vAlign w:val="bottom"/>
          </w:tcPr>
          <w:p>
            <w:pPr>
              <w:spacing w:after="0"/>
              <w:rPr>
                <w:sz w:val="17"/>
                <w:szCs w:val="17"/>
                <w:color w:val="auto"/>
              </w:rPr>
            </w:pPr>
          </w:p>
        </w:tc>
      </w:tr>
      <w:tr>
        <w:trPr>
          <w:trHeight w:val="202"/>
        </w:trPr>
        <w:tc>
          <w:tcPr>
            <w:tcW w:w="72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(59,015 )</w:t>
            </w:r>
          </w:p>
        </w:tc>
        <w:tc>
          <w:tcPr>
            <w:tcW w:w="3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(21,268 )</w:t>
            </w:r>
          </w:p>
        </w:tc>
      </w:tr>
      <w:tr>
        <w:trPr>
          <w:trHeight w:val="196"/>
        </w:trPr>
        <w:tc>
          <w:tcPr>
            <w:tcW w:w="720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Total Viasat, Inc. stockholders’ equity</w:t>
            </w: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4,760,621</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5,025,430</w:t>
            </w:r>
          </w:p>
        </w:tc>
        <w:tc>
          <w:tcPr>
            <w:tcW w:w="100" w:type="dxa"/>
            <w:vAlign w:val="bottom"/>
            <w:tcBorders>
              <w:top w:val="single" w:sz="8" w:color="CFF0FC"/>
            </w:tcBorders>
          </w:tcPr>
          <w:p>
            <w:pPr>
              <w:spacing w:after="0"/>
              <w:rPr>
                <w:sz w:val="17"/>
                <w:szCs w:val="17"/>
                <w:color w:val="auto"/>
              </w:rPr>
            </w:pPr>
          </w:p>
        </w:tc>
      </w:tr>
      <w:tr>
        <w:trPr>
          <w:trHeight w:val="203"/>
        </w:trPr>
        <w:tc>
          <w:tcPr>
            <w:tcW w:w="7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Noncontrolling interest in subsidiary</w:t>
            </w:r>
          </w:p>
        </w:tc>
        <w:tc>
          <w:tcPr>
            <w:tcW w:w="2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85,508</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47,074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00" w:type="dxa"/>
            <w:vAlign w:val="bottom"/>
          </w:tcPr>
          <w:p>
            <w:pPr>
              <w:ind w:left="520"/>
              <w:spacing w:after="0" w:line="196" w:lineRule="exact"/>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4,846,129</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5,072,504</w:t>
            </w:r>
          </w:p>
        </w:tc>
        <w:tc>
          <w:tcPr>
            <w:tcW w:w="100" w:type="dxa"/>
            <w:vAlign w:val="bottom"/>
          </w:tcPr>
          <w:p>
            <w:pPr>
              <w:spacing w:after="0"/>
              <w:rPr>
                <w:sz w:val="17"/>
                <w:szCs w:val="17"/>
                <w:color w:val="auto"/>
              </w:rPr>
            </w:pPr>
          </w:p>
        </w:tc>
      </w:tr>
      <w:tr>
        <w:trPr>
          <w:trHeight w:val="236"/>
        </w:trPr>
        <w:tc>
          <w:tcPr>
            <w:tcW w:w="720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15,600,351</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16,329,364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-3196590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-2390775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-1610995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-565150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-299720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40"/>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gridSpan w:val="5"/>
          </w:tcPr>
          <w:p>
            <w:pPr>
              <w:jc w:val="right"/>
              <w:ind w:right="1088"/>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3100" w:type="dxa"/>
            <w:vAlign w:val="bottom"/>
            <w:gridSpan w:val="5"/>
          </w:tcPr>
          <w:p>
            <w:pPr>
              <w:jc w:val="right"/>
              <w:ind w:right="1028"/>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w w:val="97"/>
              </w:rPr>
              <w:t>December 31, 2024</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w w:val="97"/>
              </w:rPr>
              <w:t>December 31, 2023</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w w:val="97"/>
              </w:rPr>
              <w:t>December 31, 2024</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ind w:right="88"/>
              <w:spacing w:after="0" w:line="129" w:lineRule="exact"/>
              <w:rPr>
                <w:sz w:val="20"/>
                <w:szCs w:val="20"/>
                <w:color w:val="auto"/>
              </w:rPr>
            </w:pPr>
            <w:r>
              <w:rPr>
                <w:rFonts w:ascii="Arial" w:cs="Arial" w:eastAsia="Arial" w:hAnsi="Arial"/>
                <w:sz w:val="13"/>
                <w:szCs w:val="13"/>
                <w:b w:val="1"/>
                <w:bCs w:val="1"/>
                <w:color w:val="auto"/>
                <w:w w:val="97"/>
              </w:rPr>
              <w:t>December 31, 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0" w:type="dxa"/>
            <w:vAlign w:val="bottom"/>
            <w:gridSpan w:val="5"/>
          </w:tcPr>
          <w:p>
            <w:pPr>
              <w:jc w:val="right"/>
              <w:ind w:right="588"/>
              <w:spacing w:after="0" w:line="129" w:lineRule="exact"/>
              <w:rPr>
                <w:sz w:val="20"/>
                <w:szCs w:val="20"/>
                <w:color w:val="auto"/>
              </w:rPr>
            </w:pPr>
            <w:r>
              <w:rPr>
                <w:rFonts w:ascii="Arial" w:cs="Arial" w:eastAsia="Arial" w:hAnsi="Arial"/>
                <w:sz w:val="13"/>
                <w:szCs w:val="13"/>
                <w:b w:val="1"/>
                <w:bCs w:val="1"/>
                <w:color w:val="auto"/>
              </w:rPr>
              <w:t>(In thousands, except per share data)</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00"/>
              <w:spacing w:after="0"/>
              <w:rPr>
                <w:sz w:val="20"/>
                <w:szCs w:val="20"/>
                <w:color w:val="auto"/>
              </w:rPr>
            </w:pPr>
            <w:r>
              <w:rPr>
                <w:rFonts w:ascii="Arial" w:cs="Arial" w:eastAsia="Arial" w:hAnsi="Arial"/>
                <w:sz w:val="14"/>
                <w:szCs w:val="14"/>
                <w:color w:val="auto"/>
              </w:rPr>
              <w:t>Service revenues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809,370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825,466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2,428,405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2,192,571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Product revenues</w:t>
            </w: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314,397</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303,073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944,084</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941,174</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line="155" w:lineRule="exact"/>
              <w:rPr>
                <w:sz w:val="20"/>
                <w:szCs w:val="20"/>
                <w:color w:val="auto"/>
              </w:rPr>
            </w:pPr>
            <w:r>
              <w:rPr>
                <w:rFonts w:ascii="Arial" w:cs="Arial" w:eastAsia="Arial" w:hAnsi="Arial"/>
                <w:sz w:val="14"/>
                <w:szCs w:val="14"/>
                <w:color w:val="auto"/>
              </w:rPr>
              <w:t>Total revenues</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1,123,767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1,128,539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3,372,489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3,133,745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00"/>
              <w:spacing w:after="0"/>
              <w:rPr>
                <w:sz w:val="20"/>
                <w:szCs w:val="20"/>
                <w:color w:val="auto"/>
              </w:rPr>
            </w:pPr>
            <w:r>
              <w:rPr>
                <w:rFonts w:ascii="Arial" w:cs="Arial" w:eastAsia="Arial" w:hAnsi="Arial"/>
                <w:sz w:val="14"/>
                <w:szCs w:val="14"/>
                <w:color w:val="auto"/>
              </w:rPr>
              <w:t>Cost of service revenues</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527,718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514,757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1,575,978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1,374,860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Cost of product revenues</w:t>
            </w: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234,229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252,519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671,872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703,617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200"/>
              <w:spacing w:after="0" w:line="153" w:lineRule="exact"/>
              <w:rPr>
                <w:sz w:val="20"/>
                <w:szCs w:val="20"/>
                <w:color w:val="auto"/>
              </w:rPr>
            </w:pPr>
            <w:r>
              <w:rPr>
                <w:rFonts w:ascii="Arial" w:cs="Arial" w:eastAsia="Arial" w:hAnsi="Arial"/>
                <w:sz w:val="14"/>
                <w:szCs w:val="14"/>
                <w:color w:val="auto"/>
              </w:rPr>
              <w:t>Selling, general and administrative (including satellite impairment</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00"/>
              <w:spacing w:after="0"/>
              <w:rPr>
                <w:sz w:val="20"/>
                <w:szCs w:val="20"/>
                <w:color w:val="auto"/>
              </w:rPr>
            </w:pPr>
            <w:r>
              <w:rPr>
                <w:rFonts w:ascii="Arial" w:cs="Arial" w:eastAsia="Arial" w:hAnsi="Arial"/>
                <w:sz w:val="14"/>
                <w:szCs w:val="14"/>
                <w:color w:val="auto"/>
              </w:rPr>
              <w:t>and related charges, net – see Note 1 — Basis of Presentation –</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200"/>
              <w:spacing w:after="0"/>
              <w:rPr>
                <w:sz w:val="20"/>
                <w:szCs w:val="20"/>
                <w:color w:val="auto"/>
              </w:rPr>
            </w:pPr>
            <w:r>
              <w:rPr>
                <w:rFonts w:ascii="Arial" w:cs="Arial" w:eastAsia="Arial" w:hAnsi="Arial"/>
                <w:sz w:val="14"/>
                <w:szCs w:val="14"/>
                <w:color w:val="auto"/>
              </w:rPr>
              <w:t>Property, equipment and satellites)</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238,024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271,734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761,594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1,640,304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Independent research and development</w:t>
            </w: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36,701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41,728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108,654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104,161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65,847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91,719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198,086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21,248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(43,918 )</w:t>
            </w: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56,305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(890,101 )</w:t>
            </w:r>
          </w:p>
        </w:tc>
        <w:tc>
          <w:tcPr>
            <w:tcW w:w="0" w:type="dxa"/>
            <w:vAlign w:val="bottom"/>
          </w:tcPr>
          <w:p>
            <w:pPr>
              <w:spacing w:after="0"/>
              <w:rPr>
                <w:sz w:val="1"/>
                <w:szCs w:val="1"/>
                <w:color w:val="auto"/>
              </w:rPr>
            </w:pPr>
          </w:p>
        </w:tc>
      </w:tr>
      <w:tr>
        <w:trPr>
          <w:trHeight w:val="162"/>
        </w:trPr>
        <w:tc>
          <w:tcPr>
            <w:tcW w:w="47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17,708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20,921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64,396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72,596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4"/>
                <w:szCs w:val="14"/>
                <w:color w:val="auto"/>
              </w:rPr>
            </w:pP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(94,476 )</w:t>
            </w:r>
          </w:p>
        </w:tc>
        <w:tc>
          <w:tcPr>
            <w:tcW w:w="120" w:type="dxa"/>
            <w:vAlign w:val="bottom"/>
          </w:tcPr>
          <w:p>
            <w:pPr>
              <w:spacing w:after="0"/>
              <w:rPr>
                <w:sz w:val="14"/>
                <w:szCs w:val="14"/>
                <w:color w:val="auto"/>
              </w:rPr>
            </w:pP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(133,537 )</w:t>
            </w:r>
          </w:p>
        </w:tc>
        <w:tc>
          <w:tcPr>
            <w:tcW w:w="120" w:type="dxa"/>
            <w:vAlign w:val="bottom"/>
          </w:tcPr>
          <w:p>
            <w:pPr>
              <w:spacing w:after="0"/>
              <w:rPr>
                <w:sz w:val="14"/>
                <w:szCs w:val="14"/>
                <w:color w:val="auto"/>
              </w:rPr>
            </w:pP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(315,592 )</w:t>
            </w:r>
          </w:p>
        </w:tc>
        <w:tc>
          <w:tcPr>
            <w:tcW w:w="12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(275,633 )</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(Loss) gain on extinguishment of debt, net</w:t>
            </w:r>
          </w:p>
        </w:tc>
        <w:tc>
          <w:tcPr>
            <w:tcW w:w="1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(96,614 )</w:t>
            </w:r>
          </w:p>
        </w:tc>
        <w:tc>
          <w:tcPr>
            <w:tcW w:w="1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(99,814 )</w:t>
            </w:r>
          </w:p>
        </w:tc>
        <w:tc>
          <w:tcPr>
            <w:tcW w:w="1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700" w:type="dxa"/>
            <w:vAlign w:val="bottom"/>
          </w:tcPr>
          <w:p>
            <w:pPr>
              <w:ind w:left="200"/>
              <w:spacing w:after="0"/>
              <w:rPr>
                <w:sz w:val="20"/>
                <w:szCs w:val="20"/>
                <w:color w:val="auto"/>
              </w:rPr>
            </w:pPr>
            <w:r>
              <w:rPr>
                <w:rFonts w:ascii="Arial" w:cs="Arial" w:eastAsia="Arial" w:hAnsi="Arial"/>
                <w:sz w:val="14"/>
                <w:szCs w:val="14"/>
                <w:color w:val="auto"/>
              </w:rPr>
              <w:t>Other income (expense), net</w:t>
            </w:r>
          </w:p>
        </w:tc>
        <w:tc>
          <w:tcPr>
            <w:tcW w:w="120" w:type="dxa"/>
            <w:vAlign w:val="bottom"/>
          </w:tcPr>
          <w:p>
            <w:pPr>
              <w:spacing w:after="0"/>
              <w:rPr>
                <w:sz w:val="14"/>
                <w:szCs w:val="14"/>
                <w:color w:val="auto"/>
              </w:rPr>
            </w:pP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(9,976 )</w:t>
            </w:r>
          </w:p>
        </w:tc>
        <w:tc>
          <w:tcPr>
            <w:tcW w:w="120" w:type="dxa"/>
            <w:vAlign w:val="bottom"/>
          </w:tcPr>
          <w:p>
            <w:pPr>
              <w:spacing w:after="0"/>
              <w:rPr>
                <w:sz w:val="14"/>
                <w:szCs w:val="14"/>
                <w:color w:val="auto"/>
              </w:rPr>
            </w:pPr>
          </w:p>
        </w:tc>
        <w:tc>
          <w:tcPr>
            <w:tcW w:w="15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(9,976 )</w:t>
            </w:r>
          </w:p>
        </w:tc>
        <w:tc>
          <w:tcPr>
            <w:tcW w:w="12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0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Income (loss) before income taxes</w:t>
            </w: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(162,110 )</w:t>
            </w: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(156,534 )</w:t>
            </w: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(304,681 )</w:t>
            </w:r>
          </w:p>
        </w:tc>
        <w:tc>
          <w:tcPr>
            <w:tcW w:w="1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(1,093,138 )</w:t>
            </w:r>
          </w:p>
        </w:tc>
        <w:tc>
          <w:tcPr>
            <w:tcW w:w="0" w:type="dxa"/>
            <w:vAlign w:val="bottom"/>
          </w:tcPr>
          <w:p>
            <w:pPr>
              <w:spacing w:after="0"/>
              <w:rPr>
                <w:sz w:val="1"/>
                <w:szCs w:val="1"/>
                <w:color w:val="auto"/>
              </w:rPr>
            </w:pPr>
          </w:p>
        </w:tc>
      </w:tr>
      <w:tr>
        <w:trPr>
          <w:trHeight w:val="162"/>
        </w:trPr>
        <w:tc>
          <w:tcPr>
            <w:tcW w:w="470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11,798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34,496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4,699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128,106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Equity in income (loss) of unconsolidated affiliate, net</w:t>
            </w: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3,405</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2,689</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9,592</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3,018</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Pr>
          <w:p>
            <w:pPr>
              <w:ind w:left="20"/>
              <w:spacing w:after="0" w:line="155" w:lineRule="exact"/>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3"/>
                <w:szCs w:val="13"/>
                <w:color w:val="auto"/>
              </w:rPr>
            </w:pPr>
          </w:p>
        </w:tc>
        <w:tc>
          <w:tcPr>
            <w:tcW w:w="154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(146,907 )</w:t>
            </w:r>
          </w:p>
        </w:tc>
        <w:tc>
          <w:tcPr>
            <w:tcW w:w="120" w:type="dxa"/>
            <w:vAlign w:val="bottom"/>
          </w:tcPr>
          <w:p>
            <w:pPr>
              <w:spacing w:after="0"/>
              <w:rPr>
                <w:sz w:val="13"/>
                <w:szCs w:val="13"/>
                <w:color w:val="auto"/>
              </w:rPr>
            </w:pPr>
          </w:p>
        </w:tc>
        <w:tc>
          <w:tcPr>
            <w:tcW w:w="154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(119,349 )</w:t>
            </w:r>
          </w:p>
        </w:tc>
        <w:tc>
          <w:tcPr>
            <w:tcW w:w="120" w:type="dxa"/>
            <w:vAlign w:val="bottom"/>
          </w:tcPr>
          <w:p>
            <w:pPr>
              <w:spacing w:after="0"/>
              <w:rPr>
                <w:sz w:val="13"/>
                <w:szCs w:val="13"/>
                <w:color w:val="auto"/>
              </w:rPr>
            </w:pPr>
          </w:p>
        </w:tc>
        <w:tc>
          <w:tcPr>
            <w:tcW w:w="154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(290,390 )</w:t>
            </w:r>
          </w:p>
        </w:tc>
        <w:tc>
          <w:tcPr>
            <w:tcW w:w="120" w:type="dxa"/>
            <w:vAlign w:val="bottom"/>
          </w:tcPr>
          <w:p>
            <w:pPr>
              <w:spacing w:after="0"/>
              <w:rPr>
                <w:sz w:val="13"/>
                <w:szCs w:val="13"/>
                <w:color w:val="auto"/>
              </w:rPr>
            </w:pPr>
          </w:p>
        </w:tc>
        <w:tc>
          <w:tcPr>
            <w:tcW w:w="14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(962,014 )</w:t>
            </w:r>
          </w:p>
        </w:tc>
        <w:tc>
          <w:tcPr>
            <w:tcW w:w="0" w:type="dxa"/>
            <w:vAlign w:val="bottom"/>
          </w:tcPr>
          <w:p>
            <w:pPr>
              <w:spacing w:after="0"/>
              <w:rPr>
                <w:sz w:val="1"/>
                <w:szCs w:val="1"/>
                <w:color w:val="auto"/>
              </w:rPr>
            </w:pPr>
          </w:p>
        </w:tc>
      </w:tr>
      <w:tr>
        <w:trPr>
          <w:trHeight w:val="153"/>
        </w:trPr>
        <w:tc>
          <w:tcPr>
            <w:tcW w:w="470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Less: net income (loss) attributable to</w:t>
            </w:r>
          </w:p>
        </w:tc>
        <w:tc>
          <w:tcPr>
            <w:tcW w:w="12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11,506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38,519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6,627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00" w:type="dxa"/>
            <w:vAlign w:val="bottom"/>
            <w:tcBorders>
              <w:bottom w:val="single" w:sz="8" w:color="CFF0FC"/>
            </w:tcBorders>
            <w:shd w:val="clear" w:color="auto" w:fill="CFF0FC"/>
          </w:tcPr>
          <w:p>
            <w:pPr>
              <w:ind w:left="140"/>
              <w:spacing w:after="0" w:line="158" w:lineRule="exact"/>
              <w:rPr>
                <w:sz w:val="20"/>
                <w:szCs w:val="20"/>
                <w:color w:val="auto"/>
              </w:rPr>
            </w:pPr>
            <w:r>
              <w:rPr>
                <w:rFonts w:ascii="Arial" w:cs="Arial" w:eastAsia="Arial" w:hAnsi="Arial"/>
                <w:sz w:val="14"/>
                <w:szCs w:val="14"/>
                <w:color w:val="auto"/>
              </w:rPr>
              <w:t>noncontrolling interest, net of tax</w:t>
            </w:r>
          </w:p>
        </w:tc>
        <w:tc>
          <w:tcPr>
            <w:tcW w:w="12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line="155" w:lineRule="exact"/>
              <w:rPr>
                <w:sz w:val="20"/>
                <w:szCs w:val="20"/>
                <w:color w:val="auto"/>
              </w:rPr>
            </w:pPr>
            <w:r>
              <w:rPr>
                <w:rFonts w:ascii="Arial" w:cs="Arial" w:eastAsia="Arial" w:hAnsi="Arial"/>
                <w:sz w:val="14"/>
                <w:szCs w:val="14"/>
                <w:color w:val="auto"/>
              </w:rPr>
              <w:t>Net income (loss) attributable to Viasat, Inc.</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(158,413 )</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(124,399 )</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(328,909 )</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(968,641 )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0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color w:val="auto"/>
              </w:rPr>
              <w:t>Basic net income (loss) per share attributable</w:t>
            </w:r>
          </w:p>
        </w:tc>
        <w:tc>
          <w:tcPr>
            <w:tcW w:w="1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to Viasat, Inc. common stockholders: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(1.23 )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(0.99 )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(2.57 )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(8.47 )</w:t>
            </w:r>
          </w:p>
        </w:tc>
        <w:tc>
          <w:tcPr>
            <w:tcW w:w="0" w:type="dxa"/>
            <w:vAlign w:val="bottom"/>
          </w:tcPr>
          <w:p>
            <w:pPr>
              <w:spacing w:after="0"/>
              <w:rPr>
                <w:sz w:val="1"/>
                <w:szCs w:val="1"/>
                <w:color w:val="auto"/>
              </w:rPr>
            </w:pPr>
          </w:p>
        </w:tc>
      </w:tr>
      <w:tr>
        <w:trPr>
          <w:trHeight w:val="153"/>
        </w:trPr>
        <w:tc>
          <w:tcPr>
            <w:tcW w:w="4700" w:type="dxa"/>
            <w:vAlign w:val="bottom"/>
          </w:tcPr>
          <w:p>
            <w:pPr>
              <w:ind w:left="20"/>
              <w:spacing w:after="0" w:line="153" w:lineRule="exact"/>
              <w:rPr>
                <w:sz w:val="20"/>
                <w:szCs w:val="20"/>
                <w:color w:val="auto"/>
              </w:rPr>
            </w:pPr>
            <w:r>
              <w:rPr>
                <w:rFonts w:ascii="Arial" w:cs="Arial" w:eastAsia="Arial" w:hAnsi="Arial"/>
                <w:sz w:val="14"/>
                <w:szCs w:val="14"/>
                <w:color w:val="auto"/>
              </w:rPr>
              <w:t>Diluted net income (loss) per share attributable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40"/>
              <w:spacing w:after="0"/>
              <w:rPr>
                <w:sz w:val="20"/>
                <w:szCs w:val="20"/>
                <w:color w:val="auto"/>
              </w:rPr>
            </w:pPr>
            <w:r>
              <w:rPr>
                <w:rFonts w:ascii="Arial" w:cs="Arial" w:eastAsia="Arial" w:hAnsi="Arial"/>
                <w:sz w:val="14"/>
                <w:szCs w:val="14"/>
                <w:color w:val="auto"/>
              </w:rPr>
              <w:t>to Viasat, Inc. common stockholders: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(1.23 )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(0.99 )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(2.57 )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(8.47 )</w:t>
            </w:r>
          </w:p>
        </w:tc>
        <w:tc>
          <w:tcPr>
            <w:tcW w:w="0" w:type="dxa"/>
            <w:vAlign w:val="bottom"/>
          </w:tcPr>
          <w:p>
            <w:pPr>
              <w:spacing w:after="0"/>
              <w:rPr>
                <w:sz w:val="1"/>
                <w:szCs w:val="1"/>
                <w:color w:val="auto"/>
              </w:rPr>
            </w:pPr>
          </w:p>
        </w:tc>
      </w:tr>
      <w:tr>
        <w:trPr>
          <w:trHeight w:val="153"/>
        </w:trPr>
        <w:tc>
          <w:tcPr>
            <w:tcW w:w="47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Shares used in computing basic net</w:t>
            </w: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shd w:val="clear" w:color="auto" w:fill="CFF0FC"/>
          </w:tcPr>
          <w:p>
            <w:pPr>
              <w:ind w:left="320"/>
              <w:spacing w:after="0"/>
              <w:rPr>
                <w:sz w:val="20"/>
                <w:szCs w:val="20"/>
                <w:color w:val="auto"/>
              </w:rPr>
            </w:pPr>
            <w:r>
              <w:rPr>
                <w:rFonts w:ascii="Arial" w:cs="Arial" w:eastAsia="Arial" w:hAnsi="Arial"/>
                <w:sz w:val="14"/>
                <w:szCs w:val="14"/>
                <w:color w:val="auto"/>
              </w:rPr>
              <w:t>income (loss) per share</w:t>
            </w: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128,941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125,097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127,968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114,317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200"/>
              <w:spacing w:after="0" w:line="153" w:lineRule="exact"/>
              <w:rPr>
                <w:sz w:val="20"/>
                <w:szCs w:val="20"/>
                <w:color w:val="auto"/>
              </w:rPr>
            </w:pPr>
            <w:r>
              <w:rPr>
                <w:rFonts w:ascii="Arial" w:cs="Arial" w:eastAsia="Arial" w:hAnsi="Arial"/>
                <w:sz w:val="14"/>
                <w:szCs w:val="14"/>
                <w:color w:val="auto"/>
              </w:rPr>
              <w:t>Shares used in computing diluted net</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320"/>
              <w:spacing w:after="0"/>
              <w:rPr>
                <w:sz w:val="20"/>
                <w:szCs w:val="20"/>
                <w:color w:val="auto"/>
              </w:rPr>
            </w:pPr>
            <w:r>
              <w:rPr>
                <w:rFonts w:ascii="Arial" w:cs="Arial" w:eastAsia="Arial" w:hAnsi="Arial"/>
                <w:sz w:val="14"/>
                <w:szCs w:val="14"/>
                <w:color w:val="auto"/>
              </w:rPr>
              <w:t>income (loss) per share</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128,941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125,097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127,968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114,317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income (loss):</w:t>
            </w: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(146,907 )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(119,349 )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(290,390 )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(962,014 )</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200"/>
              <w:spacing w:after="0" w:line="153" w:lineRule="exact"/>
              <w:rPr>
                <w:sz w:val="20"/>
                <w:szCs w:val="20"/>
                <w:color w:val="auto"/>
              </w:rPr>
            </w:pPr>
            <w:r>
              <w:rPr>
                <w:rFonts w:ascii="Arial" w:cs="Arial" w:eastAsia="Arial" w:hAnsi="Arial"/>
                <w:sz w:val="14"/>
                <w:szCs w:val="14"/>
                <w:color w:val="auto"/>
              </w:rPr>
              <w:t>Foreign currency translation adjustments, net</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320"/>
              <w:spacing w:after="0"/>
              <w:rPr>
                <w:sz w:val="20"/>
                <w:szCs w:val="20"/>
                <w:color w:val="auto"/>
              </w:rPr>
            </w:pPr>
            <w:r>
              <w:rPr>
                <w:rFonts w:ascii="Arial" w:cs="Arial" w:eastAsia="Arial" w:hAnsi="Arial"/>
                <w:sz w:val="14"/>
                <w:szCs w:val="14"/>
                <w:color w:val="auto"/>
              </w:rPr>
              <w:t>of tax</w:t>
            </w:r>
          </w:p>
        </w:tc>
        <w:tc>
          <w:tcPr>
            <w:tcW w:w="120" w:type="dxa"/>
            <w:vAlign w:val="bottom"/>
          </w:tcPr>
          <w:p>
            <w:pPr>
              <w:spacing w:after="0"/>
              <w:rPr>
                <w:sz w:val="14"/>
                <w:szCs w:val="14"/>
                <w:color w:val="auto"/>
              </w:rPr>
            </w:pP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(27,387 )</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17,143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88"/>
              <w:spacing w:after="0"/>
              <w:rPr>
                <w:sz w:val="20"/>
                <w:szCs w:val="20"/>
                <w:color w:val="auto"/>
              </w:rPr>
            </w:pPr>
            <w:r>
              <w:rPr>
                <w:rFonts w:ascii="Arial" w:cs="Arial" w:eastAsia="Arial" w:hAnsi="Arial"/>
                <w:sz w:val="14"/>
                <w:szCs w:val="14"/>
                <w:color w:val="auto"/>
              </w:rPr>
              <w:t>(22,203 )</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13,563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gain (loss) on hedging, net of tax</w:t>
            </w:r>
          </w:p>
        </w:tc>
        <w:tc>
          <w:tcPr>
            <w:tcW w:w="1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(9,542 )</w:t>
            </w: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(15,544 )</w:t>
            </w: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00" w:type="dxa"/>
            <w:vAlign w:val="bottom"/>
          </w:tcPr>
          <w:p>
            <w:pPr>
              <w:ind w:left="20"/>
              <w:spacing w:after="0" w:line="155" w:lineRule="exact"/>
              <w:rPr>
                <w:sz w:val="20"/>
                <w:szCs w:val="20"/>
                <w:color w:val="auto"/>
              </w:rPr>
            </w:pPr>
            <w:r>
              <w:rPr>
                <w:rFonts w:ascii="Arial" w:cs="Arial" w:eastAsia="Arial" w:hAnsi="Arial"/>
                <w:sz w:val="14"/>
                <w:szCs w:val="14"/>
                <w:color w:val="auto"/>
              </w:rPr>
              <w:t>Other comprehensive income (loss), net of tax</w:t>
            </w:r>
          </w:p>
        </w:tc>
        <w:tc>
          <w:tcPr>
            <w:tcW w:w="120" w:type="dxa"/>
            <w:vAlign w:val="bottom"/>
          </w:tcPr>
          <w:p>
            <w:pPr>
              <w:spacing w:after="0"/>
              <w:rPr>
                <w:sz w:val="13"/>
                <w:szCs w:val="13"/>
                <w:color w:val="auto"/>
              </w:rPr>
            </w:pPr>
          </w:p>
        </w:tc>
        <w:tc>
          <w:tcPr>
            <w:tcW w:w="154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(36,929 )</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21,691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(37,747 )</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19,569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Comprehensive income (loss)</w:t>
            </w: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(183,836 )</w:t>
            </w: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(97,658 )</w:t>
            </w:r>
          </w:p>
        </w:tc>
        <w:tc>
          <w:tcPr>
            <w:tcW w:w="12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(328,137 )</w:t>
            </w:r>
          </w:p>
        </w:tc>
        <w:tc>
          <w:tcPr>
            <w:tcW w:w="1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(942,445 )</w:t>
            </w:r>
          </w:p>
        </w:tc>
        <w:tc>
          <w:tcPr>
            <w:tcW w:w="0" w:type="dxa"/>
            <w:vAlign w:val="bottom"/>
          </w:tcPr>
          <w:p>
            <w:pPr>
              <w:spacing w:after="0"/>
              <w:rPr>
                <w:sz w:val="1"/>
                <w:szCs w:val="1"/>
                <w:color w:val="auto"/>
              </w:rPr>
            </w:pPr>
          </w:p>
        </w:tc>
      </w:tr>
      <w:tr>
        <w:trPr>
          <w:trHeight w:val="153"/>
        </w:trPr>
        <w:tc>
          <w:tcPr>
            <w:tcW w:w="4700" w:type="dxa"/>
            <w:vAlign w:val="bottom"/>
          </w:tcPr>
          <w:p>
            <w:pPr>
              <w:ind w:left="20"/>
              <w:spacing w:after="0" w:line="153" w:lineRule="exact"/>
              <w:rPr>
                <w:sz w:val="20"/>
                <w:szCs w:val="20"/>
                <w:color w:val="auto"/>
              </w:rPr>
            </w:pPr>
            <w:r>
              <w:rPr>
                <w:rFonts w:ascii="Arial" w:cs="Arial" w:eastAsia="Arial" w:hAnsi="Arial"/>
                <w:sz w:val="14"/>
                <w:szCs w:val="14"/>
                <w:color w:val="auto"/>
              </w:rPr>
              <w:t>Less: comprehensive income (loss) attributable</w:t>
            </w: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11,506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5,050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38,519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6,627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00" w:type="dxa"/>
            <w:vAlign w:val="bottom"/>
          </w:tcPr>
          <w:p>
            <w:pPr>
              <w:ind w:left="140"/>
              <w:spacing w:after="0" w:line="158" w:lineRule="exact"/>
              <w:rPr>
                <w:sz w:val="20"/>
                <w:szCs w:val="20"/>
                <w:color w:val="auto"/>
              </w:rPr>
            </w:pPr>
            <w:r>
              <w:rPr>
                <w:rFonts w:ascii="Arial" w:cs="Arial" w:eastAsia="Arial" w:hAnsi="Arial"/>
                <w:sz w:val="14"/>
                <w:szCs w:val="14"/>
                <w:color w:val="auto"/>
              </w:rPr>
              <w:t>to noncontrolling interest, net of tax</w:t>
            </w: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0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Comprehensive income (loss) attributable to</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(195,342</w:t>
            </w:r>
          </w:p>
        </w:tc>
        <w:tc>
          <w:tcPr>
            <w:tcW w:w="22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(102,708</w:t>
            </w:r>
          </w:p>
        </w:tc>
        <w:tc>
          <w:tcPr>
            <w:tcW w:w="22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(366,656</w:t>
            </w:r>
          </w:p>
        </w:tc>
        <w:tc>
          <w:tcPr>
            <w:tcW w:w="22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(949,072</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FF0FC"/>
            </w:tcBorders>
            <w:shd w:val="clear" w:color="auto" w:fill="CFF0FC"/>
          </w:tcPr>
          <w:p>
            <w:pPr>
              <w:ind w:left="140"/>
              <w:spacing w:after="0" w:line="125" w:lineRule="exact"/>
              <w:rPr>
                <w:sz w:val="20"/>
                <w:szCs w:val="20"/>
                <w:color w:val="auto"/>
              </w:rPr>
            </w:pPr>
            <w:r>
              <w:rPr>
                <w:rFonts w:ascii="Arial" w:cs="Arial" w:eastAsia="Arial" w:hAnsi="Arial"/>
                <w:sz w:val="14"/>
                <w:szCs w:val="14"/>
                <w:color w:val="auto"/>
              </w:rPr>
              <w:t>Viasat, Inc.</w:t>
            </w: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-4396740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-4396740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-4396740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-4396740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-2519680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-2519680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-2519680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-2519680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-2211070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-2211070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-2211070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-2211070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-633730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-633730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-633730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20" w:type="dxa"/>
            <w:vAlign w:val="bottom"/>
            <w:gridSpan w:val="5"/>
          </w:tcPr>
          <w:p>
            <w:pPr>
              <w:jc w:val="right"/>
              <w:ind w:right="144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7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December 31, 2024</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3"/>
                <w:szCs w:val="13"/>
                <w:color w:val="auto"/>
              </w:rPr>
            </w:pPr>
          </w:p>
        </w:tc>
      </w:tr>
      <w:tr>
        <w:trPr>
          <w:trHeight w:val="196"/>
        </w:trPr>
        <w:tc>
          <w:tcPr>
            <w:tcW w:w="7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5"/>
          </w:tcPr>
          <w:p>
            <w:pPr>
              <w:jc w:val="right"/>
              <w:ind w:right="162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7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line="202" w:lineRule="exact"/>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(290,390 )</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(962,014 )</w:t>
            </w:r>
          </w:p>
        </w:tc>
      </w:tr>
      <w:tr>
        <w:trPr>
          <w:trHeight w:val="184"/>
        </w:trPr>
        <w:tc>
          <w:tcPr>
            <w:tcW w:w="71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Adjustments to reconcile net income (loss) to net cash provided by operating</w:t>
            </w:r>
          </w:p>
        </w:tc>
        <w:tc>
          <w:tcPr>
            <w:tcW w:w="2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7120" w:type="dxa"/>
            <w:vAlign w:val="bottom"/>
          </w:tcPr>
          <w:p>
            <w:pPr>
              <w:ind w:left="520"/>
              <w:spacing w:after="0" w:line="202" w:lineRule="exact"/>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779,675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598,052</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243,950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246,918</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520"/>
              <w:spacing w:after="0" w:line="202" w:lineRule="exact"/>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63,468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65,669</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Loss (gain) on extinguishment of debt, net</w:t>
            </w: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99,814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7120" w:type="dxa"/>
            <w:vAlign w:val="bottom"/>
          </w:tcPr>
          <w:p>
            <w:pPr>
              <w:ind w:left="520"/>
              <w:spacing w:after="0" w:line="202" w:lineRule="exact"/>
              <w:rPr>
                <w:sz w:val="20"/>
                <w:szCs w:val="20"/>
                <w:color w:val="auto"/>
              </w:rPr>
            </w:pPr>
            <w:r>
              <w:rPr>
                <w:rFonts w:ascii="Arial" w:cs="Arial" w:eastAsia="Arial" w:hAnsi="Arial"/>
                <w:sz w:val="18"/>
                <w:szCs w:val="18"/>
                <w:color w:val="auto"/>
              </w:rPr>
              <w:t>Satellite impairment and disposition of fixed assets losses, net</w:t>
            </w: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52,934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858,010</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Deferred income taxes and other non-cash adjustments</w:t>
            </w: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(88,707 )</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(111,293 )</w:t>
            </w:r>
          </w:p>
        </w:tc>
      </w:tr>
      <w:tr>
        <w:trPr>
          <w:trHeight w:val="184"/>
        </w:trPr>
        <w:tc>
          <w:tcPr>
            <w:tcW w:w="7120" w:type="dxa"/>
            <w:vAlign w:val="bottom"/>
          </w:tcPr>
          <w:p>
            <w:pPr>
              <w:ind w:left="280"/>
              <w:spacing w:after="0" w:line="183" w:lineRule="exact"/>
              <w:rPr>
                <w:sz w:val="20"/>
                <w:szCs w:val="20"/>
                <w:color w:val="auto"/>
              </w:rPr>
            </w:pPr>
            <w:r>
              <w:rPr>
                <w:rFonts w:ascii="Arial" w:cs="Arial" w:eastAsia="Arial" w:hAnsi="Arial"/>
                <w:sz w:val="18"/>
                <w:szCs w:val="18"/>
                <w:color w:val="auto"/>
              </w:rPr>
              <w:t>Increase (decrease) in cash resulting from changes in operating</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7120" w:type="dxa"/>
            <w:vAlign w:val="bottom"/>
          </w:tcPr>
          <w:p>
            <w:pPr>
              <w:ind w:left="420"/>
              <w:spacing w:after="0"/>
              <w:rPr>
                <w:sz w:val="20"/>
                <w:szCs w:val="20"/>
                <w:color w:val="auto"/>
              </w:rPr>
            </w:pPr>
            <w:r>
              <w:rPr>
                <w:rFonts w:ascii="Arial" w:cs="Arial" w:eastAsia="Arial" w:hAnsi="Arial"/>
                <w:sz w:val="18"/>
                <w:szCs w:val="18"/>
                <w:color w:val="auto"/>
              </w:rPr>
              <w:t>assets and liabilities, net of effect of acquisition:</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1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(11,158 )</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(60,618 )</w:t>
            </w:r>
          </w:p>
        </w:tc>
      </w:tr>
      <w:tr>
        <w:trPr>
          <w:trHeight w:val="203"/>
        </w:trPr>
        <w:tc>
          <w:tcPr>
            <w:tcW w:w="7120" w:type="dxa"/>
            <w:vAlign w:val="bottom"/>
          </w:tcPr>
          <w:p>
            <w:pPr>
              <w:ind w:left="52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7"/>
                <w:szCs w:val="17"/>
                <w:color w:val="auto"/>
              </w:rPr>
            </w:pPr>
          </w:p>
        </w:tc>
        <w:tc>
          <w:tcPr>
            <w:tcW w:w="1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(2,345 )</w:t>
            </w:r>
          </w:p>
        </w:tc>
        <w:tc>
          <w:tcPr>
            <w:tcW w:w="200" w:type="dxa"/>
            <w:vAlign w:val="bottom"/>
          </w:tcPr>
          <w:p>
            <w:pPr>
              <w:spacing w:after="0"/>
              <w:rPr>
                <w:sz w:val="17"/>
                <w:szCs w:val="17"/>
                <w:color w:val="auto"/>
              </w:rPr>
            </w:pP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(53,929 )</w:t>
            </w:r>
          </w:p>
        </w:tc>
      </w:tr>
      <w:tr>
        <w:trPr>
          <w:trHeight w:val="203"/>
        </w:trPr>
        <w:tc>
          <w:tcPr>
            <w:tcW w:w="71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58,090</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7"/>
                <w:szCs w:val="17"/>
                <w:color w:val="auto"/>
              </w:rPr>
            </w:pPr>
          </w:p>
        </w:tc>
        <w:tc>
          <w:tcPr>
            <w:tcW w:w="1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(6,889 )</w:t>
            </w: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4,172</w:t>
            </w: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(67,269 )</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(80,895 )</w:t>
            </w:r>
          </w:p>
        </w:tc>
      </w:tr>
      <w:tr>
        <w:trPr>
          <w:trHeight w:val="203"/>
        </w:trPr>
        <w:tc>
          <w:tcPr>
            <w:tcW w:w="7120" w:type="dxa"/>
            <w:vAlign w:val="bottom"/>
          </w:tcPr>
          <w:p>
            <w:pPr>
              <w:ind w:left="520"/>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7"/>
                <w:szCs w:val="17"/>
                <w:color w:val="auto"/>
              </w:rPr>
            </w:pPr>
          </w:p>
        </w:tc>
        <w:tc>
          <w:tcPr>
            <w:tcW w:w="1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(165,366 )</w:t>
            </w:r>
          </w:p>
        </w:tc>
        <w:tc>
          <w:tcPr>
            <w:tcW w:w="200" w:type="dxa"/>
            <w:vAlign w:val="bottom"/>
          </w:tcPr>
          <w:p>
            <w:pPr>
              <w:spacing w:after="0"/>
              <w:rPr>
                <w:sz w:val="17"/>
                <w:szCs w:val="17"/>
                <w:color w:val="auto"/>
              </w:rPr>
            </w:pP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(105,952 )</w:t>
            </w:r>
          </w:p>
        </w:tc>
      </w:tr>
      <w:tr>
        <w:trPr>
          <w:trHeight w:val="196"/>
        </w:trPr>
        <w:tc>
          <w:tcPr>
            <w:tcW w:w="7120" w:type="dxa"/>
            <w:vAlign w:val="bottom"/>
            <w:shd w:val="clear" w:color="auto" w:fill="CFF0FC"/>
          </w:tcPr>
          <w:p>
            <w:pPr>
              <w:ind w:left="78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609,744</w:t>
            </w: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456,210</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Purchase of property, equipment and satellites, and other assets</w:t>
            </w: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(782,459 )</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(1,161,490 )</w:t>
            </w:r>
          </w:p>
        </w:tc>
      </w:tr>
      <w:tr>
        <w:trPr>
          <w:trHeight w:val="203"/>
        </w:trPr>
        <w:tc>
          <w:tcPr>
            <w:tcW w:w="7120" w:type="dxa"/>
            <w:vAlign w:val="bottom"/>
          </w:tcPr>
          <w:p>
            <w:pPr>
              <w:ind w:left="280"/>
              <w:spacing w:after="0" w:line="202" w:lineRule="exact"/>
              <w:rPr>
                <w:sz w:val="20"/>
                <w:szCs w:val="20"/>
                <w:color w:val="auto"/>
              </w:rPr>
            </w:pPr>
            <w:r>
              <w:rPr>
                <w:rFonts w:ascii="Arial" w:cs="Arial" w:eastAsia="Arial" w:hAnsi="Arial"/>
                <w:sz w:val="18"/>
                <w:szCs w:val="18"/>
                <w:color w:val="auto"/>
              </w:rPr>
              <w:t>Proceeds from insurance claims on satellites</w:t>
            </w: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240,000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71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investing activities</w:t>
            </w: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17,577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7120" w:type="dxa"/>
            <w:vAlign w:val="bottom"/>
          </w:tcPr>
          <w:p>
            <w:pPr>
              <w:ind w:left="280"/>
              <w:spacing w:after="0" w:line="202" w:lineRule="exact"/>
              <w:rPr>
                <w:sz w:val="20"/>
                <w:szCs w:val="20"/>
                <w:color w:val="auto"/>
              </w:rPr>
            </w:pPr>
            <w:r>
              <w:rPr>
                <w:rFonts w:ascii="Arial" w:cs="Arial" w:eastAsia="Arial" w:hAnsi="Arial"/>
                <w:sz w:val="18"/>
                <w:szCs w:val="18"/>
                <w:color w:val="auto"/>
              </w:rPr>
              <w:t>Payment related to acquisition of a business, net of cash acquired</w:t>
            </w:r>
          </w:p>
        </w:tc>
        <w:tc>
          <w:tcPr>
            <w:tcW w:w="200" w:type="dxa"/>
            <w:vAlign w:val="bottom"/>
          </w:tcPr>
          <w:p>
            <w:pPr>
              <w:spacing w:after="0"/>
              <w:rPr>
                <w:sz w:val="17"/>
                <w:szCs w:val="17"/>
                <w:color w:val="auto"/>
              </w:rPr>
            </w:pPr>
          </w:p>
        </w:tc>
        <w:tc>
          <w:tcPr>
            <w:tcW w:w="1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(342,621 )</w:t>
            </w:r>
          </w:p>
        </w:tc>
      </w:tr>
      <w:tr>
        <w:trPr>
          <w:trHeight w:val="202"/>
        </w:trPr>
        <w:tc>
          <w:tcPr>
            <w:tcW w:w="71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Proceeds from sale of short-term investments</w:t>
            </w: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134,266</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line="202" w:lineRule="exact"/>
              <w:rPr>
                <w:sz w:val="20"/>
                <w:szCs w:val="20"/>
                <w:color w:val="auto"/>
              </w:rPr>
            </w:pPr>
            <w:r>
              <w:rPr>
                <w:rFonts w:ascii="Arial" w:cs="Arial" w:eastAsia="Arial" w:hAnsi="Arial"/>
                <w:sz w:val="18"/>
                <w:szCs w:val="18"/>
                <w:color w:val="auto"/>
              </w:rPr>
              <w:t>Payments to acquire short-term investments</w:t>
            </w: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(82,000 )</w:t>
            </w:r>
          </w:p>
        </w:tc>
      </w:tr>
      <w:tr>
        <w:trPr>
          <w:trHeight w:val="20"/>
        </w:trPr>
        <w:tc>
          <w:tcPr>
            <w:tcW w:w="7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(524,882 )</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(1,451,845 )</w:t>
            </w: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Proceeds from debt borrowings</w:t>
            </w: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1,975,000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1,334,683</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line="202" w:lineRule="exact"/>
              <w:rPr>
                <w:sz w:val="20"/>
                <w:szCs w:val="20"/>
                <w:color w:val="auto"/>
              </w:rPr>
            </w:pPr>
            <w:r>
              <w:rPr>
                <w:rFonts w:ascii="Arial" w:cs="Arial" w:eastAsia="Arial" w:hAnsi="Arial"/>
                <w:sz w:val="18"/>
                <w:szCs w:val="18"/>
                <w:color w:val="auto"/>
              </w:rPr>
              <w:t>Payments on debt borrowings</w:t>
            </w:r>
          </w:p>
        </w:tc>
        <w:tc>
          <w:tcPr>
            <w:tcW w:w="200" w:type="dxa"/>
            <w:vAlign w:val="bottom"/>
          </w:tcPr>
          <w:p>
            <w:pPr>
              <w:spacing w:after="0"/>
              <w:rPr>
                <w:sz w:val="17"/>
                <w:szCs w:val="17"/>
                <w:color w:val="auto"/>
              </w:rPr>
            </w:pPr>
          </w:p>
        </w:tc>
        <w:tc>
          <w:tcPr>
            <w:tcW w:w="1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(2,376,734 )</w:t>
            </w:r>
          </w:p>
        </w:tc>
        <w:tc>
          <w:tcPr>
            <w:tcW w:w="200" w:type="dxa"/>
            <w:vAlign w:val="bottom"/>
          </w:tcPr>
          <w:p>
            <w:pPr>
              <w:spacing w:after="0"/>
              <w:rPr>
                <w:sz w:val="17"/>
                <w:szCs w:val="17"/>
                <w:color w:val="auto"/>
              </w:rPr>
            </w:pP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(48,457 )</w:t>
            </w:r>
          </w:p>
        </w:tc>
      </w:tr>
      <w:tr>
        <w:trPr>
          <w:trHeight w:val="203"/>
        </w:trPr>
        <w:tc>
          <w:tcPr>
            <w:tcW w:w="71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Payments of debt issuance costs</w:t>
            </w: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(36,284 )</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(50,390 )</w:t>
            </w:r>
          </w:p>
        </w:tc>
      </w:tr>
      <w:tr>
        <w:trPr>
          <w:trHeight w:val="203"/>
        </w:trPr>
        <w:tc>
          <w:tcPr>
            <w:tcW w:w="7120" w:type="dxa"/>
            <w:vAlign w:val="bottom"/>
          </w:tcPr>
          <w:p>
            <w:pPr>
              <w:ind w:left="280"/>
              <w:spacing w:after="0" w:line="202" w:lineRule="exact"/>
              <w:rPr>
                <w:sz w:val="20"/>
                <w:szCs w:val="20"/>
                <w:color w:val="auto"/>
              </w:rPr>
            </w:pPr>
            <w:r>
              <w:rPr>
                <w:rFonts w:ascii="Arial" w:cs="Arial" w:eastAsia="Arial" w:hAnsi="Arial"/>
                <w:sz w:val="18"/>
                <w:szCs w:val="18"/>
                <w:color w:val="auto"/>
              </w:rPr>
              <w:t>Proceeds from issuance of common stock under equity plans</w:t>
            </w: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9,657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10,130</w:t>
            </w:r>
          </w:p>
        </w:tc>
        <w:tc>
          <w:tcPr>
            <w:tcW w:w="100" w:type="dxa"/>
            <w:vAlign w:val="bottom"/>
          </w:tcPr>
          <w:p>
            <w:pPr>
              <w:spacing w:after="0"/>
              <w:rPr>
                <w:sz w:val="17"/>
                <w:szCs w:val="17"/>
                <w:color w:val="auto"/>
              </w:rPr>
            </w:pPr>
          </w:p>
        </w:tc>
      </w:tr>
      <w:tr>
        <w:trPr>
          <w:trHeight w:val="184"/>
        </w:trPr>
        <w:tc>
          <w:tcPr>
            <w:tcW w:w="712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Purchase of common stock in treasury (immediately retired) related</w:t>
            </w:r>
          </w:p>
        </w:tc>
        <w:tc>
          <w:tcPr>
            <w:tcW w:w="2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1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to tax withholdings for stock-based compensation</w:t>
            </w:r>
          </w:p>
        </w:tc>
        <w:tc>
          <w:tcPr>
            <w:tcW w:w="2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(5,208 )</w:t>
            </w: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(11,220 )</w:t>
            </w:r>
          </w:p>
        </w:tc>
      </w:tr>
      <w:tr>
        <w:trPr>
          <w:trHeight w:val="203"/>
        </w:trPr>
        <w:tc>
          <w:tcPr>
            <w:tcW w:w="7120" w:type="dxa"/>
            <w:vAlign w:val="bottom"/>
          </w:tcPr>
          <w:p>
            <w:pPr>
              <w:ind w:left="280"/>
              <w:spacing w:after="0" w:line="202" w:lineRule="exact"/>
              <w:rPr>
                <w:sz w:val="20"/>
                <w:szCs w:val="20"/>
                <w:color w:val="auto"/>
              </w:rPr>
            </w:pPr>
            <w:r>
              <w:rPr>
                <w:rFonts w:ascii="Arial" w:cs="Arial" w:eastAsia="Arial" w:hAnsi="Arial"/>
                <w:sz w:val="18"/>
                <w:szCs w:val="18"/>
                <w:color w:val="auto"/>
              </w:rPr>
              <w:t>Other financing activities</w:t>
            </w:r>
          </w:p>
        </w:tc>
        <w:tc>
          <w:tcPr>
            <w:tcW w:w="200" w:type="dxa"/>
            <w:vAlign w:val="bottom"/>
          </w:tcPr>
          <w:p>
            <w:pPr>
              <w:spacing w:after="0"/>
              <w:rPr>
                <w:sz w:val="17"/>
                <w:szCs w:val="17"/>
                <w:color w:val="auto"/>
              </w:rPr>
            </w:pPr>
          </w:p>
        </w:tc>
        <w:tc>
          <w:tcPr>
            <w:tcW w:w="1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(2,319 )</w:t>
            </w: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1,339</w:t>
            </w:r>
          </w:p>
        </w:tc>
        <w:tc>
          <w:tcPr>
            <w:tcW w:w="100" w:type="dxa"/>
            <w:vAlign w:val="bottom"/>
          </w:tcPr>
          <w:p>
            <w:pPr>
              <w:spacing w:after="0"/>
              <w:rPr>
                <w:sz w:val="17"/>
                <w:szCs w:val="17"/>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(435,888 )</w:t>
            </w: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1,236,085</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6,482</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1,392</w:t>
            </w:r>
          </w:p>
        </w:tc>
        <w:tc>
          <w:tcPr>
            <w:tcW w:w="100" w:type="dxa"/>
            <w:vAlign w:val="bottom"/>
          </w:tcPr>
          <w:p>
            <w:pPr>
              <w:spacing w:after="0"/>
              <w:rPr>
                <w:sz w:val="17"/>
                <w:szCs w:val="17"/>
                <w:color w:val="auto"/>
              </w:rPr>
            </w:pPr>
          </w:p>
        </w:tc>
      </w:tr>
      <w:tr>
        <w:trPr>
          <w:trHeight w:val="196"/>
        </w:trPr>
        <w:tc>
          <w:tcPr>
            <w:tcW w:w="7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 and restricted cash</w:t>
            </w: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(344,544 )</w:t>
            </w: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241,842</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and restricted cash at beginning of period</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1,901,033</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1,379,386</w:t>
            </w:r>
          </w:p>
        </w:tc>
        <w:tc>
          <w:tcPr>
            <w:tcW w:w="100" w:type="dxa"/>
            <w:vAlign w:val="bottom"/>
          </w:tcPr>
          <w:p>
            <w:pPr>
              <w:spacing w:after="0"/>
              <w:rPr>
                <w:sz w:val="17"/>
                <w:szCs w:val="17"/>
                <w:color w:val="auto"/>
              </w:rPr>
            </w:pPr>
          </w:p>
        </w:tc>
      </w:tr>
      <w:tr>
        <w:trPr>
          <w:trHeight w:val="236"/>
        </w:trPr>
        <w:tc>
          <w:tcPr>
            <w:tcW w:w="7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1,556,489</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1,621,228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1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1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Right-of-use assets obtained in exchange for finance lease liabilities</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145,625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1,946</w:t>
            </w:r>
          </w:p>
        </w:tc>
        <w:tc>
          <w:tcPr>
            <w:tcW w:w="100" w:type="dxa"/>
            <w:vAlign w:val="bottom"/>
            <w:shd w:val="clear" w:color="auto" w:fill="CFF0FC"/>
          </w:tcPr>
          <w:p>
            <w:pPr>
              <w:spacing w:after="0"/>
              <w:rPr>
                <w:sz w:val="17"/>
                <w:szCs w:val="17"/>
                <w:color w:val="auto"/>
              </w:rPr>
            </w:pPr>
          </w:p>
        </w:tc>
      </w:tr>
      <w:tr>
        <w:trPr>
          <w:trHeight w:val="203"/>
        </w:trPr>
        <w:tc>
          <w:tcPr>
            <w:tcW w:w="7120" w:type="dxa"/>
            <w:vAlign w:val="bottom"/>
          </w:tcPr>
          <w:p>
            <w:pPr>
              <w:ind w:left="280"/>
              <w:spacing w:after="0" w:line="202" w:lineRule="exact"/>
              <w:rPr>
                <w:sz w:val="20"/>
                <w:szCs w:val="20"/>
                <w:color w:val="auto"/>
              </w:rPr>
            </w:pPr>
            <w:r>
              <w:rPr>
                <w:rFonts w:ascii="Arial" w:cs="Arial" w:eastAsia="Arial" w:hAnsi="Arial"/>
                <w:sz w:val="18"/>
                <w:szCs w:val="18"/>
                <w:color w:val="auto"/>
              </w:rPr>
              <w:t>Right-of-use assets obtained in exchange for operating lease liabilities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76,423</w:t>
            </w:r>
          </w:p>
        </w:tc>
        <w:tc>
          <w:tcPr>
            <w:tcW w:w="28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15,727</w:t>
            </w:r>
          </w:p>
        </w:tc>
        <w:tc>
          <w:tcPr>
            <w:tcW w:w="100" w:type="dxa"/>
            <w:vAlign w:val="bottom"/>
          </w:tcPr>
          <w:p>
            <w:pPr>
              <w:spacing w:after="0"/>
              <w:rPr>
                <w:sz w:val="17"/>
                <w:szCs w:val="17"/>
                <w:color w:val="auto"/>
              </w:rPr>
            </w:pPr>
          </w:p>
        </w:tc>
      </w:tr>
      <w:tr>
        <w:trPr>
          <w:trHeight w:val="184"/>
        </w:trPr>
        <w:tc>
          <w:tcPr>
            <w:tcW w:w="712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Issuance of common stock in satisfaction of certain accrued compensation</w:t>
            </w:r>
          </w:p>
        </w:tc>
        <w:tc>
          <w:tcPr>
            <w:tcW w:w="2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31,173</w:t>
            </w:r>
          </w:p>
        </w:tc>
        <w:tc>
          <w:tcPr>
            <w:tcW w:w="100" w:type="dxa"/>
            <w:vAlign w:val="bottom"/>
            <w:shd w:val="clear" w:color="auto" w:fill="CFF0FC"/>
          </w:tcPr>
          <w:p>
            <w:pPr>
              <w:spacing w:after="0"/>
              <w:rPr>
                <w:sz w:val="19"/>
                <w:szCs w:val="19"/>
                <w:color w:val="auto"/>
              </w:rPr>
            </w:pPr>
          </w:p>
        </w:tc>
      </w:tr>
      <w:tr>
        <w:trPr>
          <w:trHeight w:val="239"/>
        </w:trPr>
        <w:tc>
          <w:tcPr>
            <w:tcW w:w="712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acquisition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2,123,455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-819785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-802640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-819785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-802640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500"/>
              <w:spacing w:after="0"/>
              <w:rPr>
                <w:sz w:val="20"/>
                <w:szCs w:val="20"/>
                <w:color w:val="auto"/>
              </w:rPr>
            </w:pPr>
            <w:r>
              <w:rPr>
                <w:rFonts w:ascii="Arial" w:cs="Arial" w:eastAsia="Arial" w:hAnsi="Arial"/>
                <w:sz w:val="13"/>
                <w:szCs w:val="13"/>
                <w:b w:val="1"/>
                <w:bCs w:val="1"/>
                <w:color w:val="auto"/>
                <w:w w:val="98"/>
              </w:rPr>
              <w:t>Viasat, Inc. Stockholders</w:t>
            </w: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1960" w:type="dxa"/>
            <w:vAlign w:val="bottom"/>
            <w:tcBorders>
              <w:bottom w:val="single" w:sz="8" w:color="auto"/>
            </w:tcBorders>
            <w:gridSpan w:val="4"/>
          </w:tcPr>
          <w:p>
            <w:pPr>
              <w:jc w:val="right"/>
              <w:ind w:right="457"/>
              <w:spacing w:after="0" w:line="129" w:lineRule="exact"/>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7"/>
              </w:rPr>
              <w:t>Accumulate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rPr>
              <w:t>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1"/>
                <w:szCs w:val="11"/>
                <w:color w:val="auto"/>
              </w:rPr>
            </w:pPr>
          </w:p>
        </w:tc>
        <w:tc>
          <w:tcPr>
            <w:tcW w:w="92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Noncontrolli</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w:t>
            </w:r>
          </w:p>
        </w:tc>
        <w:tc>
          <w:tcPr>
            <w:tcW w:w="8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9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6"/>
              </w:rPr>
              <w:t>Earnings</w:t>
            </w:r>
          </w:p>
        </w:tc>
        <w:tc>
          <w:tcPr>
            <w:tcW w:w="120" w:type="dxa"/>
            <w:vAlign w:val="bottom"/>
          </w:tcPr>
          <w:p>
            <w:pPr>
              <w:spacing w:after="0"/>
              <w:rPr>
                <w:sz w:val="11"/>
                <w:szCs w:val="11"/>
                <w:color w:val="auto"/>
              </w:rPr>
            </w:pPr>
          </w:p>
        </w:tc>
        <w:tc>
          <w:tcPr>
            <w:tcW w:w="92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9"/>
              </w:rPr>
              <w:t>ive</w:t>
            </w: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rPr>
              <w:t>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(Accumulate</w:t>
            </w:r>
          </w:p>
        </w:tc>
        <w:tc>
          <w:tcPr>
            <w:tcW w:w="120" w:type="dxa"/>
            <w:vAlign w:val="bottom"/>
          </w:tcPr>
          <w:p>
            <w:pPr>
              <w:spacing w:after="0"/>
              <w:rPr>
                <w:sz w:val="11"/>
                <w:szCs w:val="11"/>
                <w:color w:val="auto"/>
              </w:rPr>
            </w:pPr>
          </w:p>
        </w:tc>
        <w:tc>
          <w:tcPr>
            <w:tcW w:w="9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6"/>
              </w:rPr>
              <w:t>Income</w:t>
            </w: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6"/>
              </w:rPr>
              <w:t>Interest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d Deficit)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7"/>
              </w:rPr>
              <w:t>(Loss)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Subsidiary</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0" w:type="dxa"/>
            <w:vAlign w:val="bottom"/>
            <w:gridSpan w:val="8"/>
          </w:tcPr>
          <w:p>
            <w:pPr>
              <w:jc w:val="right"/>
              <w:ind w:right="760"/>
              <w:spacing w:after="0" w:line="129" w:lineRule="exact"/>
              <w:rPr>
                <w:sz w:val="20"/>
                <w:szCs w:val="20"/>
                <w:color w:val="auto"/>
              </w:rPr>
            </w:pPr>
            <w:r>
              <w:rPr>
                <w:rFonts w:ascii="Arial" w:cs="Arial" w:eastAsia="Arial" w:hAnsi="Arial"/>
                <w:sz w:val="13"/>
                <w:szCs w:val="13"/>
                <w:b w:val="1"/>
                <w:bCs w:val="1"/>
                <w:color w:val="auto"/>
              </w:rPr>
              <w:t>(In thousands, except share data)</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b w:val="1"/>
                <w:bCs w:val="1"/>
                <w:color w:val="auto"/>
              </w:rPr>
              <w:t>For the Three Months Ended December 31, 2024</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ind w:left="20"/>
              <w:spacing w:after="0" w:line="135" w:lineRule="exact"/>
              <w:rPr>
                <w:sz w:val="20"/>
                <w:szCs w:val="20"/>
                <w:color w:val="auto"/>
              </w:rPr>
            </w:pPr>
            <w:r>
              <w:rPr>
                <w:rFonts w:ascii="Arial" w:cs="Arial" w:eastAsia="Arial" w:hAnsi="Arial"/>
                <w:sz w:val="13"/>
                <w:szCs w:val="13"/>
                <w:color w:val="auto"/>
              </w:rPr>
              <w:t>Balance at September 30, 2024</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128,394,327</w:t>
            </w:r>
          </w:p>
        </w:tc>
        <w:tc>
          <w:tcPr>
            <w:tcW w:w="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4,878,615</w:t>
            </w:r>
          </w:p>
        </w:tc>
        <w:tc>
          <w:tcPr>
            <w:tcW w:w="22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78,936</w:t>
            </w:r>
          </w:p>
        </w:tc>
        <w:tc>
          <w:tcPr>
            <w:tcW w:w="22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(22,086 )</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74,002</w:t>
            </w:r>
          </w:p>
        </w:tc>
        <w:tc>
          <w:tcPr>
            <w:tcW w:w="3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5,009,480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Stock-based compensation</w:t>
            </w: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23,298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23,298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800" w:type="dxa"/>
            <w:vAlign w:val="bottom"/>
          </w:tcPr>
          <w:p>
            <w:pPr>
              <w:ind w:left="20"/>
              <w:spacing w:after="0" w:line="117" w:lineRule="exact"/>
              <w:rPr>
                <w:sz w:val="20"/>
                <w:szCs w:val="20"/>
                <w:color w:val="auto"/>
              </w:rPr>
            </w:pPr>
            <w:r>
              <w:rPr>
                <w:rFonts w:ascii="Arial" w:cs="Arial" w:eastAsia="Arial" w:hAnsi="Arial"/>
                <w:sz w:val="13"/>
                <w:szCs w:val="13"/>
                <w:color w:val="auto"/>
              </w:rPr>
              <w:t>RSU awards vesting, net of shares withheld for taxes</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0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940" w:type="dxa"/>
            <w:vAlign w:val="bottom"/>
          </w:tcPr>
          <w:p>
            <w:pPr>
              <w:jc w:val="right"/>
              <w:spacing w:after="0"/>
              <w:rPr>
                <w:sz w:val="20"/>
                <w:szCs w:val="20"/>
                <w:color w:val="auto"/>
              </w:rPr>
            </w:pPr>
            <w:r>
              <w:rPr>
                <w:rFonts w:ascii="Arial" w:cs="Arial" w:eastAsia="Arial" w:hAnsi="Arial"/>
                <w:sz w:val="13"/>
                <w:szCs w:val="13"/>
                <w:color w:val="auto"/>
              </w:rPr>
              <w:t>724,680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(2,813 )</w:t>
            </w:r>
          </w:p>
        </w:tc>
        <w:tc>
          <w:tcPr>
            <w:tcW w:w="10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(2,813 )</w:t>
            </w:r>
          </w:p>
        </w:tc>
        <w:tc>
          <w:tcPr>
            <w:tcW w:w="0" w:type="dxa"/>
            <w:vAlign w:val="bottom"/>
          </w:tcPr>
          <w:p>
            <w:pPr>
              <w:spacing w:after="0"/>
              <w:rPr>
                <w:sz w:val="1"/>
                <w:szCs w:val="1"/>
                <w:color w:val="auto"/>
              </w:rPr>
            </w:pPr>
          </w:p>
        </w:tc>
      </w:tr>
      <w:tr>
        <w:trPr>
          <w:trHeight w:val="135"/>
        </w:trPr>
        <w:tc>
          <w:tcPr>
            <w:tcW w:w="38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Other noncontrolling interest activity</w:t>
            </w: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00" w:type="dxa"/>
            <w:vAlign w:val="bottom"/>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(158,413 )</w:t>
            </w:r>
          </w:p>
        </w:tc>
        <w:tc>
          <w:tcPr>
            <w:tcW w:w="12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11,506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(146,907 )</w:t>
            </w:r>
          </w:p>
        </w:tc>
        <w:tc>
          <w:tcPr>
            <w:tcW w:w="0" w:type="dxa"/>
            <w:vAlign w:val="bottom"/>
          </w:tcPr>
          <w:p>
            <w:pPr>
              <w:spacing w:after="0"/>
              <w:rPr>
                <w:sz w:val="1"/>
                <w:szCs w:val="1"/>
                <w:color w:val="auto"/>
              </w:rPr>
            </w:pPr>
          </w:p>
        </w:tc>
      </w:tr>
      <w:tr>
        <w:trPr>
          <w:trHeight w:val="135"/>
        </w:trPr>
        <w:tc>
          <w:tcPr>
            <w:tcW w:w="38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Other comprehensive income (loss), net of tax</w:t>
            </w: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(36,929 )</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(36,929 )</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800" w:type="dxa"/>
            <w:vAlign w:val="bottom"/>
          </w:tcPr>
          <w:p>
            <w:pPr>
              <w:ind w:left="20"/>
              <w:spacing w:after="0" w:line="129" w:lineRule="exact"/>
              <w:rPr>
                <w:sz w:val="20"/>
                <w:szCs w:val="20"/>
                <w:color w:val="auto"/>
              </w:rPr>
            </w:pPr>
            <w:r>
              <w:rPr>
                <w:rFonts w:ascii="Arial" w:cs="Arial" w:eastAsia="Arial" w:hAnsi="Arial"/>
                <w:sz w:val="13"/>
                <w:szCs w:val="13"/>
                <w:color w:val="auto"/>
              </w:rPr>
              <w:t>Balance at December 31, 2024</w:t>
            </w:r>
          </w:p>
        </w:tc>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129,119,007</w:t>
            </w:r>
          </w:p>
        </w:tc>
        <w:tc>
          <w:tcPr>
            <w:tcW w:w="2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13</w:t>
            </w:r>
          </w:p>
        </w:tc>
        <w:tc>
          <w:tcPr>
            <w:tcW w:w="22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4,899,100</w:t>
            </w:r>
          </w:p>
        </w:tc>
        <w:tc>
          <w:tcPr>
            <w:tcW w:w="220" w:type="dxa"/>
            <w:vAlign w:val="bottom"/>
          </w:tcPr>
          <w:p>
            <w:pPr>
              <w:spacing w:after="0"/>
              <w:rPr>
                <w:sz w:val="11"/>
                <w:szCs w:val="11"/>
                <w:color w:val="auto"/>
              </w:rPr>
            </w:pPr>
          </w:p>
        </w:tc>
        <w:tc>
          <w:tcPr>
            <w:tcW w:w="100" w:type="dxa"/>
            <w:vAlign w:val="bottom"/>
          </w:tcPr>
          <w:p>
            <w:pPr>
              <w:spacing w:after="0" w:line="129"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line="129" w:lineRule="exact"/>
              <w:rPr>
                <w:sz w:val="20"/>
                <w:szCs w:val="20"/>
                <w:color w:val="auto"/>
              </w:rPr>
            </w:pPr>
            <w:r>
              <w:rPr>
                <w:rFonts w:ascii="Arial" w:cs="Arial" w:eastAsia="Arial" w:hAnsi="Arial"/>
                <w:sz w:val="13"/>
                <w:szCs w:val="13"/>
                <w:color w:val="auto"/>
              </w:rPr>
              <w:t>(79,477 )</w:t>
            </w:r>
          </w:p>
        </w:tc>
        <w:tc>
          <w:tcPr>
            <w:tcW w:w="12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80"/>
              <w:spacing w:after="0" w:line="129" w:lineRule="exact"/>
              <w:rPr>
                <w:sz w:val="20"/>
                <w:szCs w:val="20"/>
                <w:color w:val="auto"/>
              </w:rPr>
            </w:pPr>
            <w:r>
              <w:rPr>
                <w:rFonts w:ascii="Arial" w:cs="Arial" w:eastAsia="Arial" w:hAnsi="Arial"/>
                <w:sz w:val="13"/>
                <w:szCs w:val="13"/>
                <w:color w:val="auto"/>
              </w:rPr>
              <w:t>(59,015 )</w:t>
            </w:r>
          </w:p>
        </w:tc>
        <w:tc>
          <w:tcPr>
            <w:tcW w:w="8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85,508</w:t>
            </w:r>
          </w:p>
        </w:tc>
        <w:tc>
          <w:tcPr>
            <w:tcW w:w="34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4,846,129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8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For the Three Months Ended December 31, 2023</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Balance at September 30, 2023</w:t>
            </w: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124,481,293</w:t>
            </w:r>
          </w:p>
        </w:tc>
        <w:tc>
          <w:tcPr>
            <w:tcW w:w="3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13</w:t>
            </w:r>
          </w:p>
        </w:tc>
        <w:tc>
          <w:tcPr>
            <w:tcW w:w="3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4,752,694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474,094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(36,835 )</w:t>
            </w: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37,737</w:t>
            </w:r>
          </w:p>
        </w:tc>
        <w:tc>
          <w:tcPr>
            <w:tcW w:w="340" w:type="dxa"/>
            <w:vAlign w:val="bottom"/>
            <w:gridSpan w:val="2"/>
            <w:shd w:val="clear" w:color="auto" w:fill="CFF0FC"/>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5,227,703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ind w:left="20"/>
              <w:spacing w:after="0" w:line="135" w:lineRule="exact"/>
              <w:rPr>
                <w:sz w:val="20"/>
                <w:szCs w:val="20"/>
                <w:color w:val="auto"/>
              </w:rPr>
            </w:pPr>
            <w:r>
              <w:rPr>
                <w:rFonts w:ascii="Arial" w:cs="Arial" w:eastAsia="Arial" w:hAnsi="Arial"/>
                <w:sz w:val="13"/>
                <w:szCs w:val="13"/>
                <w:color w:val="auto"/>
              </w:rPr>
              <w:t>Stock-based compensation</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24,405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24,405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80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RSU awards vesting, net of shares withheld for taxes</w:t>
            </w:r>
          </w:p>
        </w:tc>
        <w:tc>
          <w:tcPr>
            <w:tcW w:w="9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which have been retired</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838,933</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(8,655 )</w:t>
            </w: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(8,655 )</w:t>
            </w:r>
          </w:p>
        </w:tc>
        <w:tc>
          <w:tcPr>
            <w:tcW w:w="0" w:type="dxa"/>
            <w:vAlign w:val="bottom"/>
          </w:tcPr>
          <w:p>
            <w:pPr>
              <w:spacing w:after="0"/>
              <w:rPr>
                <w:sz w:val="1"/>
                <w:szCs w:val="1"/>
                <w:color w:val="auto"/>
              </w:rPr>
            </w:pPr>
          </w:p>
        </w:tc>
      </w:tr>
      <w:tr>
        <w:trPr>
          <w:trHeight w:val="135"/>
        </w:trPr>
        <w:tc>
          <w:tcPr>
            <w:tcW w:w="3800" w:type="dxa"/>
            <w:vAlign w:val="bottom"/>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(124,399 )</w:t>
            </w:r>
          </w:p>
        </w:tc>
        <w:tc>
          <w:tcPr>
            <w:tcW w:w="12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5,050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(119,349 )</w:t>
            </w:r>
          </w:p>
        </w:tc>
        <w:tc>
          <w:tcPr>
            <w:tcW w:w="0" w:type="dxa"/>
            <w:vAlign w:val="bottom"/>
          </w:tcPr>
          <w:p>
            <w:pPr>
              <w:spacing w:after="0"/>
              <w:rPr>
                <w:sz w:val="1"/>
                <w:szCs w:val="1"/>
                <w:color w:val="auto"/>
              </w:rPr>
            </w:pPr>
          </w:p>
        </w:tc>
      </w:tr>
      <w:tr>
        <w:trPr>
          <w:trHeight w:val="135"/>
        </w:trPr>
        <w:tc>
          <w:tcPr>
            <w:tcW w:w="3800" w:type="dxa"/>
            <w:vAlign w:val="bottom"/>
            <w:tcBorders>
              <w:bottom w:val="single" w:sz="8" w:color="CFF0FC"/>
            </w:tcBorders>
            <w:shd w:val="clear" w:color="auto" w:fill="CFF0FC"/>
          </w:tcPr>
          <w:p>
            <w:pPr>
              <w:ind w:left="20"/>
              <w:spacing w:after="0" w:line="135" w:lineRule="exact"/>
              <w:rPr>
                <w:sz w:val="20"/>
                <w:szCs w:val="20"/>
                <w:color w:val="auto"/>
              </w:rPr>
            </w:pPr>
            <w:r>
              <w:rPr>
                <w:rFonts w:ascii="Arial" w:cs="Arial" w:eastAsia="Arial" w:hAnsi="Arial"/>
                <w:sz w:val="13"/>
                <w:szCs w:val="13"/>
                <w:color w:val="auto"/>
              </w:rPr>
              <w:t>Other comprehensive income (loss), net of tax</w:t>
            </w: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21,691</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21,691</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00" w:type="dxa"/>
            <w:vAlign w:val="bottom"/>
          </w:tcPr>
          <w:p>
            <w:pPr>
              <w:ind w:left="20"/>
              <w:spacing w:after="0" w:line="129" w:lineRule="exact"/>
              <w:rPr>
                <w:sz w:val="20"/>
                <w:szCs w:val="20"/>
                <w:color w:val="auto"/>
              </w:rPr>
            </w:pPr>
            <w:r>
              <w:rPr>
                <w:rFonts w:ascii="Arial" w:cs="Arial" w:eastAsia="Arial" w:hAnsi="Arial"/>
                <w:sz w:val="13"/>
                <w:szCs w:val="13"/>
                <w:color w:val="auto"/>
              </w:rPr>
              <w:t>Balance at December 31, 2023</w:t>
            </w:r>
          </w:p>
        </w:tc>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125,320,226</w:t>
            </w:r>
          </w:p>
        </w:tc>
        <w:tc>
          <w:tcPr>
            <w:tcW w:w="3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13</w:t>
            </w:r>
          </w:p>
        </w:tc>
        <w:tc>
          <w:tcPr>
            <w:tcW w:w="3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4,768,444</w:t>
            </w:r>
          </w:p>
        </w:tc>
        <w:tc>
          <w:tcPr>
            <w:tcW w:w="220" w:type="dxa"/>
            <w:vAlign w:val="bottom"/>
          </w:tcPr>
          <w:p>
            <w:pPr>
              <w:spacing w:after="0"/>
              <w:rPr>
                <w:sz w:val="11"/>
                <w:szCs w:val="11"/>
                <w:color w:val="auto"/>
              </w:rPr>
            </w:pPr>
          </w:p>
        </w:tc>
        <w:tc>
          <w:tcPr>
            <w:tcW w:w="100" w:type="dxa"/>
            <w:vAlign w:val="bottom"/>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349,695</w:t>
            </w:r>
          </w:p>
        </w:tc>
        <w:tc>
          <w:tcPr>
            <w:tcW w:w="22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80"/>
              <w:spacing w:after="0" w:line="129" w:lineRule="exact"/>
              <w:rPr>
                <w:sz w:val="20"/>
                <w:szCs w:val="20"/>
                <w:color w:val="auto"/>
              </w:rPr>
            </w:pPr>
            <w:r>
              <w:rPr>
                <w:rFonts w:ascii="Arial" w:cs="Arial" w:eastAsia="Arial" w:hAnsi="Arial"/>
                <w:sz w:val="13"/>
                <w:szCs w:val="13"/>
                <w:color w:val="auto"/>
              </w:rPr>
              <w:t>(15,144 )</w:t>
            </w:r>
          </w:p>
        </w:tc>
        <w:tc>
          <w:tcPr>
            <w:tcW w:w="8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42,787</w:t>
            </w:r>
          </w:p>
        </w:tc>
        <w:tc>
          <w:tcPr>
            <w:tcW w:w="34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5,145,795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-925195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-925195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-925195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-925195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-925195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-925195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-925195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-119380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-119380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-119380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-119380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-119380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-119380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-119380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58" w:right="4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Viasat, Inc. Stockholders</w:t>
            </w: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1900" w:type="dxa"/>
            <w:vAlign w:val="bottom"/>
            <w:tcBorders>
              <w:bottom w:val="single" w:sz="8" w:color="auto"/>
            </w:tcBorders>
            <w:gridSpan w:val="4"/>
          </w:tcPr>
          <w:p>
            <w:pPr>
              <w:jc w:val="right"/>
              <w:ind w:right="417"/>
              <w:spacing w:after="0" w:line="129" w:lineRule="exact"/>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1"/>
                <w:szCs w:val="11"/>
                <w:color w:val="auto"/>
              </w:rPr>
            </w:pP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Other</w:t>
            </w: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9"/>
              </w:rPr>
              <w:t>Noncontrolli</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Comprehensi</w:t>
            </w: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1"/>
                <w:szCs w:val="11"/>
                <w:color w:val="auto"/>
              </w:rPr>
            </w:pPr>
          </w:p>
        </w:tc>
        <w:tc>
          <w:tcPr>
            <w:tcW w:w="9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6"/>
              </w:rPr>
              <w:t>Earnings</w:t>
            </w:r>
          </w:p>
        </w:tc>
        <w:tc>
          <w:tcPr>
            <w:tcW w:w="120" w:type="dxa"/>
            <w:vAlign w:val="bottom"/>
          </w:tcPr>
          <w:p>
            <w:pPr>
              <w:spacing w:after="0"/>
              <w:rPr>
                <w:sz w:val="11"/>
                <w:szCs w:val="11"/>
                <w:color w:val="auto"/>
              </w:rPr>
            </w:pP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6"/>
              </w:rPr>
              <w:t>ve</w:t>
            </w:r>
          </w:p>
        </w:tc>
        <w:tc>
          <w:tcPr>
            <w:tcW w:w="10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ng</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(Accumulate</w:t>
            </w:r>
          </w:p>
        </w:tc>
        <w:tc>
          <w:tcPr>
            <w:tcW w:w="120" w:type="dxa"/>
            <w:vAlign w:val="bottom"/>
          </w:tcPr>
          <w:p>
            <w:pPr>
              <w:spacing w:after="0"/>
              <w:rPr>
                <w:sz w:val="11"/>
                <w:szCs w:val="11"/>
                <w:color w:val="auto"/>
              </w:rPr>
            </w:pPr>
          </w:p>
        </w:tc>
        <w:tc>
          <w:tcPr>
            <w:tcW w:w="94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Interest in</w:t>
            </w:r>
          </w:p>
        </w:tc>
        <w:tc>
          <w:tcPr>
            <w:tcW w:w="160" w:type="dxa"/>
            <w:vAlign w:val="bottom"/>
          </w:tcPr>
          <w:p>
            <w:pPr>
              <w:spacing w:after="0"/>
              <w:rPr>
                <w:sz w:val="11"/>
                <w:szCs w:val="11"/>
                <w:color w:val="auto"/>
              </w:rPr>
            </w:pPr>
          </w:p>
        </w:tc>
        <w:tc>
          <w:tcPr>
            <w:tcW w:w="6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d Deficit)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(Loss)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Subsidiary</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40" w:type="dxa"/>
            <w:vAlign w:val="bottom"/>
            <w:gridSpan w:val="8"/>
          </w:tcPr>
          <w:p>
            <w:pPr>
              <w:jc w:val="center"/>
              <w:ind w:right="400"/>
              <w:spacing w:after="0" w:line="129" w:lineRule="exact"/>
              <w:rPr>
                <w:sz w:val="20"/>
                <w:szCs w:val="20"/>
                <w:color w:val="auto"/>
              </w:rPr>
            </w:pPr>
            <w:r>
              <w:rPr>
                <w:rFonts w:ascii="Arial" w:cs="Arial" w:eastAsia="Arial" w:hAnsi="Arial"/>
                <w:sz w:val="13"/>
                <w:szCs w:val="13"/>
                <w:b w:val="1"/>
                <w:bCs w:val="1"/>
                <w:color w:val="auto"/>
                <w:w w:val="96"/>
              </w:rPr>
              <w:t>(In thousands, except share data)</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b w:val="1"/>
                <w:bCs w:val="1"/>
                <w:color w:val="auto"/>
              </w:rPr>
              <w:t>For the Nine Months Ended December 31, 2024</w:t>
            </w: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3"/>
                <w:szCs w:val="13"/>
                <w:color w:val="auto"/>
              </w:rPr>
              <w:t>Balance at March 31, 2024</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125,849,088</w:t>
            </w:r>
          </w:p>
        </w:tc>
        <w:tc>
          <w:tcPr>
            <w:tcW w:w="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3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4,797,253</w:t>
            </w:r>
          </w:p>
        </w:tc>
        <w:tc>
          <w:tcPr>
            <w:tcW w:w="2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249,432</w:t>
            </w:r>
          </w:p>
        </w:tc>
        <w:tc>
          <w:tcPr>
            <w:tcW w:w="22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(21,268 )</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47,074</w:t>
            </w:r>
          </w:p>
        </w:tc>
        <w:tc>
          <w:tcPr>
            <w:tcW w:w="2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5,072,504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Issuance of stock under Employee Stock Purchase Plan</w:t>
            </w:r>
          </w:p>
        </w:tc>
        <w:tc>
          <w:tcPr>
            <w:tcW w:w="9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561,888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9,657</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9,657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3"/>
                <w:szCs w:val="13"/>
                <w:color w:val="auto"/>
              </w:rPr>
              <w:t>Stock-based compensation</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69,335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69,335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Shares issued in settlement of certain accrued</w:t>
            </w: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compensation liabilities</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1,755,074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28,063</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28,063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940" w:type="dxa"/>
            <w:vAlign w:val="bottom"/>
          </w:tcPr>
          <w:p>
            <w:pPr>
              <w:ind w:left="20"/>
              <w:spacing w:after="0" w:line="117" w:lineRule="exact"/>
              <w:rPr>
                <w:sz w:val="20"/>
                <w:szCs w:val="20"/>
                <w:color w:val="auto"/>
              </w:rPr>
            </w:pPr>
            <w:r>
              <w:rPr>
                <w:rFonts w:ascii="Arial" w:cs="Arial" w:eastAsia="Arial" w:hAnsi="Arial"/>
                <w:sz w:val="13"/>
                <w:szCs w:val="13"/>
                <w:color w:val="auto"/>
              </w:rPr>
              <w:t>RSU awards vesting, net of shares withheld for taxes</w:t>
            </w: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4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900" w:type="dxa"/>
            <w:vAlign w:val="bottom"/>
          </w:tcPr>
          <w:p>
            <w:pPr>
              <w:jc w:val="right"/>
              <w:spacing w:after="0"/>
              <w:rPr>
                <w:sz w:val="20"/>
                <w:szCs w:val="20"/>
                <w:color w:val="auto"/>
              </w:rPr>
            </w:pPr>
            <w:r>
              <w:rPr>
                <w:rFonts w:ascii="Arial" w:cs="Arial" w:eastAsia="Arial" w:hAnsi="Arial"/>
                <w:sz w:val="13"/>
                <w:szCs w:val="13"/>
                <w:color w:val="auto"/>
              </w:rPr>
              <w:t>952,957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(5,208 )</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(5,208 )</w:t>
            </w:r>
          </w:p>
        </w:tc>
        <w:tc>
          <w:tcPr>
            <w:tcW w:w="0" w:type="dxa"/>
            <w:vAlign w:val="bottom"/>
          </w:tcPr>
          <w:p>
            <w:pPr>
              <w:spacing w:after="0"/>
              <w:rPr>
                <w:sz w:val="1"/>
                <w:szCs w:val="1"/>
                <w:color w:val="auto"/>
              </w:rPr>
            </w:pPr>
          </w:p>
        </w:tc>
      </w:tr>
      <w:tr>
        <w:trPr>
          <w:trHeight w:val="135"/>
        </w:trPr>
        <w:tc>
          <w:tcPr>
            <w:tcW w:w="394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Other noncontrolling interest activity</w:t>
            </w:r>
          </w:p>
        </w:tc>
        <w:tc>
          <w:tcPr>
            <w:tcW w:w="9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(85 )</w:t>
            </w: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(85 )</w:t>
            </w: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(328,909 )</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38,519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(290,390 )</w:t>
            </w:r>
          </w:p>
        </w:tc>
        <w:tc>
          <w:tcPr>
            <w:tcW w:w="0" w:type="dxa"/>
            <w:vAlign w:val="bottom"/>
          </w:tcPr>
          <w:p>
            <w:pPr>
              <w:spacing w:after="0"/>
              <w:rPr>
                <w:sz w:val="1"/>
                <w:szCs w:val="1"/>
                <w:color w:val="auto"/>
              </w:rPr>
            </w:pPr>
          </w:p>
        </w:tc>
      </w:tr>
      <w:tr>
        <w:trPr>
          <w:trHeight w:val="135"/>
        </w:trPr>
        <w:tc>
          <w:tcPr>
            <w:tcW w:w="394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Other comprehensive income (loss), net of tax</w:t>
            </w:r>
          </w:p>
        </w:tc>
        <w:tc>
          <w:tcPr>
            <w:tcW w:w="9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(37,747 )</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(37,747 )</w:t>
            </w:r>
          </w:p>
        </w:tc>
        <w:tc>
          <w:tcPr>
            <w:tcW w:w="0" w:type="dxa"/>
            <w:vAlign w:val="bottom"/>
          </w:tcPr>
          <w:p>
            <w:pPr>
              <w:spacing w:after="0"/>
              <w:rPr>
                <w:sz w:val="1"/>
                <w:szCs w:val="1"/>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940" w:type="dxa"/>
            <w:vAlign w:val="bottom"/>
          </w:tcPr>
          <w:p>
            <w:pPr>
              <w:ind w:left="20"/>
              <w:spacing w:after="0" w:line="129" w:lineRule="exact"/>
              <w:rPr>
                <w:sz w:val="20"/>
                <w:szCs w:val="20"/>
                <w:color w:val="auto"/>
              </w:rPr>
            </w:pPr>
            <w:r>
              <w:rPr>
                <w:rFonts w:ascii="Arial" w:cs="Arial" w:eastAsia="Arial" w:hAnsi="Arial"/>
                <w:sz w:val="13"/>
                <w:szCs w:val="13"/>
                <w:color w:val="auto"/>
              </w:rPr>
              <w:t>Balance at December 31, 2024</w:t>
            </w: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129,119,007</w:t>
            </w:r>
          </w:p>
        </w:tc>
        <w:tc>
          <w:tcPr>
            <w:tcW w:w="22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13</w:t>
            </w:r>
          </w:p>
        </w:tc>
        <w:tc>
          <w:tcPr>
            <w:tcW w:w="22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4,899,100</w:t>
            </w:r>
          </w:p>
        </w:tc>
        <w:tc>
          <w:tcPr>
            <w:tcW w:w="20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(79,477 )</w:t>
            </w:r>
          </w:p>
        </w:tc>
        <w:tc>
          <w:tcPr>
            <w:tcW w:w="120" w:type="dxa"/>
            <w:vAlign w:val="bottom"/>
          </w:tcPr>
          <w:p>
            <w:pPr>
              <w:spacing w:after="0" w:line="129"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(59,015 )</w:t>
            </w:r>
          </w:p>
        </w:tc>
        <w:tc>
          <w:tcPr>
            <w:tcW w:w="10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85,508</w:t>
            </w:r>
          </w:p>
        </w:tc>
        <w:tc>
          <w:tcPr>
            <w:tcW w:w="20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4,846,129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For the Nine Months Ended December 31, 2023</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Balance at March 31, 2023</w:t>
            </w:r>
          </w:p>
        </w:tc>
        <w:tc>
          <w:tcPr>
            <w:tcW w:w="9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76,912,016</w:t>
            </w:r>
          </w:p>
        </w:tc>
        <w:tc>
          <w:tcPr>
            <w:tcW w:w="3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w:t>
            </w:r>
          </w:p>
        </w:tc>
        <w:tc>
          <w:tcPr>
            <w:tcW w:w="36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2,540,679</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1,318,336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(34,713 )</w:t>
            </w:r>
          </w:p>
        </w:tc>
        <w:tc>
          <w:tcPr>
            <w:tcW w:w="1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36,259</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3,860,569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2,633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Issuance of stock under Employee Stock Purchase Plan</w:t>
            </w:r>
          </w:p>
        </w:tc>
        <w:tc>
          <w:tcPr>
            <w:tcW w:w="9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382,062</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10,048</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10,048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3"/>
                <w:szCs w:val="13"/>
                <w:color w:val="auto"/>
              </w:rPr>
              <w:t>Stock-based compensation</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74,232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74,232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Shares issued in settlement of certain accrued</w:t>
            </w: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compensation liabilities</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687,851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31,173</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940" w:type="dxa"/>
            <w:vAlign w:val="bottom"/>
          </w:tcPr>
          <w:p>
            <w:pPr>
              <w:ind w:left="20"/>
              <w:spacing w:after="0" w:line="117" w:lineRule="exact"/>
              <w:rPr>
                <w:sz w:val="20"/>
                <w:szCs w:val="20"/>
                <w:color w:val="auto"/>
              </w:rPr>
            </w:pPr>
            <w:r>
              <w:rPr>
                <w:rFonts w:ascii="Arial" w:cs="Arial" w:eastAsia="Arial" w:hAnsi="Arial"/>
                <w:sz w:val="13"/>
                <w:szCs w:val="13"/>
                <w:color w:val="auto"/>
              </w:rPr>
              <w:t>RSU awards vesting, net of shares withheld for taxes</w:t>
            </w: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4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900" w:type="dxa"/>
            <w:vAlign w:val="bottom"/>
          </w:tcPr>
          <w:p>
            <w:pPr>
              <w:jc w:val="right"/>
              <w:spacing w:after="0"/>
              <w:rPr>
                <w:sz w:val="20"/>
                <w:szCs w:val="20"/>
                <w:color w:val="auto"/>
              </w:rPr>
            </w:pPr>
            <w:r>
              <w:rPr>
                <w:rFonts w:ascii="Arial" w:cs="Arial" w:eastAsia="Arial" w:hAnsi="Arial"/>
                <w:sz w:val="13"/>
                <w:szCs w:val="13"/>
                <w:color w:val="auto"/>
              </w:rPr>
              <w:t>972,028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(11,220 )</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(11,220 )</w:t>
            </w:r>
          </w:p>
        </w:tc>
        <w:tc>
          <w:tcPr>
            <w:tcW w:w="0" w:type="dxa"/>
            <w:vAlign w:val="bottom"/>
          </w:tcPr>
          <w:p>
            <w:pPr>
              <w:spacing w:after="0"/>
              <w:rPr>
                <w:sz w:val="1"/>
                <w:szCs w:val="1"/>
                <w:color w:val="auto"/>
              </w:rPr>
            </w:pPr>
          </w:p>
        </w:tc>
      </w:tr>
      <w:tr>
        <w:trPr>
          <w:trHeight w:val="117"/>
        </w:trPr>
        <w:tc>
          <w:tcPr>
            <w:tcW w:w="394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Shares issued in connection with acquisition of business,</w:t>
            </w: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of issuance costs</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46,363,636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2,123,450</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2,123,455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3"/>
                <w:szCs w:val="13"/>
                <w:color w:val="auto"/>
              </w:rPr>
              <w:t>Other noncontrolling interest activity</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(99 )</w:t>
            </w:r>
          </w:p>
        </w:tc>
        <w:tc>
          <w:tcPr>
            <w:tcW w:w="16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(99 )</w:t>
            </w:r>
          </w:p>
        </w:tc>
        <w:tc>
          <w:tcPr>
            <w:tcW w:w="0" w:type="dxa"/>
            <w:vAlign w:val="bottom"/>
          </w:tcPr>
          <w:p>
            <w:pPr>
              <w:spacing w:after="0"/>
              <w:rPr>
                <w:sz w:val="1"/>
                <w:szCs w:val="1"/>
                <w:color w:val="auto"/>
              </w:rPr>
            </w:pPr>
          </w:p>
        </w:tc>
      </w:tr>
      <w:tr>
        <w:trPr>
          <w:trHeight w:val="135"/>
        </w:trPr>
        <w:tc>
          <w:tcPr>
            <w:tcW w:w="394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9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(968,641 )</w:t>
            </w: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6,627</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(962,014 )</w:t>
            </w: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3"/>
                <w:szCs w:val="13"/>
                <w:color w:val="auto"/>
              </w:rPr>
              <w:t>Other comprehensive income (loss), net of tax</w:t>
            </w: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19,569</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19,569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Balance at December 31, 2023</w:t>
            </w:r>
          </w:p>
        </w:tc>
        <w:tc>
          <w:tcPr>
            <w:tcW w:w="9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125,320,226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4,768,444</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349,695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(15,144 )</w:t>
            </w:r>
          </w:p>
        </w:tc>
        <w:tc>
          <w:tcPr>
            <w:tcW w:w="1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42,787</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5,145,795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-1525270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-1525270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-1525270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-1525270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-1525270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-1525270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6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accompanying condensed consolidated balance sheet at December 31, 2024, the condensed consolidated statements of operations and comprehensive income (loss) for the three and nine months ended December 31, 2024 and 2023, the condensed consolidated statements of cash flows for the nine months ended December 31, 2024 and 2023 and the condensed consolidated statements of equity for the three and nine months ended December 31, 2024 and 2023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2024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2024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32"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w:t>
      </w:r>
    </w:p>
    <w:p>
      <w:pPr>
        <w:spacing w:after="0" w:line="100" w:lineRule="exact"/>
        <w:rPr>
          <w:sz w:val="20"/>
          <w:szCs w:val="20"/>
          <w:color w:val="auto"/>
        </w:rPr>
      </w:pPr>
    </w:p>
    <w:p>
      <w:pPr>
        <w:jc w:val="both"/>
        <w:ind w:right="320" w:firstLine="509"/>
        <w:spacing w:after="0" w:line="253" w:lineRule="auto"/>
        <w:rPr>
          <w:sz w:val="20"/>
          <w:szCs w:val="20"/>
          <w:color w:val="auto"/>
        </w:rPr>
      </w:pPr>
      <w:r>
        <w:rPr>
          <w:rFonts w:ascii="Arial" w:cs="Arial" w:eastAsia="Arial" w:hAnsi="Arial"/>
          <w:sz w:val="18"/>
          <w:szCs w:val="18"/>
          <w:color w:val="auto"/>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15"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On May 30, 2023, the Company completed the acquisition of Connect Topco Limited, a private company limited by shares and incorporated in Guernsey (Inmarsat Holdings and, together with its subsidiaries, Inmarsat, and such acquisition, the Inmarsat Acquisition). The Inmarsat Acquisition was accounted for as a purchase and accordingly, the condensed consolidated financial statements include the operating results of Inmarsat from the date of acquisition.</w:t>
      </w:r>
    </w:p>
    <w:p>
      <w:pPr>
        <w:spacing w:after="0" w:line="120"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On December 18, 2024, the Company completed a divestiture of its energy services system integration business which was part of the Company's communication services segment included in the fixed services and other business line. The energy services system integration business had minimal strategic synergies with the Company’s core growth businesses and was immaterial to the Company's consolidated financial statements.</w:t>
      </w:r>
    </w:p>
    <w:p>
      <w:pPr>
        <w:spacing w:after="0" w:line="1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accordance with the authoritative guidance for revenue from contracts with customers (Accounting Standards Codification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the Company’s revenues, such as sales taxes and value added taxes, are excluded from net sales.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61"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the authoritative guidance for leases (ASC 842). As discussed further below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1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2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Contract costs on U.S. Government contracts are subject to audit and review by the Defense Contract Management Agency (DCMA), the Defense Contract Audit Agency (DCAA), and other U.S. Government agencies, as well as negotiations with U.S. Government representatives. As of December 31, 2024, the DCMA had approved the Company’s incurred costs through fiscal year 2022. The DCMA is currently auditing the Company’s fiscal year 2023 and 2024 recurring incurred cost submissions. The Company's cost accounting practices are examined for compliance with the applicable Cost Accounting Standards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$11.4 million and $16.6 million as of December 31, 2024 and March 31, 2024, respectively, in contract-related reserves for its estimate of potential refunds to customers for potential cost adjustments on several multi-year U.S. Government cost reimbursable contracts (see Note 9 — Commitments and Contingencies for more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6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32" w:lineRule="exact"/>
        <w:rPr>
          <w:sz w:val="20"/>
          <w:szCs w:val="20"/>
          <w:color w:val="auto"/>
        </w:rPr>
      </w:pPr>
    </w:p>
    <w:p>
      <w:pPr>
        <w:ind w:right="280" w:firstLine="509"/>
        <w:spacing w:after="0" w:line="242"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6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communication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communication services segment do not have minimum service purchase requirements and therefore are not included in the Company’s remaining performance obligations. As of December 31, 2024, the aggregate amount of the transaction price allocated to remaining performance obligations was $3.5 billion, of which the Company expects to recognize approximately half over the next 12 months, with the balance recognized thereafter.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6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operates and manages its business in two segments: communication services and defense and advanced technologies. Revenue is disaggregated by products and services, business line, customer type, contract type, and geographic area, as the Company believes this approach best depicts how the nature, amount, timing and uncertainty of its revenue and cash flows are affected by economic factors. See Note 11 — Segment Information for disaggregation of revenue by business line and additional disaggregated revenue disclosures.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products and services for the three and nine months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and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6"/>
          </w:tcPr>
          <w:p>
            <w:pPr>
              <w:jc w:val="center"/>
              <w:ind w:left="979"/>
              <w:spacing w:after="0"/>
              <w:rPr>
                <w:sz w:val="20"/>
                <w:szCs w:val="20"/>
                <w:color w:val="auto"/>
              </w:rPr>
            </w:pPr>
            <w:r>
              <w:rPr>
                <w:rFonts w:ascii="Arial" w:cs="Arial" w:eastAsia="Arial" w:hAnsi="Arial"/>
                <w:sz w:val="14"/>
                <w:szCs w:val="14"/>
                <w:b w:val="1"/>
                <w:bCs w:val="1"/>
                <w:color w:val="auto"/>
              </w:rPr>
              <w:t>Three Months Ended December 31, 2024</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right="180"/>
              <w:spacing w:after="0" w:line="147" w:lineRule="exact"/>
              <w:rPr>
                <w:sz w:val="20"/>
                <w:szCs w:val="20"/>
                <w:color w:val="auto"/>
              </w:rPr>
            </w:pPr>
            <w:r>
              <w:rPr>
                <w:rFonts w:ascii="Arial" w:cs="Arial" w:eastAsia="Arial" w:hAnsi="Arial"/>
                <w:sz w:val="14"/>
                <w:szCs w:val="14"/>
                <w:b w:val="1"/>
                <w:bCs w:val="1"/>
                <w:color w:val="auto"/>
              </w:rPr>
              <w:t>Defense and</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59"/>
              <w:spacing w:after="0"/>
              <w:rPr>
                <w:sz w:val="20"/>
                <w:szCs w:val="20"/>
                <w:color w:val="auto"/>
              </w:rPr>
            </w:pPr>
            <w:r>
              <w:rPr>
                <w:rFonts w:ascii="Arial" w:cs="Arial" w:eastAsia="Arial" w:hAnsi="Arial"/>
                <w:sz w:val="14"/>
                <w:szCs w:val="14"/>
                <w:b w:val="1"/>
                <w:bCs w:val="1"/>
                <w:color w:val="auto"/>
              </w:rPr>
              <w:t>Communication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180"/>
              <w:spacing w:after="0"/>
              <w:rPr>
                <w:sz w:val="20"/>
                <w:szCs w:val="20"/>
                <w:color w:val="auto"/>
              </w:rPr>
            </w:pPr>
            <w:r>
              <w:rPr>
                <w:rFonts w:ascii="Arial" w:cs="Arial" w:eastAsia="Arial" w:hAnsi="Arial"/>
                <w:sz w:val="14"/>
                <w:szCs w:val="14"/>
                <w:b w:val="1"/>
                <w:bCs w:val="1"/>
                <w:color w:val="auto"/>
              </w:rPr>
              <w:t>Advanced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Total</w:t>
            </w: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19"/>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140"/>
              <w:spacing w:after="0"/>
              <w:rPr>
                <w:sz w:val="20"/>
                <w:szCs w:val="20"/>
                <w:color w:val="auto"/>
              </w:rPr>
            </w:pPr>
            <w:r>
              <w:rPr>
                <w:rFonts w:ascii="Arial" w:cs="Arial" w:eastAsia="Arial" w:hAnsi="Arial"/>
                <w:sz w:val="14"/>
                <w:szCs w:val="14"/>
                <w:b w:val="1"/>
                <w:bCs w:val="1"/>
                <w:color w:val="auto"/>
              </w:rPr>
              <w:t>Technologies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Revenues</w:t>
            </w:r>
          </w:p>
        </w:tc>
      </w:tr>
      <w:tr>
        <w:trPr>
          <w:trHeight w:val="196"/>
        </w:trPr>
        <w:tc>
          <w:tcPr>
            <w:tcW w:w="56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758,985</w:t>
            </w:r>
          </w:p>
        </w:tc>
        <w:tc>
          <w:tcPr>
            <w:tcW w:w="5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50,385</w:t>
            </w:r>
          </w:p>
        </w:tc>
        <w:tc>
          <w:tcPr>
            <w:tcW w:w="6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809,370</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61,362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253,035</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314,397</w:t>
            </w:r>
          </w:p>
        </w:tc>
        <w:tc>
          <w:tcPr>
            <w:tcW w:w="100" w:type="dxa"/>
            <w:vAlign w:val="bottom"/>
          </w:tcPr>
          <w:p>
            <w:pPr>
              <w:spacing w:after="0"/>
              <w:rPr>
                <w:sz w:val="17"/>
                <w:szCs w:val="17"/>
                <w:color w:val="auto"/>
              </w:rPr>
            </w:pPr>
          </w:p>
        </w:tc>
      </w:tr>
      <w:tr>
        <w:trPr>
          <w:trHeight w:val="236"/>
        </w:trPr>
        <w:tc>
          <w:tcPr>
            <w:tcW w:w="5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820,347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303,420</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1,123,767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6"/>
        </w:trPr>
        <w:tc>
          <w:tcPr>
            <w:tcW w:w="5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center"/>
              <w:ind w:left="979"/>
              <w:spacing w:after="0"/>
              <w:rPr>
                <w:sz w:val="20"/>
                <w:szCs w:val="20"/>
                <w:color w:val="auto"/>
              </w:rPr>
            </w:pPr>
            <w:r>
              <w:rPr>
                <w:rFonts w:ascii="Arial" w:cs="Arial" w:eastAsia="Arial" w:hAnsi="Arial"/>
                <w:sz w:val="14"/>
                <w:szCs w:val="14"/>
                <w:b w:val="1"/>
                <w:bCs w:val="1"/>
                <w:color w:val="auto"/>
              </w:rPr>
              <w:t>Nine Months Ended December 31, 2024</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right="180"/>
              <w:spacing w:after="0" w:line="147" w:lineRule="exact"/>
              <w:rPr>
                <w:sz w:val="20"/>
                <w:szCs w:val="20"/>
                <w:color w:val="auto"/>
              </w:rPr>
            </w:pPr>
            <w:r>
              <w:rPr>
                <w:rFonts w:ascii="Arial" w:cs="Arial" w:eastAsia="Arial" w:hAnsi="Arial"/>
                <w:sz w:val="14"/>
                <w:szCs w:val="14"/>
                <w:b w:val="1"/>
                <w:bCs w:val="1"/>
                <w:color w:val="auto"/>
              </w:rPr>
              <w:t>Defense and</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59"/>
              <w:spacing w:after="0"/>
              <w:rPr>
                <w:sz w:val="20"/>
                <w:szCs w:val="20"/>
                <w:color w:val="auto"/>
              </w:rPr>
            </w:pPr>
            <w:r>
              <w:rPr>
                <w:rFonts w:ascii="Arial" w:cs="Arial" w:eastAsia="Arial" w:hAnsi="Arial"/>
                <w:sz w:val="14"/>
                <w:szCs w:val="14"/>
                <w:b w:val="1"/>
                <w:bCs w:val="1"/>
                <w:color w:val="auto"/>
              </w:rPr>
              <w:t>Communication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180"/>
              <w:spacing w:after="0"/>
              <w:rPr>
                <w:sz w:val="20"/>
                <w:szCs w:val="20"/>
                <w:color w:val="auto"/>
              </w:rPr>
            </w:pPr>
            <w:r>
              <w:rPr>
                <w:rFonts w:ascii="Arial" w:cs="Arial" w:eastAsia="Arial" w:hAnsi="Arial"/>
                <w:sz w:val="14"/>
                <w:szCs w:val="14"/>
                <w:b w:val="1"/>
                <w:bCs w:val="1"/>
                <w:color w:val="auto"/>
              </w:rPr>
              <w:t>Advanced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Total</w:t>
            </w: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19"/>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140"/>
              <w:spacing w:after="0"/>
              <w:rPr>
                <w:sz w:val="20"/>
                <w:szCs w:val="20"/>
                <w:color w:val="auto"/>
              </w:rPr>
            </w:pPr>
            <w:r>
              <w:rPr>
                <w:rFonts w:ascii="Arial" w:cs="Arial" w:eastAsia="Arial" w:hAnsi="Arial"/>
                <w:sz w:val="14"/>
                <w:szCs w:val="14"/>
                <w:b w:val="1"/>
                <w:bCs w:val="1"/>
                <w:color w:val="auto"/>
              </w:rPr>
              <w:t>Technologies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Revenues</w:t>
            </w:r>
          </w:p>
        </w:tc>
      </w:tr>
      <w:tr>
        <w:trPr>
          <w:trHeight w:val="196"/>
        </w:trPr>
        <w:tc>
          <w:tcPr>
            <w:tcW w:w="56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2,273,490</w:t>
            </w:r>
          </w:p>
        </w:tc>
        <w:tc>
          <w:tcPr>
            <w:tcW w:w="5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154,915</w:t>
            </w:r>
          </w:p>
        </w:tc>
        <w:tc>
          <w:tcPr>
            <w:tcW w:w="6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2,428,405</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200,029</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744,055</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944,084</w:t>
            </w:r>
          </w:p>
        </w:tc>
        <w:tc>
          <w:tcPr>
            <w:tcW w:w="100" w:type="dxa"/>
            <w:vAlign w:val="bottom"/>
          </w:tcPr>
          <w:p>
            <w:pPr>
              <w:spacing w:after="0"/>
              <w:rPr>
                <w:sz w:val="17"/>
                <w:szCs w:val="17"/>
                <w:color w:val="auto"/>
              </w:rPr>
            </w:pPr>
          </w:p>
        </w:tc>
      </w:tr>
      <w:tr>
        <w:trPr>
          <w:trHeight w:val="236"/>
        </w:trPr>
        <w:tc>
          <w:tcPr>
            <w:tcW w:w="5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2,473,519</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898,970</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3,372,489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6"/>
        </w:trPr>
        <w:tc>
          <w:tcPr>
            <w:tcW w:w="5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center"/>
              <w:ind w:left="979"/>
              <w:spacing w:after="0"/>
              <w:rPr>
                <w:sz w:val="20"/>
                <w:szCs w:val="20"/>
                <w:color w:val="auto"/>
              </w:rPr>
            </w:pPr>
            <w:r>
              <w:rPr>
                <w:rFonts w:ascii="Arial" w:cs="Arial" w:eastAsia="Arial" w:hAnsi="Arial"/>
                <w:sz w:val="14"/>
                <w:szCs w:val="14"/>
                <w:b w:val="1"/>
                <w:bCs w:val="1"/>
                <w:color w:val="auto"/>
              </w:rPr>
              <w:t>Three Months Ended December 31, 2023</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right="180"/>
              <w:spacing w:after="0" w:line="147" w:lineRule="exact"/>
              <w:rPr>
                <w:sz w:val="20"/>
                <w:szCs w:val="20"/>
                <w:color w:val="auto"/>
              </w:rPr>
            </w:pPr>
            <w:r>
              <w:rPr>
                <w:rFonts w:ascii="Arial" w:cs="Arial" w:eastAsia="Arial" w:hAnsi="Arial"/>
                <w:sz w:val="14"/>
                <w:szCs w:val="14"/>
                <w:b w:val="1"/>
                <w:bCs w:val="1"/>
                <w:color w:val="auto"/>
              </w:rPr>
              <w:t>Defense and</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59"/>
              <w:spacing w:after="0"/>
              <w:rPr>
                <w:sz w:val="20"/>
                <w:szCs w:val="20"/>
                <w:color w:val="auto"/>
              </w:rPr>
            </w:pPr>
            <w:r>
              <w:rPr>
                <w:rFonts w:ascii="Arial" w:cs="Arial" w:eastAsia="Arial" w:hAnsi="Arial"/>
                <w:sz w:val="14"/>
                <w:szCs w:val="14"/>
                <w:b w:val="1"/>
                <w:bCs w:val="1"/>
                <w:color w:val="auto"/>
              </w:rPr>
              <w:t>Communication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180"/>
              <w:spacing w:after="0"/>
              <w:rPr>
                <w:sz w:val="20"/>
                <w:szCs w:val="20"/>
                <w:color w:val="auto"/>
              </w:rPr>
            </w:pPr>
            <w:r>
              <w:rPr>
                <w:rFonts w:ascii="Arial" w:cs="Arial" w:eastAsia="Arial" w:hAnsi="Arial"/>
                <w:sz w:val="14"/>
                <w:szCs w:val="14"/>
                <w:b w:val="1"/>
                <w:bCs w:val="1"/>
                <w:color w:val="auto"/>
              </w:rPr>
              <w:t>Advanced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Total</w:t>
            </w: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19"/>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140"/>
              <w:spacing w:after="0"/>
              <w:rPr>
                <w:sz w:val="20"/>
                <w:szCs w:val="20"/>
                <w:color w:val="auto"/>
              </w:rPr>
            </w:pPr>
            <w:r>
              <w:rPr>
                <w:rFonts w:ascii="Arial" w:cs="Arial" w:eastAsia="Arial" w:hAnsi="Arial"/>
                <w:sz w:val="14"/>
                <w:szCs w:val="14"/>
                <w:b w:val="1"/>
                <w:bCs w:val="1"/>
                <w:color w:val="auto"/>
              </w:rPr>
              <w:t>Technologies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Revenues</w:t>
            </w:r>
          </w:p>
        </w:tc>
      </w:tr>
      <w:tr>
        <w:trPr>
          <w:trHeight w:val="196"/>
        </w:trPr>
        <w:tc>
          <w:tcPr>
            <w:tcW w:w="56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772,369</w:t>
            </w:r>
          </w:p>
        </w:tc>
        <w:tc>
          <w:tcPr>
            <w:tcW w:w="5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53,097</w:t>
            </w:r>
          </w:p>
        </w:tc>
        <w:tc>
          <w:tcPr>
            <w:tcW w:w="6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825,466</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102,489</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200,584</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303,073</w:t>
            </w:r>
          </w:p>
        </w:tc>
        <w:tc>
          <w:tcPr>
            <w:tcW w:w="100" w:type="dxa"/>
            <w:vAlign w:val="bottom"/>
          </w:tcPr>
          <w:p>
            <w:pPr>
              <w:spacing w:after="0"/>
              <w:rPr>
                <w:sz w:val="17"/>
                <w:szCs w:val="17"/>
                <w:color w:val="auto"/>
              </w:rPr>
            </w:pPr>
          </w:p>
        </w:tc>
      </w:tr>
      <w:tr>
        <w:trPr>
          <w:trHeight w:val="236"/>
        </w:trPr>
        <w:tc>
          <w:tcPr>
            <w:tcW w:w="5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874,858</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253,681</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1,128,539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5"/>
        </w:trPr>
        <w:tc>
          <w:tcPr>
            <w:tcW w:w="5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center"/>
              <w:ind w:left="979"/>
              <w:spacing w:after="0"/>
              <w:rPr>
                <w:sz w:val="20"/>
                <w:szCs w:val="20"/>
                <w:color w:val="auto"/>
              </w:rPr>
            </w:pPr>
            <w:r>
              <w:rPr>
                <w:rFonts w:ascii="Arial" w:cs="Arial" w:eastAsia="Arial" w:hAnsi="Arial"/>
                <w:sz w:val="14"/>
                <w:szCs w:val="14"/>
                <w:b w:val="1"/>
                <w:bCs w:val="1"/>
                <w:color w:val="auto"/>
              </w:rPr>
              <w:t>Nine Months Ended December 31, 2023</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right="180"/>
              <w:spacing w:after="0" w:line="147" w:lineRule="exact"/>
              <w:rPr>
                <w:sz w:val="20"/>
                <w:szCs w:val="20"/>
                <w:color w:val="auto"/>
              </w:rPr>
            </w:pPr>
            <w:r>
              <w:rPr>
                <w:rFonts w:ascii="Arial" w:cs="Arial" w:eastAsia="Arial" w:hAnsi="Arial"/>
                <w:sz w:val="14"/>
                <w:szCs w:val="14"/>
                <w:b w:val="1"/>
                <w:bCs w:val="1"/>
                <w:color w:val="auto"/>
              </w:rPr>
              <w:t>Defense and</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59"/>
              <w:spacing w:after="0"/>
              <w:rPr>
                <w:sz w:val="20"/>
                <w:szCs w:val="20"/>
                <w:color w:val="auto"/>
              </w:rPr>
            </w:pPr>
            <w:r>
              <w:rPr>
                <w:rFonts w:ascii="Arial" w:cs="Arial" w:eastAsia="Arial" w:hAnsi="Arial"/>
                <w:sz w:val="14"/>
                <w:szCs w:val="14"/>
                <w:b w:val="1"/>
                <w:bCs w:val="1"/>
                <w:color w:val="auto"/>
              </w:rPr>
              <w:t>Communication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180"/>
              <w:spacing w:after="0"/>
              <w:rPr>
                <w:sz w:val="20"/>
                <w:szCs w:val="20"/>
                <w:color w:val="auto"/>
              </w:rPr>
            </w:pPr>
            <w:r>
              <w:rPr>
                <w:rFonts w:ascii="Arial" w:cs="Arial" w:eastAsia="Arial" w:hAnsi="Arial"/>
                <w:sz w:val="14"/>
                <w:szCs w:val="14"/>
                <w:b w:val="1"/>
                <w:bCs w:val="1"/>
                <w:color w:val="auto"/>
              </w:rPr>
              <w:t>Advanced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Total</w:t>
            </w: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19"/>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140"/>
              <w:spacing w:after="0"/>
              <w:rPr>
                <w:sz w:val="20"/>
                <w:szCs w:val="20"/>
                <w:color w:val="auto"/>
              </w:rPr>
            </w:pPr>
            <w:r>
              <w:rPr>
                <w:rFonts w:ascii="Arial" w:cs="Arial" w:eastAsia="Arial" w:hAnsi="Arial"/>
                <w:sz w:val="14"/>
                <w:szCs w:val="14"/>
                <w:b w:val="1"/>
                <w:bCs w:val="1"/>
                <w:color w:val="auto"/>
              </w:rPr>
              <w:t>Technologies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Revenues</w:t>
            </w:r>
          </w:p>
        </w:tc>
      </w:tr>
      <w:tr>
        <w:trPr>
          <w:trHeight w:val="196"/>
        </w:trPr>
        <w:tc>
          <w:tcPr>
            <w:tcW w:w="56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2,036,904</w:t>
            </w:r>
          </w:p>
        </w:tc>
        <w:tc>
          <w:tcPr>
            <w:tcW w:w="5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155,667</w:t>
            </w:r>
          </w:p>
        </w:tc>
        <w:tc>
          <w:tcPr>
            <w:tcW w:w="6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2,192,571</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244,771</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696,403</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941,174</w:t>
            </w:r>
          </w:p>
        </w:tc>
        <w:tc>
          <w:tcPr>
            <w:tcW w:w="100" w:type="dxa"/>
            <w:vAlign w:val="bottom"/>
          </w:tcPr>
          <w:p>
            <w:pPr>
              <w:spacing w:after="0"/>
              <w:rPr>
                <w:sz w:val="17"/>
                <w:szCs w:val="17"/>
                <w:color w:val="auto"/>
              </w:rPr>
            </w:pPr>
          </w:p>
        </w:tc>
      </w:tr>
      <w:tr>
        <w:trPr>
          <w:trHeight w:val="236"/>
        </w:trPr>
        <w:tc>
          <w:tcPr>
            <w:tcW w:w="5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2,281,675</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852,070</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3,133,745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-3419475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-3402965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-3419475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-3402965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-3402965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-2288540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-2270760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-2288540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-2270760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-2288540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-1156970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-1139190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-1156970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-1139190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Revenues from the U.S. Government as an individual customer comprised approximately 20% and 18% of total revenues for the three and nine months ended December 31, 2024, respectively, and approximately 17% of total revenues for both the three and nine months ended December 31, 2023. Revenues from the U.S. Government are attributable to each of the communication services segment and defense and advanced technologies segment, with approximately half of such revenues reported within each of these two segments for the three and nine months ended December 31, 2024 and 2023.</w:t>
      </w:r>
    </w:p>
    <w:p>
      <w:pPr>
        <w:spacing w:after="0" w:line="12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Company’s revenues are primarily derived from two types of contracts: fixed-price and cost-reimbursement contracts. Fixed-price contracts (which require the Company to provide products and services under a contract at a specified price), comprised approximately 96% of the Company’s total revenues for both the three and nine months ended December 31, 2024, and approximately 96% and 95% of the Company’s total revenues for the three and nine months ended December 31, 2023, respectively, a majority of which are reported in the Company's communication services segment. The remainder of the Company’s revenues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which contracts are mainly reported within the Company's defense and advanced technologies segment.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Historically, a significant portion of the Company’s revenues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11% and 12% of its total revenues for the three and nine months ended December 31, 2024, respectively, and approximately 10% and 12% of its total revenues for the three and nine months ended December 31, 2023, respectively, mainly reported within the Company's defense and advanced technologies segment.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61"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22"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and deferred revenues, is recorded. Reductions in the collections in excess of revenues and deferred revenues will be recorded as the Company satisfies the performance obligations.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December 31, 2024 and March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right"/>
              <w:ind w:right="759"/>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2"/>
          </w:tcPr>
          <w:p>
            <w:pPr>
              <w:ind w:left="400"/>
              <w:spacing w:after="0"/>
              <w:rPr>
                <w:sz w:val="20"/>
                <w:szCs w:val="20"/>
                <w:color w:val="auto"/>
              </w:rPr>
            </w:pPr>
            <w:r>
              <w:rPr>
                <w:rFonts w:ascii="Arial" w:cs="Arial" w:eastAsia="Arial" w:hAnsi="Arial"/>
                <w:sz w:val="14"/>
                <w:szCs w:val="14"/>
                <w:b w:val="1"/>
                <w:bCs w:val="1"/>
                <w:color w:val="auto"/>
              </w:rPr>
              <w:t>As of</w:t>
            </w:r>
          </w:p>
        </w:tc>
      </w:tr>
      <w:tr>
        <w:trPr>
          <w:trHeight w:val="171"/>
        </w:trPr>
        <w:tc>
          <w:tcPr>
            <w:tcW w:w="6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4"/>
                <w:szCs w:val="14"/>
                <w:color w:val="auto"/>
              </w:rPr>
            </w:pPr>
          </w:p>
        </w:tc>
      </w:tr>
      <w:tr>
        <w:trPr>
          <w:trHeight w:val="196"/>
        </w:trPr>
        <w:tc>
          <w:tcPr>
            <w:tcW w:w="6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Unbilled accounts receivable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137,851</w:t>
            </w:r>
          </w:p>
        </w:tc>
        <w:tc>
          <w:tcPr>
            <w:tcW w:w="7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156,322</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Collections in excess of revenues and deferred revenues</w:t>
            </w:r>
          </w:p>
        </w:tc>
        <w:tc>
          <w:tcPr>
            <w:tcW w:w="24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307,671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260,264</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revenues, long-term portion</w:t>
            </w:r>
          </w:p>
        </w:tc>
        <w:tc>
          <w:tcPr>
            <w:tcW w:w="24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799,565</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896,402</w:t>
            </w:r>
          </w:p>
        </w:tc>
        <w:tc>
          <w:tcPr>
            <w:tcW w:w="100" w:type="dxa"/>
            <w:vAlign w:val="bottom"/>
            <w:shd w:val="clear" w:color="auto" w:fill="CFF0FC"/>
          </w:tcPr>
          <w:p>
            <w:pPr>
              <w:spacing w:after="0"/>
              <w:rPr>
                <w:sz w:val="17"/>
                <w:szCs w:val="17"/>
                <w:color w:val="auto"/>
              </w:rPr>
            </w:pPr>
          </w:p>
        </w:tc>
      </w:tr>
    </w:tbl>
    <w:p>
      <w:pPr>
        <w:spacing w:after="0" w:line="170"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Unbilled accounts receivable decreased by $18.5 million during the nine months ended December 31, 2024, driven primarily by an increase in billings primarily in the Company's defense and advanced technologies segment.</w:t>
      </w:r>
    </w:p>
    <w:p>
      <w:pPr>
        <w:spacing w:after="0" w:line="100"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Collections in excess of revenues and deferred revenues increased by $47.4 million during the nine months ended December 31, 2024, driven by advances on goods or services received in excess of revenue recognized in both of the Company's segments.</w:t>
      </w:r>
    </w:p>
    <w:p>
      <w:pPr>
        <w:spacing w:after="0" w:line="100"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During the three and nine months ended December 31, 2024, the Company recognized revenue of $57.3 million and $203.5 million, respectively, that was previously included in the Company’s collections in excess of revenues and deferred revenues at March 31, 2024. During the three and nine months ended December 31, 2023, the Company recognized revenue of $14.1 million and $91.3 million, respectively, that was previously included in the Company’s collections in excess of revenues and deferred revenues at March 31, 2023.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61"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 with a significant portion held in U.S. government-backed securities and treasuries.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6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38 years. Leasehold improvements are capitalized and amortized using the straight-line method over the shorter of the lease term or the life of the improvement.</w:t>
      </w:r>
    </w:p>
    <w:p>
      <w:pPr>
        <w:spacing w:after="0" w:line="128"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spacing w:after="0" w:line="11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construction of satellites, gateway and networking equipment and other assets under construction, the Company capitalized $59.4 million and $164.6 million of interest expense for the three and nine months ended December 31, 2024, respectively, and $45.7 million and $172.6 million for the three and nine months ended December 31, 2023, respectively.</w:t>
      </w:r>
    </w:p>
    <w:p>
      <w:pPr>
        <w:spacing w:after="0" w:line="12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Company's complementary fleet of 21 in service or operational satellites spans the Ka-, L- and S- bands, with 11 Ka-band satellites, eight high-availability L-band satellites (three of which are contingency L-band satellites that are operational but not currently in commercial service), an S-band satellite that supports the European Aviation Network to provide IFC services to commercial airlines in Europe, and an I-6 class hybrid Ka-/L-band satellite (the I-6 F1 satellite). In late July 2024, the ViaSat-3 F1 satellite completed in-orbit testing and was integrated into the Company's existing satellite fleet covering the Americas. In August 2024, the Company launched two Ka-band highly-elliptical earth orbit satellite payloads intended to provide polar coverage (the Inmarsat GX 10A and GX 10B satellites). Furthermore, the Company has eight additional geostationary earth orbit (GEO) satellites under development: two additional high-capacity Ka-band GEO satellites (ViaSat-3 F2 and ViaSat-3 F3), three additional adaptive Ka-band GEO satellites (GX 7, GX 8 and GX 9) and three Inmarsat-8 L-band GEO safety service satellites.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communication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December 31, 2024 were $534.8 million and $315.0 million, respectively. The total cost and accumulated depreciation of CPE units included in property, equipment and satellites, net, as of March 31, 2024 were $567.5 million and $267.4 million,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launched the first of its third-generation ViaSat-3 class satellites, ViaSat-3 F1, into orbit on April 30, 2023. On July 12, 2023, the Company reported a reflector deployment issue that materially impacted the performance of the ViaSat-3 F1 satellite. The Company and the reflector provider conducted a rigorous review of the development and deployment of the affected reflector to determine its impact and potential remedial measures. In connection with the root cause analysis, the Company determined that while the satellite payload is functional, the Company will recover less than 10% of the planned throughput on the ViaSat-3 F1 satellite.</w:t>
      </w:r>
    </w:p>
    <w:p>
      <w:pPr>
        <w:spacing w:after="0" w:line="12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On August 24, 2023, the Company reported that the I-6 F2 satellite, which was launched on February 18, 2023, suffered a power subsystem anomaly during its orbit raising phase. The Company and Airbus, the satellite's manufacturer, performed a root cause analysis of the anomaly and concluded the satellite would not operate as intended. The Company determined that the full carrying value of the I-6 F2 satellite is not recoverable. The I-6 F2 anomaly does not impact ongoing customer services. The I-6 F1 satellite, which was launched in December 2021, is operational and continues to perform as expected.</w:t>
      </w:r>
    </w:p>
    <w:p>
      <w:pPr>
        <w:spacing w:after="0" w:line="12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As a result of the anomalies that occurred with respect to the ViaSat-3 F1 and I-6 F2 satellites, as well as the impact of integration efforts related to the Inmarsat Acquisition, the Company undertook extensive analysis of its existing integrated satellite fleet and ongoing satellites under construction projects, taking into account its anticipated future capacity needs, projected capital investment profile and access to third party satellites under existing bandwidth arrangements. Based on the impairment analysis performed during the second quarter of fiscal year 2024, as a result of the anomalies experienced in the two satellites and integration impact related to the Inmarsat Acquisition, the Company recorded a reduction to the carrying value of satellites under construction (including capitalized interest) of an insignificant amount and approximately $1.67 billion during the three and nine months ended December 31, 2023, respectively (based on the Company's originally estimated ViaSat-3 F1 satellite output capabilities compared to the anticipated potential and configured capacity of the ViaSat-3 F1 satellite, the full value of the I-6 F2 satellite and the ViaSat-4 satellite program, each a separate asset group), which was partially offset by total insurance claim receivables of approximately $770.0 million. As a result, the Company recorded a net loss of an insignificant amount and approximately $905.5 million during the three and nine months ended December 31, 2023, respectively, including liabilities associated with the termination of certain subcontractor agreements, in selling, general and administrative expenses in its communication services segment in the condensed consolidated statements of operations and comprehensive income (loss). During the three and nine months ended December 31, 2024, the Company received approximately $42.5 million and $240.0 million, respectively, in insurance recovery proceeds related to such claims. The Company has received approximately $10 million in additional insurance recovery proceeds related to such claims subsequent to quarter end. To date, the Company has received an aggregate of approximately $759 million in insurance recovery proceeds related to such claims.</w:t>
      </w:r>
    </w:p>
    <w:p>
      <w:pPr>
        <w:spacing w:after="0" w:line="13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(upon lease commencement) within depreciation expense. The Company’s finance leases consist primarily of satellite lifetime Ka-band capacity leases and have remaining terms from less than one year to 15 years. The Company reports assets obtained under finance leases in property, equipment and satellites, net and the current and non-current portions of its finance lease liabilities in current portion of long-term debt and other long-term debt, respectively, in the condensed consolidated balance sheets (see Note 1 — Basis of Presentation – Leases for more information).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computing arrangements</w:t>
      </w:r>
    </w:p>
    <w:p>
      <w:pPr>
        <w:spacing w:after="0" w:line="61"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development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condensed consolidated balance sheets.</w:t>
      </w:r>
    </w:p>
    <w:p>
      <w:pPr>
        <w:spacing w:after="0" w:line="30"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The Company has entered into several cloud computing arrangements that are hosted services contracts mainly as part of projects related to the continuous transformation of technology, integration and implementation of an ERP system. As of December 31, 2024 and March 31, 2024, gross capitalized implementation costs incurred in cloud computing arrangements was $78.9 million and $63.6 million, respectively. As of December 31, 2024 and March 31, 2024 the related accumulated amortization was $15.0 million and $9.5 million, respectively. The Company recognized amortization of capitalized implementation costs of $2.2 million and $5.4 million for three and nine months ended December 31, 2024, respectively, and an insignificant amount and $2.2 million for the three and nine months ended December 31, 2023,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6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accordance with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2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spacing w:after="0" w:line="14" w:lineRule="exact"/>
        <w:rPr>
          <w:sz w:val="20"/>
          <w:szCs w:val="20"/>
          <w:color w:val="auto"/>
        </w:rPr>
      </w:pPr>
    </w:p>
    <w:p>
      <w:pPr>
        <w:ind w:right="200" w:firstLine="8"/>
        <w:spacing w:after="0" w:line="239"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26"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that typically range from less than one year to 17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61"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For broadband equipment leased to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6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61" w:lineRule="exact"/>
        <w:rPr>
          <w:sz w:val="20"/>
          <w:szCs w:val="20"/>
          <w:color w:val="auto"/>
        </w:rPr>
      </w:pPr>
    </w:p>
    <w:p>
      <w:pPr>
        <w:jc w:val="both"/>
        <w:ind w:right="40" w:firstLine="509"/>
        <w:spacing w:after="0" w:line="255" w:lineRule="auto"/>
        <w:rPr>
          <w:sz w:val="20"/>
          <w:szCs w:val="20"/>
          <w:color w:val="auto"/>
        </w:rPr>
      </w:pPr>
      <w:r>
        <w:rPr>
          <w:rFonts w:ascii="Arial" w:cs="Arial" w:eastAsia="Arial" w:hAnsi="Arial"/>
          <w:sz w:val="17"/>
          <w:szCs w:val="17"/>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of $4.1 million and $3.9 million were included in other assets as of December 31, 2024 and March 31, 2024, respectively.</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capitalized costs of $124.7 million and $117.0 million related to acquiring and obtaining orbital slots and other licenses included in other assets as of December 31, 2024 and March 31, 2024, respectively. Accumulated amortization related to these assets was $9.7 million and $8.4 million as of December 31, 2024 and March 31, 2024, respectively. Amortization expense related to these assets was an insignificant amount and $1.3 million for the three and nine months ended December 31, 2024, respectively, and an insignificant amount and $1.2 million for the three and nine months ended December 31, 2023, respectively. If a patent, orbital slot or other license is rejected, abandoned or otherwise invalidated, the unamortized cost is expensed in that period. During the three and nine months ended December 31, 2024 and 2023, the Company did not write off any significant costs due to abandonment or impairment.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6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nine months ended December 31, 2024 and 2023, the Company capitalized $35.6 million and $50.4 million of debt issuance costs, respectively. Unamortized debt issuance costs related to extinguished debt are expensed at the time the debt is extinguished and recorded in loss on extinguishment of debt in the condensed consolidated statements of operations and comprehensive income (loss). 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Debt issuance costs related to the Company’s revolving credit facilities (collectively, the Revolving Credit Facilities) are recorded in other long-term assets in the condensed consolidated balance sheets in accordance with the authoritative guidance for imputation of interest (ASC 835-30). Debt issuance costs related to the Company’s senior secured and senior unsecured notes (collectively, the Notes) and senior secured term loan credit facilities (together with the Revolving Credit Facilities, the Credit Facilities) are recorded as a direct deduction from the carrying amount of the related debt, consistent with debt discounts, in accordance with ASC 835-30.</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6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As of December 31, 2024 and March 31, 2024, the Company had $758.0 million and $723.9 million, respectively, of capitalized costs related to software developed for resale. Accumulated amortization related to these assets was $ 504.2 million and $483.3 million as of December 31, 2024 and March 31, 2024, respectively. The Company capitalized $ 18.3 million and $56.1 million of costs related to software developed for resale for the three and nine months ended December 31, 2024, respectively, and $25.1 million and $56.1 million for the three and nine months ended December 31, 2023, respectively. Amortization expense for capitalized software development costs was $13.5 million and $42.9 million for the three and nine months ended December 31, 2024, respectively, and $14.7 million and $43.2 million for the three and nine months ended December 31, 2023,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and post-retirement medical benefit liabilities</w:t>
      </w:r>
    </w:p>
    <w:p>
      <w:pPr>
        <w:spacing w:after="0" w:line="6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$5.9 million and $6.5 million as of December 31, 2024 and March 31, 2024,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the condensed consolidated balance sheets in accordance with the estimated timing of the projected payments.</w:t>
      </w:r>
    </w:p>
    <w:p>
      <w:pPr>
        <w:spacing w:after="0" w:line="12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As a part of the Inmarsat Acquisition, the Company assumed a post-retirement medical benefit plan for retired employees (and their dependents) who were employed by Inmarsat before January 1, 1998. The plan is funded by the Company and there are no plan assets from which the costs are paid. The cost of providing these benefits is actuarially determined and accrued over the service period of the active employee groups. The annual increase in Inmarsat's contribution to post-retirement medical liability is capped at the United Kingdom Consumer Price Index +1%.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6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31, 2024 and March 31, 2024, no such amounts were accrued related to the aforementioned provisions.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61"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 The Company's investments in equity method investments were not significant as of December 31, 2024 and March 31, 2024.</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2024 and March 31, 2024, the Company had zero shares of common stock held in treasury.</w:t>
      </w:r>
    </w:p>
    <w:p>
      <w:pPr>
        <w:spacing w:after="0" w:line="15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During the three months ended December 31, 2024 and 2023, the Company issued 1,103,337 and 1,284,326 shares of common stock, respectively, based on the vesting terms of certain restricted stock unit agreements. During the nine months ended December 31, 2024 and 2023, the Company issued 1,473,495 and 1,478,822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December 31, 2024 and 2023, the Company repurchased 378,657 and 445,393 shares of common stock, respectively, at cost and with a total value of $2.8 million and $8.7 million, respectively. During the nine months ended December 31, 2024 and 2023, the Company repurchased 520,538 and 506,794 shares of common stock, respectively, at cost and with a total value of $5.2 million and $11.2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a result of the Inmarsat Acquisition (see Note 4 — Acquisition for more information), the Company assumed interest rate cap contracts to hedge the variable interest rate under Inmarsat's senior secured term loan facilities (see Note 7 — Senior Notes and Other Long-Term Debt for more information). The interest rate cap contracts provide protection from Compound SOFR rates over 2%, cover the total nominal amount of Inmarsat's senior secured term loan facilities of $1.6 billion and mature at the end of February 2025. At the time of the acquisition, the Company continued to account for the interest rate cap contracts as cash-flow hedges. Upon amendment of Inmarsat's senior secured term loan facilities on March 28, 2024 (see Note 7 — Senior Notes and Other Long-Term Debt for more information), the portion of the interest rate cap contracts related to Inmarsat’s $1.3 billion senior secured term loan facility (the 2024 Inmarsat Term Loan Facility) continued to be accounted for as cash-flow hedges, as the interest rate cap contracts remain in place with their original maturity date.</w:t>
      </w:r>
    </w:p>
    <w:p>
      <w:pPr>
        <w:spacing w:after="0" w:line="12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Company does not use this instrument, or these types of instruments in general, for speculative or trading purposes. The Company’s objective is to reduce the risk to earnings and cash flows associated with changes in debt with variable interest rates. Derivative instruments are recognized as either assets or liabilities in the condensed consolidated balance sheets and are measured at fair value. The value of a hedging derivative is classified as a non-current asset or liability if the cash flows are due to be received in greater than 12 months, and as a current asset or liability if the cash flows are due to be received in less than 12 months.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Gains and losses arising from changes in the fair value of derivative instruments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 The Company may designate a derivative with periodic cash settlements and a non-zero fair value at hedge inception as the hedging instrument in a qualifying cash flow hedging relationship. The non-zero fair value of cash flow hedges on the designation date is recognized into income under a systematic and rational method over the life of the hedging instrument and in the same line item on the condensed consolidated statements of operations as the earnings of the hedge item, with the offset recorded to other comprehensive income (loss).</w:t>
      </w:r>
    </w:p>
    <w:p>
      <w:pPr>
        <w:spacing w:after="0" w:line="12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During the three months ended December 31, 2024 and 2023, the Company recognized a gain of an insignificant amount (and related tax expense of an insignificant amount) and a loss of $10.0 million (and related tax benefit of $2.3 million), respectively, and during the nine months ended December 31, 2024 and 2023, the Company recognized a gain of $1.1 million (and related tax expense of an insignificant amount) and a gain of $10.6 million (and related tax expense of $2.9 million), respectively, in other comprehensive income arising from changes in the fair value of the interest rate cap contracts (designated as cash-flow hedging instruments) related to Inmarsat's senior secured term loan facilities. During the three months ended December 31, 2024 and 2023, the Company recorded a decrease of $5.1 million (and related tax benefit of $1.3 million) and an increase of $16.9 million (and related tax expense of $4.0 million), respectively, and during the nine months ended December 31, 2024 and 2023, the Company recorded a decrease of $13.2 million (and related tax benefit of $3.3 million) and a decrease of $1.8 million (and related tax benefit of an insignificant amount), respectively, to other comprehensive income and interest expense, net of the recognition into income of the non-zero hedge inception fair value (based on the nature of the underlying transaction). During the three months ended December 31, 2024 and 2023, the Company received $11.5 million and $14.0 million in cash, respectively, and during the nine months ended December 31, 2024 and 2023, the Company received $40.0 million and $31.8 million in cash, respectively, as a result of periodic cash settlements, which are included in operating cash flow in the condensed consolidated statements of cash flows. As of December 31, 2024 and March 31, 2024, the fair value of the Company's interest rate cap contracts was $6.2 million and $44.5 million, respectively, and recorded in other current assets in the condensed consolidated balance sheets.</w:t>
      </w:r>
    </w:p>
    <w:p>
      <w:pPr>
        <w:spacing w:after="0" w:line="134"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At December 31, 2024, the estimated net amount of unrealized gains or losses related to the interest rate cap contracts that was expected to be reclassified to earnings net of the recognition into income of non-zero hedge inception fair value within the next 12 months was $3.0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market-based performance stock options and performance-based restricted stock units (PSUs) with a market condition (such as a stock price milestone) (market condition PSUs) that vest is recognized regardless of the actual outcome achieved and is recognized on a graded-vesting basis. Expense for PSUs with a performance condition (such as an operational milestone) (performance condition PSUs) that vest is recorded each period based on a probability assessment of the expected outcome of the performance metric with a final adjustment upon measurement at the end of the performance period and is recognized on a graded-vesting basis. The Company accounts for forfeitures as they occur. The Company recognized $21.5 million and $63.5 million of stock-based compensation expense for the three and nine months ended December 31, 2024, respectively. The Company recognized $22.2 million and $65.7 million of stock-based compensation expense for the three and nine months ended December 31, 2023, respectively. The Company recognizes excess tax benefits or deficiencies on vesting or settlement of awards as discrete items within income tax benefit or provision within net income (loss) and the related cash flows are classified within operating activities.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6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26"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w:t>
      </w:r>
    </w:p>
    <w:p>
      <w:pPr>
        <w:spacing w:after="0" w:line="100"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56" w:lineRule="exact"/>
        <w:rPr>
          <w:sz w:val="20"/>
          <w:szCs w:val="20"/>
          <w:color w:val="auto"/>
        </w:rPr>
      </w:pPr>
    </w:p>
    <w:p>
      <w:pPr>
        <w:ind w:right="400" w:firstLine="509"/>
        <w:spacing w:after="0" w:line="244" w:lineRule="auto"/>
        <w:rPr>
          <w:sz w:val="20"/>
          <w:szCs w:val="20"/>
          <w:color w:val="auto"/>
        </w:rPr>
      </w:pPr>
      <w:r>
        <w:rPr>
          <w:rFonts w:ascii="Arial" w:cs="Arial" w:eastAsia="Arial" w:hAnsi="Arial"/>
          <w:sz w:val="18"/>
          <w:szCs w:val="18"/>
          <w:color w:val="auto"/>
        </w:rPr>
        <w:t>In June 2022, the FASB issued ASU 2022-03, Fair Value Measurement (Topic 820): Fair Value Measurement of Equity Securities Subject to Contractual Sale Restrictions. ASU 2022-03 clarifies that a contractual restriction on the sale of an equity security is not considered in measuring the security's fair value. The standard also requires certain disclosures for equity securities that are subject to contractual restrictions. The Company adopted the new guidance in the first quarter of fiscal year 2025 and the guidance did not have a material impact on its consolidated financial statements and disclosures.</w:t>
      </w:r>
    </w:p>
    <w:p>
      <w:pPr>
        <w:spacing w:after="0" w:line="122"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March 2023, the FASB issued ASU 2023-01, Leases (Topic 842) – Common Control Agreements. The amendments in this update that apply to public business entities clarify the accounting for leasehold improvements associated with common control leases. The Company adopted the new guidance in the first quarter of fiscal year 2025 and the guidance did not have a material impact on its consolidated financial statements and disclosures.</w:t>
      </w:r>
    </w:p>
    <w:p>
      <w:pPr>
        <w:spacing w:after="0" w:line="12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October 2023, the FASB issued ASU 2023-06, Disclosure Improvements: Codification Amendments in Response to the SEC’s Disclosure Update and Simplification Initiative. This ASU amends certain disclosure and presentation requirements for a variety of topics within the FASB ASC. These amendments will also align the requirements in the ASC with the SEC's regulations. The effective date for each amended topic in the ASC is the date on which the SEC’s removal of the related disclosure requirement from Regulation S-X or Regulation S-K becomes effective, and will not be effective if the SEC has not removed the applicable disclosure requirements by June 30, 2027. Early adoption is prohibited. The Company is currently evaluating the impact of this standard on its consolidated financial statements and disclosures.</w:t>
      </w:r>
    </w:p>
    <w:p>
      <w:pPr>
        <w:spacing w:after="0" w:line="13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This ASU requires public entities to enhance disclosures about their reportable segments' significant expenses on an interim and annual basis. The new standard will become effective for the Company's annual disclosures beginning in fiscal year 2025 and for interim disclosures beginning in fiscal year 2026 on a retrospective basis. Early adoption is permitted. The Company is currently evaluating the impact of this standard on its consolidated financial statements and disclosures.</w:t>
      </w:r>
    </w:p>
    <w:p>
      <w:pPr>
        <w:spacing w:after="0" w:line="12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ASU 2023-09 enhances income tax disclosures by requiring disclosure of specific categories in the income tax rate reconciliation table and disaggregation of income taxes paid. The new standard will become effective for the Company beginning in fiscal year 2026. Early adoption is permitted and the new standard should be applied prospectively, however retrospective application is permitted. The Company is currently evaluating the impact of this standard on its consolidated financial statements and disclosures.</w:t>
      </w:r>
    </w:p>
    <w:p>
      <w:pPr>
        <w:spacing w:after="0" w:line="12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In March 2024, the FASB issued ASU 2024-02, Codification Improvements – Amendments to Remove References to the Concepts Statements. This update contains amendments to the Codification that remove references to various Concepts Statements. The amendments in this update are not intended to result in significant accounting changes for most entities. The amendments in this update are effective for the Company beginning in fiscal year 2026. Early adoption is permitted. The Company is currently evaluating the impact of this standard on its consolidated financial statements and disclosures.</w:t>
      </w:r>
    </w:p>
    <w:p>
      <w:pPr>
        <w:spacing w:after="0" w:line="12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November 2024, the FASB issued ASU 2024-03, Income Statement – Reporting Comprehensive Income – Expense Disaggregation Disclosures (Subtopic 220-40): Disaggregation of Income Statement Expenses. This ASU requires additional disclosures about certain categories of costs and expenses in the notes to financial statements. As clarified in ASU 2025-01, Income Statement – Reporting Comprehensive Income – Expense Disaggregation Disclosures (Subtopic 220-40): Clarifying the Effective Date, the new standard will become effective for the Company’s annual disclosures beginning in fiscal year 2028 and for interim disclosures beginning in fiscal year 2029. Early adoption is permitted and the amendments should be applied either prospectively to financial statements issued for reporting periods after the effective date of the ASU or retrospectively to any or all periods presented in the financial statements. The Company is currently evaluating the impact of this standard on its consolidated financial statements and disclosures.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1"/>
                <w:szCs w:val="11"/>
                <w:b w:val="1"/>
                <w:bCs w:val="1"/>
                <w:color w:val="auto"/>
              </w:rPr>
              <w:t>As of</w:t>
            </w:r>
          </w:p>
        </w:tc>
        <w:tc>
          <w:tcPr>
            <w:tcW w:w="280" w:type="dxa"/>
            <w:vAlign w:val="bottom"/>
          </w:tcPr>
          <w:p>
            <w:pPr>
              <w:spacing w:after="0"/>
              <w:rPr>
                <w:sz w:val="10"/>
                <w:szCs w:val="10"/>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1"/>
                <w:szCs w:val="11"/>
                <w:b w:val="1"/>
                <w:bCs w:val="1"/>
                <w:color w:val="auto"/>
              </w:rPr>
              <w:t>As of</w:t>
            </w:r>
          </w:p>
        </w:tc>
      </w:tr>
      <w:tr>
        <w:trPr>
          <w:trHeight w:val="135"/>
        </w:trPr>
        <w:tc>
          <w:tcPr>
            <w:tcW w:w="76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302"/>
              <w:spacing w:after="0"/>
              <w:rPr>
                <w:sz w:val="20"/>
                <w:szCs w:val="20"/>
                <w:color w:val="auto"/>
              </w:rPr>
            </w:pPr>
            <w:r>
              <w:rPr>
                <w:rFonts w:ascii="Arial" w:cs="Arial" w:eastAsia="Arial" w:hAnsi="Arial"/>
                <w:sz w:val="11"/>
                <w:szCs w:val="11"/>
                <w:b w:val="1"/>
                <w:bCs w:val="1"/>
                <w:color w:val="auto"/>
              </w:rPr>
              <w:t>December 31, 2024</w:t>
            </w:r>
          </w:p>
        </w:tc>
        <w:tc>
          <w:tcPr>
            <w:tcW w:w="2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rPr>
              <w:t>March 31, 2024</w:t>
            </w:r>
          </w:p>
        </w:tc>
        <w:tc>
          <w:tcPr>
            <w:tcW w:w="100" w:type="dxa"/>
            <w:vAlign w:val="bottom"/>
          </w:tcPr>
          <w:p>
            <w:pPr>
              <w:spacing w:after="0"/>
              <w:rPr>
                <w:sz w:val="11"/>
                <w:szCs w:val="11"/>
                <w:color w:val="auto"/>
              </w:rPr>
            </w:pPr>
          </w:p>
        </w:tc>
      </w:tr>
      <w:tr>
        <w:trPr>
          <w:trHeight w:val="115"/>
        </w:trPr>
        <w:tc>
          <w:tcPr>
            <w:tcW w:w="7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40" w:type="dxa"/>
            <w:vAlign w:val="bottom"/>
            <w:gridSpan w:val="3"/>
          </w:tcPr>
          <w:p>
            <w:pPr>
              <w:jc w:val="right"/>
              <w:ind w:right="82"/>
              <w:spacing w:after="0" w:line="115" w:lineRule="exact"/>
              <w:rPr>
                <w:sz w:val="20"/>
                <w:szCs w:val="20"/>
                <w:color w:val="auto"/>
              </w:rPr>
            </w:pPr>
            <w:r>
              <w:rPr>
                <w:rFonts w:ascii="Arial" w:cs="Arial" w:eastAsia="Arial" w:hAnsi="Arial"/>
                <w:sz w:val="11"/>
                <w:szCs w:val="11"/>
                <w:b w:val="1"/>
                <w:bCs w:val="1"/>
                <w:color w:val="auto"/>
              </w:rPr>
              <w:t>(In thousands)</w:t>
            </w: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7600" w:type="dxa"/>
            <w:vAlign w:val="bottom"/>
            <w:shd w:val="clear" w:color="auto" w:fill="CFF0FC"/>
          </w:tcPr>
          <w:p>
            <w:pPr>
              <w:ind w:left="20"/>
              <w:spacing w:after="0" w:line="135" w:lineRule="exact"/>
              <w:rPr>
                <w:sz w:val="20"/>
                <w:szCs w:val="20"/>
                <w:color w:val="auto"/>
              </w:rPr>
            </w:pPr>
            <w:r>
              <w:rPr>
                <w:rFonts w:ascii="Arial" w:cs="Arial" w:eastAsia="Arial" w:hAnsi="Arial"/>
                <w:sz w:val="12"/>
                <w:szCs w:val="12"/>
                <w:color w:val="auto"/>
              </w:rPr>
              <w:t>Accounts receivable, net:</w:t>
            </w: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Billed</w:t>
            </w:r>
          </w:p>
        </w:tc>
        <w:tc>
          <w:tcPr>
            <w:tcW w:w="22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533,997</w:t>
            </w:r>
          </w:p>
        </w:tc>
        <w:tc>
          <w:tcPr>
            <w:tcW w:w="280" w:type="dxa"/>
            <w:vAlign w:val="bottom"/>
          </w:tcPr>
          <w:p>
            <w:pPr>
              <w:spacing w:after="0"/>
              <w:rPr>
                <w:sz w:val="11"/>
                <w:szCs w:val="11"/>
                <w:color w:val="auto"/>
              </w:rPr>
            </w:pPr>
          </w:p>
        </w:tc>
        <w:tc>
          <w:tcPr>
            <w:tcW w:w="280" w:type="dxa"/>
            <w:vAlign w:val="bottom"/>
          </w:tcPr>
          <w:p>
            <w:pPr>
              <w:jc w:val="right"/>
              <w:ind w:right="142"/>
              <w:spacing w:after="0" w:line="135" w:lineRule="exact"/>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545,081</w:t>
            </w:r>
          </w:p>
        </w:tc>
        <w:tc>
          <w:tcPr>
            <w:tcW w:w="100" w:type="dxa"/>
            <w:vAlign w:val="bottom"/>
          </w:tcPr>
          <w:p>
            <w:pPr>
              <w:spacing w:after="0"/>
              <w:rPr>
                <w:sz w:val="11"/>
                <w:szCs w:val="11"/>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Unbilled</w:t>
            </w: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137,851</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156,322</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Allowance for doubtful accounts</w:t>
            </w:r>
          </w:p>
        </w:tc>
        <w:tc>
          <w:tcPr>
            <w:tcW w:w="220" w:type="dxa"/>
            <w:vAlign w:val="bottom"/>
          </w:tcPr>
          <w:p>
            <w:pPr>
              <w:spacing w:after="0"/>
              <w:rPr>
                <w:sz w:val="11"/>
                <w:szCs w:val="11"/>
                <w:color w:val="auto"/>
              </w:rPr>
            </w:pPr>
          </w:p>
        </w:tc>
        <w:tc>
          <w:tcPr>
            <w:tcW w:w="17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(22,886 )</w:t>
            </w:r>
          </w:p>
        </w:tc>
        <w:tc>
          <w:tcPr>
            <w:tcW w:w="280" w:type="dxa"/>
            <w:vAlign w:val="bottom"/>
          </w:tcPr>
          <w:p>
            <w:pPr>
              <w:spacing w:after="0"/>
              <w:rPr>
                <w:sz w:val="11"/>
                <w:szCs w:val="11"/>
                <w:color w:val="auto"/>
              </w:rPr>
            </w:pPr>
          </w:p>
        </w:tc>
        <w:tc>
          <w:tcPr>
            <w:tcW w:w="138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(23,193 )</w:t>
            </w:r>
          </w:p>
        </w:tc>
      </w:tr>
      <w:tr>
        <w:trPr>
          <w:trHeight w:val="169"/>
        </w:trPr>
        <w:tc>
          <w:tcPr>
            <w:tcW w:w="76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82"/>
              <w:spacing w:after="0" w:line="129" w:lineRule="exact"/>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648,962</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jc w:val="right"/>
              <w:ind w:right="142"/>
              <w:spacing w:after="0" w:line="129" w:lineRule="exact"/>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678,210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5"/>
        </w:trPr>
        <w:tc>
          <w:tcPr>
            <w:tcW w:w="7600" w:type="dxa"/>
            <w:vAlign w:val="bottom"/>
          </w:tcPr>
          <w:p>
            <w:pPr>
              <w:ind w:left="20"/>
              <w:spacing w:after="0" w:line="115" w:lineRule="exact"/>
              <w:rPr>
                <w:sz w:val="20"/>
                <w:szCs w:val="20"/>
                <w:color w:val="auto"/>
              </w:rPr>
            </w:pPr>
            <w:r>
              <w:rPr>
                <w:rFonts w:ascii="Arial" w:cs="Arial" w:eastAsia="Arial" w:hAnsi="Arial"/>
                <w:sz w:val="12"/>
                <w:szCs w:val="12"/>
                <w:color w:val="auto"/>
              </w:rPr>
              <w:t>Inventories:</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Raw materials</w:t>
            </w:r>
          </w:p>
        </w:tc>
        <w:tc>
          <w:tcPr>
            <w:tcW w:w="220" w:type="dxa"/>
            <w:vAlign w:val="bottom"/>
            <w:shd w:val="clear" w:color="auto" w:fill="CFF0FC"/>
          </w:tcPr>
          <w:p>
            <w:pPr>
              <w:jc w:val="right"/>
              <w:ind w:right="82"/>
              <w:spacing w:after="0" w:line="135" w:lineRule="exact"/>
              <w:rPr>
                <w:sz w:val="20"/>
                <w:szCs w:val="20"/>
                <w:color w:val="auto"/>
              </w:rPr>
            </w:pPr>
            <w:r>
              <w:rPr>
                <w:rFonts w:ascii="Arial" w:cs="Arial" w:eastAsia="Arial" w:hAnsi="Arial"/>
                <w:sz w:val="12"/>
                <w:szCs w:val="12"/>
                <w:color w:val="auto"/>
                <w:w w:val="89"/>
              </w:rPr>
              <w:t>$</w:t>
            </w: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110,583</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142"/>
              <w:spacing w:after="0" w:line="135" w:lineRule="exact"/>
              <w:rPr>
                <w:sz w:val="20"/>
                <w:szCs w:val="20"/>
                <w:color w:val="auto"/>
              </w:rPr>
            </w:pPr>
            <w:r>
              <w:rPr>
                <w:rFonts w:ascii="Arial" w:cs="Arial" w:eastAsia="Arial" w:hAnsi="Arial"/>
                <w:sz w:val="12"/>
                <w:szCs w:val="12"/>
                <w:color w:val="auto"/>
                <w:w w:val="89"/>
              </w:rPr>
              <w:t>$</w:t>
            </w: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89,778</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Work in process</w:t>
            </w:r>
          </w:p>
        </w:tc>
        <w:tc>
          <w:tcPr>
            <w:tcW w:w="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23,228</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31,884</w:t>
            </w:r>
          </w:p>
        </w:tc>
        <w:tc>
          <w:tcPr>
            <w:tcW w:w="100" w:type="dxa"/>
            <w:vAlign w:val="bottom"/>
          </w:tcPr>
          <w:p>
            <w:pPr>
              <w:spacing w:after="0"/>
              <w:rPr>
                <w:sz w:val="11"/>
                <w:szCs w:val="11"/>
                <w:color w:val="auto"/>
              </w:rPr>
            </w:pPr>
          </w:p>
        </w:tc>
      </w:tr>
      <w:tr>
        <w:trPr>
          <w:trHeight w:val="135"/>
        </w:trPr>
        <w:tc>
          <w:tcPr>
            <w:tcW w:w="7600" w:type="dxa"/>
            <w:vAlign w:val="bottom"/>
            <w:tcBorders>
              <w:bottom w:val="single" w:sz="8" w:color="CFF0FC"/>
            </w:tcBorders>
            <w:shd w:val="clear" w:color="auto" w:fill="CFF0FC"/>
          </w:tcPr>
          <w:p>
            <w:pPr>
              <w:ind w:left="200"/>
              <w:spacing w:after="0" w:line="135" w:lineRule="exact"/>
              <w:rPr>
                <w:sz w:val="20"/>
                <w:szCs w:val="20"/>
                <w:color w:val="auto"/>
              </w:rPr>
            </w:pPr>
            <w:r>
              <w:rPr>
                <w:rFonts w:ascii="Arial" w:cs="Arial" w:eastAsia="Arial" w:hAnsi="Arial"/>
                <w:sz w:val="12"/>
                <w:szCs w:val="12"/>
                <w:color w:val="auto"/>
              </w:rPr>
              <w:t>Finished goods</w:t>
            </w:r>
          </w:p>
        </w:tc>
        <w:tc>
          <w:tcPr>
            <w:tcW w:w="220" w:type="dxa"/>
            <w:vAlign w:val="bottom"/>
            <w:tcBorders>
              <w:bottom w:val="single" w:sz="8" w:color="auto"/>
            </w:tcBorders>
            <w:shd w:val="clear" w:color="auto" w:fill="CFF0FC"/>
          </w:tcPr>
          <w:p>
            <w:pPr>
              <w:spacing w:after="0"/>
              <w:rPr>
                <w:sz w:val="11"/>
                <w:szCs w:val="11"/>
                <w:color w:val="auto"/>
              </w:rPr>
            </w:pPr>
          </w:p>
        </w:tc>
        <w:tc>
          <w:tcPr>
            <w:tcW w:w="14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2"/>
                <w:szCs w:val="12"/>
                <w:color w:val="auto"/>
              </w:rPr>
              <w:t>186,326</w:t>
            </w:r>
          </w:p>
        </w:tc>
        <w:tc>
          <w:tcPr>
            <w:tcW w:w="28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2"/>
                <w:szCs w:val="12"/>
                <w:color w:val="auto"/>
              </w:rPr>
              <w:t>196,216</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7600" w:type="dxa"/>
            <w:vAlign w:val="bottom"/>
          </w:tcPr>
          <w:p>
            <w:pPr>
              <w:spacing w:after="0"/>
              <w:rPr>
                <w:sz w:val="11"/>
                <w:szCs w:val="11"/>
                <w:color w:val="auto"/>
              </w:rPr>
            </w:pPr>
          </w:p>
        </w:tc>
        <w:tc>
          <w:tcPr>
            <w:tcW w:w="220" w:type="dxa"/>
            <w:vAlign w:val="bottom"/>
            <w:tcBorders>
              <w:bottom w:val="single" w:sz="8" w:color="auto"/>
            </w:tcBorders>
          </w:tcPr>
          <w:p>
            <w:pPr>
              <w:jc w:val="right"/>
              <w:ind w:right="82"/>
              <w:spacing w:after="0" w:line="129" w:lineRule="exact"/>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320,137</w:t>
            </w:r>
          </w:p>
        </w:tc>
        <w:tc>
          <w:tcPr>
            <w:tcW w:w="280" w:type="dxa"/>
            <w:vAlign w:val="bottom"/>
          </w:tcPr>
          <w:p>
            <w:pPr>
              <w:spacing w:after="0"/>
              <w:rPr>
                <w:sz w:val="11"/>
                <w:szCs w:val="11"/>
                <w:color w:val="auto"/>
              </w:rPr>
            </w:pPr>
          </w:p>
        </w:tc>
        <w:tc>
          <w:tcPr>
            <w:tcW w:w="280" w:type="dxa"/>
            <w:vAlign w:val="bottom"/>
            <w:tcBorders>
              <w:bottom w:val="single" w:sz="8" w:color="auto"/>
            </w:tcBorders>
          </w:tcPr>
          <w:p>
            <w:pPr>
              <w:jc w:val="right"/>
              <w:ind w:right="142"/>
              <w:spacing w:after="0" w:line="129" w:lineRule="exact"/>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317,878</w:t>
            </w:r>
          </w:p>
        </w:tc>
        <w:tc>
          <w:tcPr>
            <w:tcW w:w="100" w:type="dxa"/>
            <w:vAlign w:val="bottom"/>
          </w:tcPr>
          <w:p>
            <w:pPr>
              <w:spacing w:after="0"/>
              <w:rPr>
                <w:sz w:val="11"/>
                <w:szCs w:val="1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7600" w:type="dxa"/>
            <w:vAlign w:val="bottom"/>
            <w:shd w:val="clear" w:color="auto" w:fill="CFF0FC"/>
          </w:tcPr>
          <w:p>
            <w:pPr>
              <w:ind w:left="20"/>
              <w:spacing w:after="0" w:line="115" w:lineRule="exact"/>
              <w:rPr>
                <w:sz w:val="20"/>
                <w:szCs w:val="20"/>
                <w:color w:val="auto"/>
              </w:rPr>
            </w:pPr>
            <w:r>
              <w:rPr>
                <w:rFonts w:ascii="Arial" w:cs="Arial" w:eastAsia="Arial" w:hAnsi="Arial"/>
                <w:sz w:val="12"/>
                <w:szCs w:val="12"/>
                <w:color w:val="auto"/>
              </w:rPr>
              <w:t>Prepaid expenses and other current assets:</w:t>
            </w:r>
          </w:p>
        </w:tc>
        <w:tc>
          <w:tcPr>
            <w:tcW w:w="2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Insurance receivable</w:t>
            </w:r>
          </w:p>
        </w:tc>
        <w:tc>
          <w:tcPr>
            <w:tcW w:w="22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21,500</w:t>
            </w:r>
          </w:p>
        </w:tc>
        <w:tc>
          <w:tcPr>
            <w:tcW w:w="280" w:type="dxa"/>
            <w:vAlign w:val="bottom"/>
          </w:tcPr>
          <w:p>
            <w:pPr>
              <w:spacing w:after="0"/>
              <w:rPr>
                <w:sz w:val="11"/>
                <w:szCs w:val="11"/>
                <w:color w:val="auto"/>
              </w:rPr>
            </w:pPr>
          </w:p>
        </w:tc>
        <w:tc>
          <w:tcPr>
            <w:tcW w:w="280" w:type="dxa"/>
            <w:vAlign w:val="bottom"/>
          </w:tcPr>
          <w:p>
            <w:pPr>
              <w:jc w:val="right"/>
              <w:ind w:right="142"/>
              <w:spacing w:after="0" w:line="135" w:lineRule="exact"/>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261,500</w:t>
            </w:r>
          </w:p>
        </w:tc>
        <w:tc>
          <w:tcPr>
            <w:tcW w:w="100" w:type="dxa"/>
            <w:vAlign w:val="bottom"/>
          </w:tcPr>
          <w:p>
            <w:pPr>
              <w:spacing w:after="0"/>
              <w:rPr>
                <w:sz w:val="11"/>
                <w:szCs w:val="11"/>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Prepaid expenses</w:t>
            </w: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177,985</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185,892</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116,527</w:t>
            </w:r>
          </w:p>
        </w:tc>
        <w:tc>
          <w:tcPr>
            <w:tcW w:w="2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134,391</w:t>
            </w:r>
          </w:p>
        </w:tc>
        <w:tc>
          <w:tcPr>
            <w:tcW w:w="100" w:type="dxa"/>
            <w:vAlign w:val="bottom"/>
          </w:tcPr>
          <w:p>
            <w:pPr>
              <w:spacing w:after="0"/>
              <w:rPr>
                <w:sz w:val="11"/>
                <w:szCs w:val="11"/>
                <w:color w:val="auto"/>
              </w:rPr>
            </w:pPr>
          </w:p>
        </w:tc>
      </w:tr>
      <w:tr>
        <w:trPr>
          <w:trHeight w:val="168"/>
        </w:trPr>
        <w:tc>
          <w:tcPr>
            <w:tcW w:w="76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82"/>
              <w:spacing w:after="0" w:line="129" w:lineRule="exact"/>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316,012</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42"/>
              <w:spacing w:after="0" w:line="129" w:lineRule="exact"/>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581,783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6"/>
        </w:trPr>
        <w:tc>
          <w:tcPr>
            <w:tcW w:w="7600" w:type="dxa"/>
            <w:vAlign w:val="bottom"/>
          </w:tcPr>
          <w:p>
            <w:pPr>
              <w:ind w:left="20"/>
              <w:spacing w:after="0" w:line="115" w:lineRule="exact"/>
              <w:rPr>
                <w:sz w:val="20"/>
                <w:szCs w:val="20"/>
                <w:color w:val="auto"/>
              </w:rPr>
            </w:pPr>
            <w:r>
              <w:rPr>
                <w:rFonts w:ascii="Arial" w:cs="Arial" w:eastAsia="Arial" w:hAnsi="Arial"/>
                <w:sz w:val="12"/>
                <w:szCs w:val="12"/>
                <w:color w:val="auto"/>
              </w:rPr>
              <w:t>Property, equipment and satellites, net:</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Equipment and software (estimated useful life of 3-7 years)</w:t>
            </w:r>
          </w:p>
        </w:tc>
        <w:tc>
          <w:tcPr>
            <w:tcW w:w="220" w:type="dxa"/>
            <w:vAlign w:val="bottom"/>
            <w:shd w:val="clear" w:color="auto" w:fill="CFF0FC"/>
          </w:tcPr>
          <w:p>
            <w:pPr>
              <w:jc w:val="right"/>
              <w:ind w:right="82"/>
              <w:spacing w:after="0" w:line="135" w:lineRule="exact"/>
              <w:rPr>
                <w:sz w:val="20"/>
                <w:szCs w:val="20"/>
                <w:color w:val="auto"/>
              </w:rPr>
            </w:pPr>
            <w:r>
              <w:rPr>
                <w:rFonts w:ascii="Arial" w:cs="Arial" w:eastAsia="Arial" w:hAnsi="Arial"/>
                <w:sz w:val="12"/>
                <w:szCs w:val="12"/>
                <w:color w:val="auto"/>
                <w:w w:val="89"/>
              </w:rPr>
              <w:t>$</w:t>
            </w: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3,634,930</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142"/>
              <w:spacing w:after="0" w:line="135" w:lineRule="exact"/>
              <w:rPr>
                <w:sz w:val="20"/>
                <w:szCs w:val="20"/>
                <w:color w:val="auto"/>
              </w:rPr>
            </w:pPr>
            <w:r>
              <w:rPr>
                <w:rFonts w:ascii="Arial" w:cs="Arial" w:eastAsia="Arial" w:hAnsi="Arial"/>
                <w:sz w:val="12"/>
                <w:szCs w:val="12"/>
                <w:color w:val="auto"/>
                <w:w w:val="89"/>
              </w:rPr>
              <w:t>$</w:t>
            </w: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2,992,325</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CPE leased equipment (estimated useful life of 4-7 years)</w:t>
            </w:r>
          </w:p>
        </w:tc>
        <w:tc>
          <w:tcPr>
            <w:tcW w:w="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534,777</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567,548</w:t>
            </w:r>
          </w:p>
        </w:tc>
        <w:tc>
          <w:tcPr>
            <w:tcW w:w="100" w:type="dxa"/>
            <w:vAlign w:val="bottom"/>
          </w:tcPr>
          <w:p>
            <w:pPr>
              <w:spacing w:after="0"/>
              <w:rPr>
                <w:sz w:val="11"/>
                <w:szCs w:val="11"/>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Furniture and fixtures (estimated useful life of 7 years)</w:t>
            </w: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62,077</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65,433</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Leasehold improvements (estimated useful life of 2-20 years)</w:t>
            </w:r>
          </w:p>
        </w:tc>
        <w:tc>
          <w:tcPr>
            <w:tcW w:w="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309,755</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209,162</w:t>
            </w:r>
          </w:p>
        </w:tc>
        <w:tc>
          <w:tcPr>
            <w:tcW w:w="100" w:type="dxa"/>
            <w:vAlign w:val="bottom"/>
          </w:tcPr>
          <w:p>
            <w:pPr>
              <w:spacing w:after="0"/>
              <w:rPr>
                <w:sz w:val="11"/>
                <w:szCs w:val="11"/>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Buildings (estimated useful life of 12-38 years)</w:t>
            </w: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15,388</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16,647</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Land</w:t>
            </w:r>
          </w:p>
        </w:tc>
        <w:tc>
          <w:tcPr>
            <w:tcW w:w="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19,661</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20,787</w:t>
            </w:r>
          </w:p>
        </w:tc>
        <w:tc>
          <w:tcPr>
            <w:tcW w:w="100" w:type="dxa"/>
            <w:vAlign w:val="bottom"/>
          </w:tcPr>
          <w:p>
            <w:pPr>
              <w:spacing w:after="0"/>
              <w:rPr>
                <w:sz w:val="11"/>
                <w:szCs w:val="11"/>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Construction in progress</w:t>
            </w: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903,349</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1,301,376</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Satellites (estimated useful life of 7-17 years)</w:t>
            </w:r>
          </w:p>
        </w:tc>
        <w:tc>
          <w:tcPr>
            <w:tcW w:w="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3,401,744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3,324,458</w:t>
            </w:r>
          </w:p>
        </w:tc>
        <w:tc>
          <w:tcPr>
            <w:tcW w:w="100" w:type="dxa"/>
            <w:vAlign w:val="bottom"/>
          </w:tcPr>
          <w:p>
            <w:pPr>
              <w:spacing w:after="0"/>
              <w:rPr>
                <w:sz w:val="11"/>
                <w:szCs w:val="11"/>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Satellite Ka-band capacity obtained under finance leases (estimated useful life of 7-15 years)</w:t>
            </w: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338,201</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177,576</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Satellites under construction</w:t>
            </w: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2,129,428</w:t>
            </w:r>
          </w:p>
        </w:tc>
        <w:tc>
          <w:tcPr>
            <w:tcW w:w="2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1,976,469</w:t>
            </w:r>
          </w:p>
        </w:tc>
        <w:tc>
          <w:tcPr>
            <w:tcW w:w="100" w:type="dxa"/>
            <w:vAlign w:val="bottom"/>
          </w:tcPr>
          <w:p>
            <w:pPr>
              <w:spacing w:after="0"/>
              <w:rPr>
                <w:sz w:val="11"/>
                <w:szCs w:val="11"/>
                <w:color w:val="auto"/>
              </w:rPr>
            </w:pPr>
          </w:p>
        </w:tc>
      </w:tr>
      <w:tr>
        <w:trPr>
          <w:trHeight w:val="128"/>
        </w:trPr>
        <w:tc>
          <w:tcPr>
            <w:tcW w:w="7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11,349,310</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10,651,781</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Less: accumulated depreciation and amortization</w:t>
            </w:r>
          </w:p>
        </w:tc>
        <w:tc>
          <w:tcPr>
            <w:tcW w:w="220" w:type="dxa"/>
            <w:vAlign w:val="bottom"/>
          </w:tcPr>
          <w:p>
            <w:pPr>
              <w:spacing w:after="0"/>
              <w:rPr>
                <w:sz w:val="11"/>
                <w:szCs w:val="11"/>
                <w:color w:val="auto"/>
              </w:rPr>
            </w:pPr>
          </w:p>
        </w:tc>
        <w:tc>
          <w:tcPr>
            <w:tcW w:w="17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(3,793,786 )</w:t>
            </w:r>
          </w:p>
        </w:tc>
        <w:tc>
          <w:tcPr>
            <w:tcW w:w="280" w:type="dxa"/>
            <w:vAlign w:val="bottom"/>
          </w:tcPr>
          <w:p>
            <w:pPr>
              <w:spacing w:after="0"/>
              <w:rPr>
                <w:sz w:val="11"/>
                <w:szCs w:val="11"/>
                <w:color w:val="auto"/>
              </w:rPr>
            </w:pPr>
          </w:p>
        </w:tc>
        <w:tc>
          <w:tcPr>
            <w:tcW w:w="138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(3,094,575 )</w:t>
            </w:r>
          </w:p>
        </w:tc>
      </w:tr>
      <w:tr>
        <w:trPr>
          <w:trHeight w:val="168"/>
        </w:trPr>
        <w:tc>
          <w:tcPr>
            <w:tcW w:w="76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82"/>
              <w:spacing w:after="0" w:line="129" w:lineRule="exact"/>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7,555,524</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jc w:val="right"/>
              <w:ind w:right="142"/>
              <w:spacing w:after="0" w:line="129" w:lineRule="exact"/>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7,557,206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5"/>
        </w:trPr>
        <w:tc>
          <w:tcPr>
            <w:tcW w:w="7600" w:type="dxa"/>
            <w:vAlign w:val="bottom"/>
          </w:tcPr>
          <w:p>
            <w:pPr>
              <w:ind w:left="20"/>
              <w:spacing w:after="0" w:line="115" w:lineRule="exact"/>
              <w:rPr>
                <w:sz w:val="20"/>
                <w:szCs w:val="20"/>
                <w:color w:val="auto"/>
              </w:rPr>
            </w:pPr>
            <w:r>
              <w:rPr>
                <w:rFonts w:ascii="Arial" w:cs="Arial" w:eastAsia="Arial" w:hAnsi="Arial"/>
                <w:sz w:val="12"/>
                <w:szCs w:val="12"/>
                <w:color w:val="auto"/>
              </w:rPr>
              <w:t>Other acquired intangible assets, net:</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Contracts and customer relationships (weighted average useful life of 11 years)</w:t>
            </w:r>
          </w:p>
        </w:tc>
        <w:tc>
          <w:tcPr>
            <w:tcW w:w="220" w:type="dxa"/>
            <w:vAlign w:val="bottom"/>
            <w:shd w:val="clear" w:color="auto" w:fill="CFF0FC"/>
          </w:tcPr>
          <w:p>
            <w:pPr>
              <w:jc w:val="right"/>
              <w:ind w:right="82"/>
              <w:spacing w:after="0" w:line="135" w:lineRule="exact"/>
              <w:rPr>
                <w:sz w:val="20"/>
                <w:szCs w:val="20"/>
                <w:color w:val="auto"/>
              </w:rPr>
            </w:pPr>
            <w:r>
              <w:rPr>
                <w:rFonts w:ascii="Arial" w:cs="Arial" w:eastAsia="Arial" w:hAnsi="Arial"/>
                <w:sz w:val="12"/>
                <w:szCs w:val="12"/>
                <w:color w:val="auto"/>
                <w:w w:val="89"/>
              </w:rPr>
              <w:t>$</w:t>
            </w: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1,430,971</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142"/>
              <w:spacing w:after="0" w:line="135" w:lineRule="exact"/>
              <w:rPr>
                <w:sz w:val="20"/>
                <w:szCs w:val="20"/>
                <w:color w:val="auto"/>
              </w:rPr>
            </w:pPr>
            <w:r>
              <w:rPr>
                <w:rFonts w:ascii="Arial" w:cs="Arial" w:eastAsia="Arial" w:hAnsi="Arial"/>
                <w:sz w:val="12"/>
                <w:szCs w:val="12"/>
                <w:color w:val="auto"/>
                <w:w w:val="89"/>
              </w:rPr>
              <w:t>$</w:t>
            </w: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1,437,738</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Orbital slots and spectrum assets (weighted average useful life of 12 years)</w:t>
            </w:r>
          </w:p>
        </w:tc>
        <w:tc>
          <w:tcPr>
            <w:tcW w:w="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1,088,600</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1,088,600</w:t>
            </w:r>
          </w:p>
        </w:tc>
        <w:tc>
          <w:tcPr>
            <w:tcW w:w="100" w:type="dxa"/>
            <w:vAlign w:val="bottom"/>
          </w:tcPr>
          <w:p>
            <w:pPr>
              <w:spacing w:after="0"/>
              <w:rPr>
                <w:sz w:val="11"/>
                <w:szCs w:val="11"/>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Technology (weighted average useful life of 7 years)</w:t>
            </w: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245,877</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251,889</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Trade names (weighted average useful life of 8 years)</w:t>
            </w:r>
          </w:p>
        </w:tc>
        <w:tc>
          <w:tcPr>
            <w:tcW w:w="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116,733</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117,280</w:t>
            </w:r>
          </w:p>
        </w:tc>
        <w:tc>
          <w:tcPr>
            <w:tcW w:w="100" w:type="dxa"/>
            <w:vAlign w:val="bottom"/>
          </w:tcPr>
          <w:p>
            <w:pPr>
              <w:spacing w:after="0"/>
              <w:rPr>
                <w:sz w:val="11"/>
                <w:szCs w:val="11"/>
                <w:color w:val="auto"/>
              </w:rPr>
            </w:pPr>
          </w:p>
        </w:tc>
      </w:tr>
      <w:tr>
        <w:trPr>
          <w:trHeight w:val="135"/>
        </w:trPr>
        <w:tc>
          <w:tcPr>
            <w:tcW w:w="7600" w:type="dxa"/>
            <w:vAlign w:val="bottom"/>
            <w:tcBorders>
              <w:bottom w:val="single" w:sz="8" w:color="CFF0FC"/>
            </w:tcBorders>
            <w:shd w:val="clear" w:color="auto" w:fill="CFF0FC"/>
          </w:tcPr>
          <w:p>
            <w:pPr>
              <w:ind w:left="200"/>
              <w:spacing w:after="0" w:line="135" w:lineRule="exact"/>
              <w:rPr>
                <w:sz w:val="20"/>
                <w:szCs w:val="20"/>
                <w:color w:val="auto"/>
              </w:rPr>
            </w:pPr>
            <w:r>
              <w:rPr>
                <w:rFonts w:ascii="Arial" w:cs="Arial" w:eastAsia="Arial" w:hAnsi="Arial"/>
                <w:sz w:val="12"/>
                <w:szCs w:val="12"/>
                <w:color w:val="auto"/>
              </w:rPr>
              <w:t>Other (weighted average useful life of 11 years)</w:t>
            </w:r>
          </w:p>
        </w:tc>
        <w:tc>
          <w:tcPr>
            <w:tcW w:w="220" w:type="dxa"/>
            <w:vAlign w:val="bottom"/>
            <w:tcBorders>
              <w:bottom w:val="single" w:sz="8" w:color="auto"/>
            </w:tcBorders>
            <w:shd w:val="clear" w:color="auto" w:fill="CFF0FC"/>
          </w:tcPr>
          <w:p>
            <w:pPr>
              <w:spacing w:after="0"/>
              <w:rPr>
                <w:sz w:val="11"/>
                <w:szCs w:val="11"/>
                <w:color w:val="auto"/>
              </w:rPr>
            </w:pPr>
          </w:p>
        </w:tc>
        <w:tc>
          <w:tcPr>
            <w:tcW w:w="14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2"/>
                <w:szCs w:val="12"/>
                <w:color w:val="auto"/>
              </w:rPr>
              <w:t>21,540</w:t>
            </w:r>
          </w:p>
        </w:tc>
        <w:tc>
          <w:tcPr>
            <w:tcW w:w="28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2"/>
                <w:szCs w:val="12"/>
                <w:color w:val="auto"/>
              </w:rPr>
              <w:t>21,792</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7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Arial" w:cs="Arial" w:eastAsia="Arial" w:hAnsi="Arial"/>
                <w:sz w:val="12"/>
                <w:szCs w:val="12"/>
                <w:color w:val="auto"/>
              </w:rPr>
              <w:t>2,903,721</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line="129" w:lineRule="exact"/>
              <w:rPr>
                <w:sz w:val="20"/>
                <w:szCs w:val="20"/>
                <w:color w:val="auto"/>
              </w:rPr>
            </w:pPr>
            <w:r>
              <w:rPr>
                <w:rFonts w:ascii="Arial" w:cs="Arial" w:eastAsia="Arial" w:hAnsi="Arial"/>
                <w:sz w:val="12"/>
                <w:szCs w:val="12"/>
                <w:color w:val="auto"/>
              </w:rPr>
              <w:t>2,917,299</w:t>
            </w:r>
          </w:p>
        </w:tc>
        <w:tc>
          <w:tcPr>
            <w:tcW w:w="100" w:type="dxa"/>
            <w:vAlign w:val="bottom"/>
          </w:tcPr>
          <w:p>
            <w:pPr>
              <w:spacing w:after="0"/>
              <w:rPr>
                <w:sz w:val="11"/>
                <w:szCs w:val="11"/>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Less: accumulated amortization</w:t>
            </w:r>
          </w:p>
        </w:tc>
        <w:tc>
          <w:tcPr>
            <w:tcW w:w="22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2"/>
                <w:szCs w:val="12"/>
                <w:color w:val="auto"/>
              </w:rPr>
              <w:t>(565,633 )</w:t>
            </w:r>
          </w:p>
        </w:tc>
        <w:tc>
          <w:tcPr>
            <w:tcW w:w="28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2"/>
                <w:szCs w:val="12"/>
                <w:color w:val="auto"/>
              </w:rPr>
              <w:t>(372,832 )</w:t>
            </w:r>
          </w:p>
        </w:tc>
      </w:tr>
      <w:tr>
        <w:trPr>
          <w:trHeight w:val="129"/>
        </w:trPr>
        <w:tc>
          <w:tcPr>
            <w:tcW w:w="7600" w:type="dxa"/>
            <w:vAlign w:val="bottom"/>
            <w:tcBorders>
              <w:top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82"/>
              <w:spacing w:after="0" w:line="129" w:lineRule="exact"/>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2,338,088</w:t>
            </w:r>
          </w:p>
        </w:tc>
        <w:tc>
          <w:tcPr>
            <w:tcW w:w="280" w:type="dxa"/>
            <w:vAlign w:val="bottom"/>
            <w:tcBorders>
              <w:top w:val="single" w:sz="8" w:color="CFF0FC"/>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42"/>
              <w:spacing w:after="0" w:line="129" w:lineRule="exact"/>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2,544,467</w:t>
            </w:r>
          </w:p>
        </w:tc>
        <w:tc>
          <w:tcPr>
            <w:tcW w:w="100" w:type="dxa"/>
            <w:vAlign w:val="bottom"/>
            <w:tcBorders>
              <w:top w:val="single" w:sz="8" w:color="CFF0FC"/>
            </w:tcBorders>
          </w:tcPr>
          <w:p>
            <w:pPr>
              <w:spacing w:after="0"/>
              <w:rPr>
                <w:sz w:val="11"/>
                <w:szCs w:val="1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7600" w:type="dxa"/>
            <w:vAlign w:val="bottom"/>
            <w:shd w:val="clear" w:color="auto" w:fill="CFF0FC"/>
          </w:tcPr>
          <w:p>
            <w:pPr>
              <w:ind w:left="20"/>
              <w:spacing w:after="0" w:line="115" w:lineRule="exact"/>
              <w:rPr>
                <w:sz w:val="20"/>
                <w:szCs w:val="20"/>
                <w:color w:val="auto"/>
              </w:rPr>
            </w:pPr>
            <w:r>
              <w:rPr>
                <w:rFonts w:ascii="Arial" w:cs="Arial" w:eastAsia="Arial" w:hAnsi="Arial"/>
                <w:sz w:val="12"/>
                <w:szCs w:val="12"/>
                <w:color w:val="auto"/>
              </w:rPr>
              <w:t>Other assets:</w:t>
            </w:r>
          </w:p>
        </w:tc>
        <w:tc>
          <w:tcPr>
            <w:tcW w:w="2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Deferred income taxes</w:t>
            </w:r>
          </w:p>
        </w:tc>
        <w:tc>
          <w:tcPr>
            <w:tcW w:w="22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165,023</w:t>
            </w:r>
          </w:p>
        </w:tc>
        <w:tc>
          <w:tcPr>
            <w:tcW w:w="280" w:type="dxa"/>
            <w:vAlign w:val="bottom"/>
          </w:tcPr>
          <w:p>
            <w:pPr>
              <w:spacing w:after="0"/>
              <w:rPr>
                <w:sz w:val="11"/>
                <w:szCs w:val="11"/>
                <w:color w:val="auto"/>
              </w:rPr>
            </w:pPr>
          </w:p>
        </w:tc>
        <w:tc>
          <w:tcPr>
            <w:tcW w:w="280" w:type="dxa"/>
            <w:vAlign w:val="bottom"/>
          </w:tcPr>
          <w:p>
            <w:pPr>
              <w:jc w:val="right"/>
              <w:ind w:right="142"/>
              <w:spacing w:after="0" w:line="135" w:lineRule="exact"/>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163,590</w:t>
            </w:r>
          </w:p>
        </w:tc>
        <w:tc>
          <w:tcPr>
            <w:tcW w:w="100" w:type="dxa"/>
            <w:vAlign w:val="bottom"/>
          </w:tcPr>
          <w:p>
            <w:pPr>
              <w:spacing w:after="0"/>
              <w:rPr>
                <w:sz w:val="11"/>
                <w:szCs w:val="11"/>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Capitalized software costs, net</w:t>
            </w: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253,793</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240,597</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Patents, orbital slots and other licenses, net</w:t>
            </w:r>
          </w:p>
        </w:tc>
        <w:tc>
          <w:tcPr>
            <w:tcW w:w="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119,085</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112,535</w:t>
            </w:r>
          </w:p>
        </w:tc>
        <w:tc>
          <w:tcPr>
            <w:tcW w:w="100" w:type="dxa"/>
            <w:vAlign w:val="bottom"/>
          </w:tcPr>
          <w:p>
            <w:pPr>
              <w:spacing w:after="0"/>
              <w:rPr>
                <w:sz w:val="11"/>
                <w:szCs w:val="11"/>
                <w:color w:val="auto"/>
              </w:rPr>
            </w:pPr>
          </w:p>
        </w:tc>
      </w:tr>
      <w:tr>
        <w:trPr>
          <w:trHeight w:val="135"/>
        </w:trPr>
        <w:tc>
          <w:tcPr>
            <w:tcW w:w="7600" w:type="dxa"/>
            <w:vAlign w:val="bottom"/>
            <w:tcBorders>
              <w:bottom w:val="single" w:sz="8" w:color="CFF0FC"/>
            </w:tcBorders>
            <w:shd w:val="clear" w:color="auto" w:fill="CFF0FC"/>
          </w:tcPr>
          <w:p>
            <w:pPr>
              <w:ind w:left="200"/>
              <w:spacing w:after="0" w:line="135" w:lineRule="exact"/>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CFF0FC"/>
          </w:tcPr>
          <w:p>
            <w:pPr>
              <w:spacing w:after="0"/>
              <w:rPr>
                <w:sz w:val="11"/>
                <w:szCs w:val="11"/>
                <w:color w:val="auto"/>
              </w:rPr>
            </w:pPr>
          </w:p>
        </w:tc>
        <w:tc>
          <w:tcPr>
            <w:tcW w:w="14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2"/>
                <w:szCs w:val="12"/>
                <w:color w:val="auto"/>
              </w:rPr>
              <w:t>284,950</w:t>
            </w:r>
          </w:p>
        </w:tc>
        <w:tc>
          <w:tcPr>
            <w:tcW w:w="28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2"/>
                <w:szCs w:val="12"/>
                <w:color w:val="auto"/>
              </w:rPr>
              <w:t>217,225</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7600" w:type="dxa"/>
            <w:vAlign w:val="bottom"/>
          </w:tcPr>
          <w:p>
            <w:pPr>
              <w:spacing w:after="0"/>
              <w:rPr>
                <w:sz w:val="11"/>
                <w:szCs w:val="11"/>
                <w:color w:val="auto"/>
              </w:rPr>
            </w:pPr>
          </w:p>
        </w:tc>
        <w:tc>
          <w:tcPr>
            <w:tcW w:w="220" w:type="dxa"/>
            <w:vAlign w:val="bottom"/>
            <w:tcBorders>
              <w:bottom w:val="single" w:sz="8" w:color="auto"/>
            </w:tcBorders>
          </w:tcPr>
          <w:p>
            <w:pPr>
              <w:jc w:val="right"/>
              <w:ind w:right="82"/>
              <w:spacing w:after="0" w:line="129" w:lineRule="exact"/>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822,851</w:t>
            </w:r>
          </w:p>
        </w:tc>
        <w:tc>
          <w:tcPr>
            <w:tcW w:w="280" w:type="dxa"/>
            <w:vAlign w:val="bottom"/>
          </w:tcPr>
          <w:p>
            <w:pPr>
              <w:spacing w:after="0"/>
              <w:rPr>
                <w:sz w:val="11"/>
                <w:szCs w:val="11"/>
                <w:color w:val="auto"/>
              </w:rPr>
            </w:pPr>
          </w:p>
        </w:tc>
        <w:tc>
          <w:tcPr>
            <w:tcW w:w="280" w:type="dxa"/>
            <w:vAlign w:val="bottom"/>
            <w:tcBorders>
              <w:bottom w:val="single" w:sz="8" w:color="auto"/>
            </w:tcBorders>
          </w:tcPr>
          <w:p>
            <w:pPr>
              <w:jc w:val="right"/>
              <w:ind w:right="142"/>
              <w:spacing w:after="0" w:line="129" w:lineRule="exact"/>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733,947</w:t>
            </w:r>
          </w:p>
        </w:tc>
        <w:tc>
          <w:tcPr>
            <w:tcW w:w="100" w:type="dxa"/>
            <w:vAlign w:val="bottom"/>
          </w:tcPr>
          <w:p>
            <w:pPr>
              <w:spacing w:after="0"/>
              <w:rPr>
                <w:sz w:val="11"/>
                <w:szCs w:val="1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7600" w:type="dxa"/>
            <w:vAlign w:val="bottom"/>
            <w:shd w:val="clear" w:color="auto" w:fill="CFF0FC"/>
          </w:tcPr>
          <w:p>
            <w:pPr>
              <w:ind w:left="20"/>
              <w:spacing w:after="0" w:line="115" w:lineRule="exact"/>
              <w:rPr>
                <w:sz w:val="20"/>
                <w:szCs w:val="20"/>
                <w:color w:val="auto"/>
              </w:rPr>
            </w:pPr>
            <w:r>
              <w:rPr>
                <w:rFonts w:ascii="Arial" w:cs="Arial" w:eastAsia="Arial" w:hAnsi="Arial"/>
                <w:sz w:val="12"/>
                <w:szCs w:val="12"/>
                <w:color w:val="auto"/>
              </w:rPr>
              <w:t>Accrued and other liabilities:</w:t>
            </w:r>
          </w:p>
        </w:tc>
        <w:tc>
          <w:tcPr>
            <w:tcW w:w="2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Collections in excess of revenues and deferred revenues</w:t>
            </w:r>
          </w:p>
        </w:tc>
        <w:tc>
          <w:tcPr>
            <w:tcW w:w="22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307,671</w:t>
            </w:r>
          </w:p>
        </w:tc>
        <w:tc>
          <w:tcPr>
            <w:tcW w:w="280" w:type="dxa"/>
            <w:vAlign w:val="bottom"/>
          </w:tcPr>
          <w:p>
            <w:pPr>
              <w:spacing w:after="0"/>
              <w:rPr>
                <w:sz w:val="11"/>
                <w:szCs w:val="11"/>
                <w:color w:val="auto"/>
              </w:rPr>
            </w:pPr>
          </w:p>
        </w:tc>
        <w:tc>
          <w:tcPr>
            <w:tcW w:w="280" w:type="dxa"/>
            <w:vAlign w:val="bottom"/>
          </w:tcPr>
          <w:p>
            <w:pPr>
              <w:jc w:val="right"/>
              <w:ind w:right="142"/>
              <w:spacing w:after="0" w:line="135" w:lineRule="exact"/>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260,264</w:t>
            </w:r>
          </w:p>
        </w:tc>
        <w:tc>
          <w:tcPr>
            <w:tcW w:w="100" w:type="dxa"/>
            <w:vAlign w:val="bottom"/>
          </w:tcPr>
          <w:p>
            <w:pPr>
              <w:spacing w:after="0"/>
              <w:rPr>
                <w:sz w:val="11"/>
                <w:szCs w:val="11"/>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Accrued employee compensation</w:t>
            </w: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140,407</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177,854</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Accrued vacation</w:t>
            </w:r>
          </w:p>
        </w:tc>
        <w:tc>
          <w:tcPr>
            <w:tcW w:w="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44,045</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48,636</w:t>
            </w:r>
          </w:p>
        </w:tc>
        <w:tc>
          <w:tcPr>
            <w:tcW w:w="100" w:type="dxa"/>
            <w:vAlign w:val="bottom"/>
          </w:tcPr>
          <w:p>
            <w:pPr>
              <w:spacing w:after="0"/>
              <w:rPr>
                <w:sz w:val="11"/>
                <w:szCs w:val="11"/>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Operating lease liabilities</w:t>
            </w: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61,100</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71,561</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Interest payable</w:t>
            </w:r>
          </w:p>
        </w:tc>
        <w:tc>
          <w:tcPr>
            <w:tcW w:w="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82,064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127,098</w:t>
            </w:r>
          </w:p>
        </w:tc>
        <w:tc>
          <w:tcPr>
            <w:tcW w:w="100" w:type="dxa"/>
            <w:vAlign w:val="bottom"/>
          </w:tcPr>
          <w:p>
            <w:pPr>
              <w:spacing w:after="0"/>
              <w:rPr>
                <w:sz w:val="11"/>
                <w:szCs w:val="11"/>
                <w:color w:val="auto"/>
              </w:rPr>
            </w:pPr>
          </w:p>
        </w:tc>
      </w:tr>
      <w:tr>
        <w:trPr>
          <w:trHeight w:val="135"/>
        </w:trPr>
        <w:tc>
          <w:tcPr>
            <w:tcW w:w="7600" w:type="dxa"/>
            <w:vAlign w:val="bottom"/>
            <w:tcBorders>
              <w:bottom w:val="single" w:sz="8" w:color="CFF0FC"/>
            </w:tcBorders>
            <w:shd w:val="clear" w:color="auto" w:fill="CFF0FC"/>
          </w:tcPr>
          <w:p>
            <w:pPr>
              <w:ind w:left="200"/>
              <w:spacing w:after="0" w:line="135" w:lineRule="exact"/>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CFF0FC"/>
          </w:tcPr>
          <w:p>
            <w:pPr>
              <w:spacing w:after="0"/>
              <w:rPr>
                <w:sz w:val="11"/>
                <w:szCs w:val="11"/>
                <w:color w:val="auto"/>
              </w:rPr>
            </w:pPr>
          </w:p>
        </w:tc>
        <w:tc>
          <w:tcPr>
            <w:tcW w:w="14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2"/>
                <w:szCs w:val="12"/>
                <w:color w:val="auto"/>
              </w:rPr>
              <w:t>219,613</w:t>
            </w:r>
          </w:p>
        </w:tc>
        <w:tc>
          <w:tcPr>
            <w:tcW w:w="28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2"/>
                <w:szCs w:val="12"/>
                <w:color w:val="auto"/>
              </w:rPr>
              <w:t>265,208</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9"/>
        </w:trPr>
        <w:tc>
          <w:tcPr>
            <w:tcW w:w="7600" w:type="dxa"/>
            <w:vAlign w:val="bottom"/>
          </w:tcPr>
          <w:p>
            <w:pPr>
              <w:spacing w:after="0"/>
              <w:rPr>
                <w:sz w:val="11"/>
                <w:szCs w:val="11"/>
                <w:color w:val="auto"/>
              </w:rPr>
            </w:pPr>
          </w:p>
        </w:tc>
        <w:tc>
          <w:tcPr>
            <w:tcW w:w="220" w:type="dxa"/>
            <w:vAlign w:val="bottom"/>
            <w:tcBorders>
              <w:bottom w:val="single" w:sz="8" w:color="auto"/>
            </w:tcBorders>
          </w:tcPr>
          <w:p>
            <w:pPr>
              <w:jc w:val="right"/>
              <w:ind w:right="82"/>
              <w:spacing w:after="0" w:line="129" w:lineRule="exact"/>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854,900</w:t>
            </w:r>
          </w:p>
        </w:tc>
        <w:tc>
          <w:tcPr>
            <w:tcW w:w="280" w:type="dxa"/>
            <w:vAlign w:val="bottom"/>
          </w:tcPr>
          <w:p>
            <w:pPr>
              <w:spacing w:after="0"/>
              <w:rPr>
                <w:sz w:val="11"/>
                <w:szCs w:val="11"/>
                <w:color w:val="auto"/>
              </w:rPr>
            </w:pPr>
          </w:p>
        </w:tc>
        <w:tc>
          <w:tcPr>
            <w:tcW w:w="280" w:type="dxa"/>
            <w:vAlign w:val="bottom"/>
            <w:tcBorders>
              <w:bottom w:val="single" w:sz="8" w:color="auto"/>
            </w:tcBorders>
          </w:tcPr>
          <w:p>
            <w:pPr>
              <w:jc w:val="right"/>
              <w:ind w:right="142"/>
              <w:spacing w:after="0" w:line="129" w:lineRule="exact"/>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950,621</w:t>
            </w:r>
          </w:p>
        </w:tc>
        <w:tc>
          <w:tcPr>
            <w:tcW w:w="100" w:type="dxa"/>
            <w:vAlign w:val="bottom"/>
          </w:tcPr>
          <w:p>
            <w:pPr>
              <w:spacing w:after="0"/>
              <w:rPr>
                <w:sz w:val="11"/>
                <w:szCs w:val="1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7600" w:type="dxa"/>
            <w:vAlign w:val="bottom"/>
            <w:shd w:val="clear" w:color="auto" w:fill="CFF0FC"/>
          </w:tcPr>
          <w:p>
            <w:pPr>
              <w:ind w:left="20"/>
              <w:spacing w:after="0" w:line="115" w:lineRule="exact"/>
              <w:rPr>
                <w:sz w:val="20"/>
                <w:szCs w:val="20"/>
                <w:color w:val="auto"/>
              </w:rPr>
            </w:pPr>
            <w:r>
              <w:rPr>
                <w:rFonts w:ascii="Arial" w:cs="Arial" w:eastAsia="Arial" w:hAnsi="Arial"/>
                <w:sz w:val="12"/>
                <w:szCs w:val="12"/>
                <w:color w:val="auto"/>
              </w:rPr>
              <w:t>Other liabilities:</w:t>
            </w:r>
          </w:p>
        </w:tc>
        <w:tc>
          <w:tcPr>
            <w:tcW w:w="2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Deferred revenues, long-term portion</w:t>
            </w:r>
          </w:p>
        </w:tc>
        <w:tc>
          <w:tcPr>
            <w:tcW w:w="22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line="135" w:lineRule="exact"/>
              <w:rPr>
                <w:sz w:val="20"/>
                <w:szCs w:val="20"/>
                <w:color w:val="auto"/>
              </w:rPr>
            </w:pPr>
            <w:r>
              <w:rPr>
                <w:rFonts w:ascii="Arial" w:cs="Arial" w:eastAsia="Arial" w:hAnsi="Arial"/>
                <w:sz w:val="12"/>
                <w:szCs w:val="12"/>
                <w:color w:val="auto"/>
              </w:rPr>
              <w:t>799,565</w:t>
            </w:r>
          </w:p>
        </w:tc>
        <w:tc>
          <w:tcPr>
            <w:tcW w:w="280" w:type="dxa"/>
            <w:vAlign w:val="bottom"/>
          </w:tcPr>
          <w:p>
            <w:pPr>
              <w:spacing w:after="0"/>
              <w:rPr>
                <w:sz w:val="11"/>
                <w:szCs w:val="11"/>
                <w:color w:val="auto"/>
              </w:rPr>
            </w:pPr>
          </w:p>
        </w:tc>
        <w:tc>
          <w:tcPr>
            <w:tcW w:w="280" w:type="dxa"/>
            <w:vAlign w:val="bottom"/>
          </w:tcPr>
          <w:p>
            <w:pPr>
              <w:jc w:val="right"/>
              <w:ind w:right="142"/>
              <w:spacing w:after="0" w:line="135" w:lineRule="exact"/>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line="135" w:lineRule="exact"/>
              <w:rPr>
                <w:sz w:val="20"/>
                <w:szCs w:val="20"/>
                <w:color w:val="auto"/>
              </w:rPr>
            </w:pPr>
            <w:r>
              <w:rPr>
                <w:rFonts w:ascii="Arial" w:cs="Arial" w:eastAsia="Arial" w:hAnsi="Arial"/>
                <w:sz w:val="12"/>
                <w:szCs w:val="12"/>
                <w:color w:val="auto"/>
              </w:rPr>
              <w:t>896,402</w:t>
            </w:r>
          </w:p>
        </w:tc>
        <w:tc>
          <w:tcPr>
            <w:tcW w:w="100" w:type="dxa"/>
            <w:vAlign w:val="bottom"/>
          </w:tcPr>
          <w:p>
            <w:pPr>
              <w:spacing w:after="0"/>
              <w:rPr>
                <w:sz w:val="11"/>
                <w:szCs w:val="11"/>
                <w:color w:val="auto"/>
              </w:rPr>
            </w:pPr>
          </w:p>
        </w:tc>
      </w:tr>
      <w:tr>
        <w:trPr>
          <w:trHeight w:val="135"/>
        </w:trPr>
        <w:tc>
          <w:tcPr>
            <w:tcW w:w="7600" w:type="dxa"/>
            <w:vAlign w:val="bottom"/>
            <w:shd w:val="clear" w:color="auto" w:fill="CFF0FC"/>
          </w:tcPr>
          <w:p>
            <w:pPr>
              <w:ind w:left="200"/>
              <w:spacing w:after="0" w:line="135" w:lineRule="exact"/>
              <w:rPr>
                <w:sz w:val="20"/>
                <w:szCs w:val="20"/>
                <w:color w:val="auto"/>
              </w:rPr>
            </w:pPr>
            <w:r>
              <w:rPr>
                <w:rFonts w:ascii="Arial" w:cs="Arial" w:eastAsia="Arial" w:hAnsi="Arial"/>
                <w:sz w:val="12"/>
                <w:szCs w:val="12"/>
                <w:color w:val="auto"/>
              </w:rPr>
              <w:t>Deferred income taxes</w:t>
            </w: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1,112,063</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1,228,270</w:t>
            </w:r>
          </w:p>
        </w:tc>
        <w:tc>
          <w:tcPr>
            <w:tcW w:w="100" w:type="dxa"/>
            <w:vAlign w:val="bottom"/>
            <w:shd w:val="clear" w:color="auto" w:fill="CFF0FC"/>
          </w:tcPr>
          <w:p>
            <w:pPr>
              <w:spacing w:after="0"/>
              <w:rPr>
                <w:sz w:val="11"/>
                <w:szCs w:val="11"/>
                <w:color w:val="auto"/>
              </w:rPr>
            </w:pPr>
          </w:p>
        </w:tc>
      </w:tr>
      <w:tr>
        <w:trPr>
          <w:trHeight w:val="135"/>
        </w:trPr>
        <w:tc>
          <w:tcPr>
            <w:tcW w:w="7600" w:type="dxa"/>
            <w:vAlign w:val="bottom"/>
          </w:tcPr>
          <w:p>
            <w:pPr>
              <w:ind w:left="200"/>
              <w:spacing w:after="0" w:line="135" w:lineRule="exact"/>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314,600</w:t>
            </w:r>
          </w:p>
        </w:tc>
        <w:tc>
          <w:tcPr>
            <w:tcW w:w="2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327,428</w:t>
            </w:r>
          </w:p>
        </w:tc>
        <w:tc>
          <w:tcPr>
            <w:tcW w:w="100" w:type="dxa"/>
            <w:vAlign w:val="bottom"/>
          </w:tcPr>
          <w:p>
            <w:pPr>
              <w:spacing w:after="0"/>
              <w:rPr>
                <w:sz w:val="11"/>
                <w:szCs w:val="11"/>
                <w:color w:val="auto"/>
              </w:rPr>
            </w:pPr>
          </w:p>
        </w:tc>
      </w:tr>
      <w:tr>
        <w:trPr>
          <w:trHeight w:val="168"/>
        </w:trPr>
        <w:tc>
          <w:tcPr>
            <w:tcW w:w="76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82"/>
              <w:spacing w:after="0" w:line="129" w:lineRule="exact"/>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2,226,228</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42"/>
              <w:spacing w:after="0" w:line="129" w:lineRule="exact"/>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2,452,100</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-4739640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-4722495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-4739640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-4722495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-4371340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-4371340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-3813810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-3796665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-2571115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-2553970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-2030730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-1851025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-1302385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-582295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6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66" w:lineRule="exact"/>
        <w:rPr>
          <w:sz w:val="20"/>
          <w:szCs w:val="20"/>
          <w:color w:val="auto"/>
        </w:rPr>
      </w:pPr>
    </w:p>
    <w:p>
      <w:pPr>
        <w:ind w:left="920" w:hanging="40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120" w:right="160" w:hanging="603"/>
        <w:spacing w:after="0" w:line="253" w:lineRule="auto"/>
        <w:tabs>
          <w:tab w:leader="none" w:pos="921"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0" w:lineRule="exact"/>
        <w:rPr>
          <w:rFonts w:ascii="Arial" w:cs="Arial" w:eastAsia="Arial" w:hAnsi="Arial"/>
          <w:sz w:val="18"/>
          <w:szCs w:val="18"/>
          <w:color w:val="auto"/>
        </w:rPr>
      </w:pPr>
    </w:p>
    <w:p>
      <w:pPr>
        <w:ind w:left="1120" w:right="160" w:hanging="603"/>
        <w:spacing w:after="0" w:line="271" w:lineRule="auto"/>
        <w:tabs>
          <w:tab w:leader="none" w:pos="921"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00"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The following tables present the Company's hierarchy for its assets measured at fair value on a recurring basis as of December 31, 2024 and March 31, 2024. The Company had no liabilities measured at fair value on a recurring basis as of both December 31, 2024 and March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116"/>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55"/>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80" w:type="dxa"/>
            <w:vAlign w:val="bottom"/>
          </w:tcPr>
          <w:p>
            <w:pPr>
              <w:ind w:left="280"/>
              <w:spacing w:after="0" w:line="202" w:lineRule="exact"/>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548,587</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548,587</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rate cap contracts</w:t>
            </w:r>
          </w:p>
        </w:tc>
        <w:tc>
          <w:tcPr>
            <w:tcW w:w="16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6,175</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6,175</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ind w:left="70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80" w:type="dxa"/>
            <w:vAlign w:val="bottom"/>
          </w:tcPr>
          <w:p>
            <w:pPr>
              <w:ind w:left="20"/>
              <w:spacing w:after="0" w:line="196" w:lineRule="exact"/>
              <w:rPr>
                <w:sz w:val="20"/>
                <w:szCs w:val="20"/>
                <w:color w:val="auto"/>
              </w:rPr>
            </w:pPr>
            <w:r>
              <w:rPr>
                <w:rFonts w:ascii="Arial" w:cs="Arial" w:eastAsia="Arial" w:hAnsi="Arial"/>
                <w:sz w:val="18"/>
                <w:szCs w:val="18"/>
                <w:color w:val="auto"/>
              </w:rPr>
              <w:t>Total assets measured at fair value on a recurring basis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554,762</w:t>
            </w:r>
          </w:p>
        </w:tc>
        <w:tc>
          <w:tcPr>
            <w:tcW w:w="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548,587</w:t>
            </w:r>
          </w:p>
        </w:tc>
        <w:tc>
          <w:tcPr>
            <w:tcW w:w="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6,175</w:t>
            </w:r>
          </w:p>
        </w:tc>
        <w:tc>
          <w:tcPr>
            <w:tcW w:w="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line="196" w:lineRule="exact"/>
              <w:rPr>
                <w:sz w:val="20"/>
                <w:szCs w:val="20"/>
                <w:color w:val="auto"/>
              </w:rPr>
            </w:pPr>
            <w:r>
              <w:rPr>
                <w:rFonts w:ascii="Arial" w:cs="Arial" w:eastAsia="Arial" w:hAnsi="Arial"/>
                <w:sz w:val="18"/>
                <w:szCs w:val="18"/>
                <w:color w:val="auto"/>
              </w:rPr>
              <w:t>—</w:t>
            </w:r>
          </w:p>
        </w:tc>
      </w:tr>
      <w:tr>
        <w:trPr>
          <w:trHeight w:val="20"/>
        </w:trPr>
        <w:tc>
          <w:tcPr>
            <w:tcW w:w="53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538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 as of March</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31, 2024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55"/>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80" w:type="dxa"/>
            <w:vAlign w:val="bottom"/>
          </w:tcPr>
          <w:p>
            <w:pPr>
              <w:ind w:left="280"/>
              <w:spacing w:after="0" w:line="202" w:lineRule="exact"/>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474,743</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474,743</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rate cap contracts</w:t>
            </w:r>
          </w:p>
        </w:tc>
        <w:tc>
          <w:tcPr>
            <w:tcW w:w="16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44,497</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44,497</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ind w:left="70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80" w:type="dxa"/>
            <w:vAlign w:val="bottom"/>
          </w:tcPr>
          <w:p>
            <w:pPr>
              <w:ind w:left="20"/>
              <w:spacing w:after="0" w:line="196" w:lineRule="exact"/>
              <w:rPr>
                <w:sz w:val="20"/>
                <w:szCs w:val="20"/>
                <w:color w:val="auto"/>
              </w:rPr>
            </w:pPr>
            <w:r>
              <w:rPr>
                <w:rFonts w:ascii="Arial" w:cs="Arial" w:eastAsia="Arial" w:hAnsi="Arial"/>
                <w:sz w:val="18"/>
                <w:szCs w:val="18"/>
                <w:color w:val="auto"/>
              </w:rPr>
              <w:t>Total assets measured at fair value on a recurring basis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519,240</w:t>
            </w:r>
          </w:p>
        </w:tc>
        <w:tc>
          <w:tcPr>
            <w:tcW w:w="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474,743</w:t>
            </w:r>
          </w:p>
        </w:tc>
        <w:tc>
          <w:tcPr>
            <w:tcW w:w="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44,497</w:t>
            </w:r>
          </w:p>
        </w:tc>
        <w:tc>
          <w:tcPr>
            <w:tcW w:w="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line="196" w:lineRule="exact"/>
              <w:rPr>
                <w:sz w:val="20"/>
                <w:szCs w:val="20"/>
                <w:color w:val="auto"/>
              </w:rPr>
            </w:pPr>
            <w:r>
              <w:rPr>
                <w:rFonts w:ascii="Arial" w:cs="Arial" w:eastAsia="Arial" w:hAnsi="Arial"/>
                <w:sz w:val="18"/>
                <w:szCs w:val="18"/>
                <w:color w:val="auto"/>
              </w:rPr>
              <w:t>—</w:t>
            </w:r>
          </w:p>
        </w:tc>
      </w:tr>
      <w:tr>
        <w:trPr>
          <w:trHeight w:val="20"/>
        </w:trPr>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-1156970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-1156970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-1156970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-161925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-161925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-161925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with a significant portion held in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government-backed securities and treasuries.</w:t>
      </w:r>
    </w:p>
    <w:p>
      <w:pPr>
        <w:spacing w:after="0" w:line="140"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i w:val="1"/>
          <w:iCs w:val="1"/>
          <w:color w:val="auto"/>
        </w:rPr>
        <w:t xml:space="preserve">Interest rate cap contracts </w:t>
      </w:r>
      <w:r>
        <w:rPr>
          <w:rFonts w:ascii="Arial" w:cs="Arial" w:eastAsia="Arial" w:hAnsi="Arial"/>
          <w:sz w:val="18"/>
          <w:szCs w:val="18"/>
          <w:color w:val="auto"/>
        </w:rPr>
        <w:t>— The Company assumed interest rate cap contracts to hedge the variable interest rate under Inmarsat's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secured term loan facilities (see Note 1 — Basis of Presentation – Derivatives for more information). The Company’s interest rate cap contracts are valued using the forward interest rate curve at each reporting date (Level 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As of December 31, 2024, the Company’s long-term debt (including current portion) was comprised of (1) $442.6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aggregate principal amount of Viasat's 5.625% Senior Notes due 2025 (the 2025 Notes), $600.0 million in aggregate principal amount of Viasat's 5.625% Senior Secured Notes due 2027 (the 2027 Notes), $400.0 million in aggregate principal amount of Viasat's</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6.500% Senior Notes due 2028 (the 2028 Notes), $1.975 billion in aggregate principal amount of Inmarsat's 9.000% Senior Secured Notes due 2029 (the Inmarsat 2029 Notes), and $733.4 million in aggregate principal amount of Viasat’s 7.500% Senior Notes due 2031 (the 2031 Notes), (2) borrowings under Viasat’s $700.0 million senior secured term loan facility (the 2022 Term Loan Facility), borrowings under Viasat’s $616.7 million senior secured term loan facility (the 2023 Term Loan Facility), borrowings under the 2024 Inmarsat Term Loan Facility, borrowings under Inmarsat’s original senior secured term loan facility (the Original Inmarsat Term Loan Facility and, together with the 2024 Inmarsat Term Loan Facility, the Inmarsat Term Loan Facilities) and borrowings under Viasat’s direct loan facility with the Export-Import Bank of the United States (the Ex-Im Credit Facility), and (3) finance lease obligations reported at the present value of future minimum lease payments with current accrued interest. Long-term debt related to the Revolving Credit Facilities is reported at the outstanding principal amount of borrowings, while long-term debt related to the Company's other Credit Facilities and the Notes is reported at amortized cost. However, for disclosure purposes, the Company is required to measure the fair value of outstanding debt on a recurring basis. The fair value of the Company’s long-term debt related to the Company's variable rate Credit Facilities approximates its carrying amount due to its variable interest rate, which approximates a market interest rate. As of December 31, 2024 and March 31, 2024, the fair value of the Company’s long-term debt related to the Ex-Im Credit Facility was Level 2 and was approximately $19.3 million and $38.5 million, respectively. As of December 31, 2024 and March 31, 2024, the estimated fair value of the Company’s outstanding long-term debt related to each series of Notes was Level 2 and was $437.0 million and $680.8 million, respectively, for the 2025 Notes, $579.0 million and $564.0 million, respectively, for the 2027 Notes, $323.2 million and $307.5 million, respectively, for the 2028 Notes, $509.9 million and $529.9 million, respectively, for the 2031 Notes. As of December 31, 2024, the estimated fair value of the Inmarsat 2029 Notes was Level 2 and was $1.81 billion. As of March 31, 2024, the estimated fair value of Inmarsat's 6.750% Senior Secured Notes due 2026 (the Inmarsat 2026 Notes) was Level 2 and was $2.04 billion. The Inmarsat 2026 Notes were repurchased and redeemed in full during the third quarter of fiscal year 2025.</w:t>
      </w:r>
    </w:p>
    <w:p>
      <w:pPr>
        <w:spacing w:after="0" w:line="141" w:lineRule="exact"/>
        <w:rPr>
          <w:sz w:val="20"/>
          <w:szCs w:val="20"/>
          <w:color w:val="auto"/>
        </w:rPr>
      </w:pPr>
    </w:p>
    <w:p>
      <w:pPr>
        <w:ind w:right="40" w:firstLine="509"/>
        <w:spacing w:after="0"/>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satellite manufacturers require the Company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December 31, 2024 and March 31, 2024, the Company’s estimated satellite performance incentive obligations relating to certain satellites in commercial service, including accrued interest, were $12.7 million and $15.9 million, respectively.</w:t>
      </w:r>
    </w:p>
    <w:p>
      <w:pPr>
        <w:spacing w:after="0" w:line="126"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Contingencies — In connection with the acquisition of the remaining 51% interest in Euro Broadband Infrastructure Sàrl (EBI) on April 30, 2021, part of the purchase price consideration was determined approximately two years after the closing date, and as a result the Company received €20.0 million, or approximately $22.0 million, in cash and recorded a gain of approximately $18.1 million in the second quarter of fiscal year 2024 in selling, general and administrative expenses in the condensed consolidated statements of operations and comprehensive income (loss). The consideration paid was contingent based on certain outcomes as defined in the acquisition agreement. Each reporting period, the Company estimated the fair value of the contingent consideration based on unobservable inputs and probability weightings using standard valuation techniques (Level 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w:t>
      </w:r>
    </w:p>
    <w:p>
      <w:pPr>
        <w:spacing w:after="0" w:line="6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May 2023, the Company completed the acquisition of all outstanding shares of Inmarsat Holdings, a privately held leading provider of global mobile satellite communications services. The Inmarsat Acquisition positions the Company as a leading global communications innovator with enhanced scale and scope to connect the world affordably, securely and reliably. The complementary assets and resources of the combined company position the Company to provide advanced new services in mobile and fixed segments, driving greater customer choice in broadband communications and narrowband services (including the Internet of Things (IoT)). These benefits and additional opportunities were among the factors that contributed to a purchase price resulting in the recognition of goodwill of $1.5 billion which was recognized in the Company's communication services segment. The goodwill recognized was not deductible for U.S. and foreign income tax purposes.</w:t>
      </w:r>
    </w:p>
    <w:p>
      <w:pPr>
        <w:spacing w:after="0" w:line="12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consideration transferred of approximately $2.7 billion was comprised of $2.1 billion of the fair value of approximately 46.36 million shares of the Company’s common stock issued at the closing of the transaction and $550.7 million in cash consideration. In connection with the Inmarsat Acquisition, the Company recorded acquisition-related transaction costs of zero during both the three and nine months ended December 31, 2024, and an insignificant amount and $30.8 million for the three and nine months ended December 31, 2023, respectively, included in selling, general and administrative expenses.</w:t>
      </w:r>
    </w:p>
    <w:p>
      <w:pPr>
        <w:spacing w:after="0" w:line="122"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The purchase price allocation of the acquired assets and assumed liabilities in the Inmarsat Acquisition based on the estimated fair values as of May 30, 2023, adjusted since the closing of the Inmarsat Acquisition, primarily between property, equipment and satellites, identifiable intangible assets, deferred tax liabilities and goodwill, is as follows: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7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480" w:type="dxa"/>
            <w:vAlign w:val="bottom"/>
            <w:tcBorders>
              <w:top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641,893</w:t>
            </w:r>
          </w:p>
        </w:tc>
        <w:tc>
          <w:tcPr>
            <w:tcW w:w="100" w:type="dxa"/>
            <w:vAlign w:val="bottom"/>
            <w:shd w:val="clear" w:color="auto" w:fill="CFF0FC"/>
          </w:tcPr>
          <w:p>
            <w:pPr>
              <w:spacing w:after="0"/>
              <w:rPr>
                <w:sz w:val="17"/>
                <w:szCs w:val="17"/>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Property, equipment and satellites</w:t>
            </w:r>
          </w:p>
        </w:tc>
        <w:tc>
          <w:tcPr>
            <w:tcW w:w="480" w:type="dxa"/>
            <w:vAlign w:val="bottom"/>
          </w:tcPr>
          <w:p>
            <w:pPr>
              <w:spacing w:after="0"/>
              <w:rPr>
                <w:sz w:val="17"/>
                <w:szCs w:val="17"/>
                <w:color w:val="auto"/>
              </w:rPr>
            </w:pP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4,363,049</w:t>
            </w:r>
          </w:p>
        </w:tc>
        <w:tc>
          <w:tcPr>
            <w:tcW w:w="100" w:type="dxa"/>
            <w:vAlign w:val="bottom"/>
          </w:tcPr>
          <w:p>
            <w:pPr>
              <w:spacing w:after="0"/>
              <w:rPr>
                <w:sz w:val="17"/>
                <w:szCs w:val="17"/>
                <w:color w:val="auto"/>
              </w:rPr>
            </w:pPr>
          </w:p>
        </w:tc>
      </w:tr>
      <w:tr>
        <w:trPr>
          <w:trHeight w:val="203"/>
        </w:trPr>
        <w:tc>
          <w:tcPr>
            <w:tcW w:w="7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480" w:type="dxa"/>
            <w:vAlign w:val="bottom"/>
            <w:shd w:val="clear" w:color="auto" w:fill="CFF0FC"/>
          </w:tcPr>
          <w:p>
            <w:pPr>
              <w:spacing w:after="0"/>
              <w:rPr>
                <w:sz w:val="17"/>
                <w:szCs w:val="17"/>
                <w:color w:val="auto"/>
              </w:rPr>
            </w:pPr>
          </w:p>
        </w:tc>
        <w:tc>
          <w:tcPr>
            <w:tcW w:w="2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2,570,000</w:t>
            </w:r>
          </w:p>
        </w:tc>
        <w:tc>
          <w:tcPr>
            <w:tcW w:w="100" w:type="dxa"/>
            <w:vAlign w:val="bottom"/>
            <w:shd w:val="clear" w:color="auto" w:fill="CFF0FC"/>
          </w:tcPr>
          <w:p>
            <w:pPr>
              <w:spacing w:after="0"/>
              <w:rPr>
                <w:sz w:val="17"/>
                <w:szCs w:val="17"/>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388,745</w:t>
            </w:r>
          </w:p>
        </w:tc>
        <w:tc>
          <w:tcPr>
            <w:tcW w:w="100" w:type="dxa"/>
            <w:vAlign w:val="bottom"/>
          </w:tcPr>
          <w:p>
            <w:pPr>
              <w:spacing w:after="0"/>
              <w:rPr>
                <w:sz w:val="17"/>
                <w:szCs w:val="17"/>
                <w:color w:val="auto"/>
              </w:rPr>
            </w:pPr>
          </w:p>
        </w:tc>
      </w:tr>
      <w:tr>
        <w:trPr>
          <w:trHeight w:val="196"/>
        </w:trPr>
        <w:tc>
          <w:tcPr>
            <w:tcW w:w="7360" w:type="dxa"/>
            <w:vAlign w:val="bottom"/>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assets acquired</w:t>
            </w:r>
          </w:p>
        </w:tc>
        <w:tc>
          <w:tcPr>
            <w:tcW w:w="48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2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7,963,687</w:t>
            </w:r>
          </w:p>
        </w:tc>
        <w:tc>
          <w:tcPr>
            <w:tcW w:w="100" w:type="dxa"/>
            <w:vAlign w:val="bottom"/>
            <w:shd w:val="clear" w:color="auto" w:fill="CFF0FC"/>
          </w:tcPr>
          <w:p>
            <w:pPr>
              <w:spacing w:after="0"/>
              <w:rPr>
                <w:sz w:val="17"/>
                <w:szCs w:val="17"/>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7"/>
                <w:szCs w:val="17"/>
                <w:color w:val="auto"/>
              </w:rPr>
            </w:pPr>
          </w:p>
        </w:tc>
        <w:tc>
          <w:tcPr>
            <w:tcW w:w="2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(598,296 )</w:t>
            </w:r>
          </w:p>
        </w:tc>
      </w:tr>
      <w:tr>
        <w:trPr>
          <w:trHeight w:val="203"/>
        </w:trPr>
        <w:tc>
          <w:tcPr>
            <w:tcW w:w="7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debt, excluding short-term portion</w:t>
            </w:r>
          </w:p>
        </w:tc>
        <w:tc>
          <w:tcPr>
            <w:tcW w:w="480" w:type="dxa"/>
            <w:vAlign w:val="bottom"/>
            <w:shd w:val="clear" w:color="auto" w:fill="CFF0FC"/>
          </w:tcPr>
          <w:p>
            <w:pPr>
              <w:spacing w:after="0"/>
              <w:rPr>
                <w:sz w:val="17"/>
                <w:szCs w:val="17"/>
                <w:color w:val="auto"/>
              </w:rPr>
            </w:pPr>
          </w:p>
        </w:tc>
        <w:tc>
          <w:tcPr>
            <w:tcW w:w="22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(3,519,774 )</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480" w:type="dxa"/>
            <w:vAlign w:val="bottom"/>
          </w:tcPr>
          <w:p>
            <w:pPr>
              <w:spacing w:after="0"/>
              <w:rPr>
                <w:sz w:val="17"/>
                <w:szCs w:val="17"/>
                <w:color w:val="auto"/>
              </w:rPr>
            </w:pPr>
          </w:p>
        </w:tc>
        <w:tc>
          <w:tcPr>
            <w:tcW w:w="2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(2,629,406 )</w:t>
            </w:r>
          </w:p>
        </w:tc>
      </w:tr>
      <w:tr>
        <w:trPr>
          <w:trHeight w:val="20"/>
        </w:trPr>
        <w:tc>
          <w:tcPr>
            <w:tcW w:w="7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liabilities assumed</w:t>
            </w:r>
          </w:p>
        </w:tc>
        <w:tc>
          <w:tcPr>
            <w:tcW w:w="48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2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(6,747,476 )</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1,462,881</w:t>
            </w:r>
          </w:p>
        </w:tc>
        <w:tc>
          <w:tcPr>
            <w:tcW w:w="100" w:type="dxa"/>
            <w:vAlign w:val="bottom"/>
          </w:tcPr>
          <w:p>
            <w:pPr>
              <w:spacing w:after="0"/>
              <w:rPr>
                <w:sz w:val="17"/>
                <w:szCs w:val="17"/>
                <w:color w:val="auto"/>
              </w:rPr>
            </w:pPr>
          </w:p>
        </w:tc>
      </w:tr>
      <w:tr>
        <w:trPr>
          <w:trHeight w:val="236"/>
        </w:trPr>
        <w:tc>
          <w:tcPr>
            <w:tcW w:w="73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consideration transferred</w:t>
            </w:r>
          </w:p>
        </w:tc>
        <w:tc>
          <w:tcPr>
            <w:tcW w:w="480" w:type="dxa"/>
            <w:vAlign w:val="bottom"/>
            <w:tcBorders>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2,679,092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3"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Current liabilities and other long-term liabilities include approximately $29.6 million and $248.3 million, respectively, of unfavorable contract liabilities amortized into service revenue over a weighted average estimated useful life of approximately nine years. Amounts assigned to identifiable intangible assets are being amortized on a straight-line basis over their determined useful lives (which approximates the economic pattern of benefit) and are as follows as of May 30, 2023:</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r>
      <w:tr>
        <w:trPr>
          <w:trHeight w:val="195"/>
        </w:trPr>
        <w:tc>
          <w:tcPr>
            <w:tcW w:w="5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jc w:val="right"/>
              <w:ind w:right="715"/>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Useful Life</w:t>
            </w:r>
          </w:p>
        </w:tc>
      </w:tr>
      <w:tr>
        <w:trPr>
          <w:trHeight w:val="171"/>
        </w:trPr>
        <w:tc>
          <w:tcPr>
            <w:tcW w:w="5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4"/>
                <w:szCs w:val="14"/>
                <w:color w:val="auto"/>
              </w:rPr>
            </w:pPr>
          </w:p>
        </w:tc>
      </w:tr>
      <w:tr>
        <w:trPr>
          <w:trHeight w:val="196"/>
        </w:trPr>
        <w:tc>
          <w:tcPr>
            <w:tcW w:w="5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Orbital slots and spectrum assets</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1,080,000</w:t>
            </w:r>
          </w:p>
        </w:tc>
        <w:tc>
          <w:tcPr>
            <w:tcW w:w="25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1,305,000</w:t>
            </w:r>
          </w:p>
        </w:tc>
        <w:tc>
          <w:tcPr>
            <w:tcW w:w="2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r>
      <w:tr>
        <w:trPr>
          <w:trHeight w:val="203"/>
        </w:trPr>
        <w:tc>
          <w:tcPr>
            <w:tcW w:w="5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Technology</w:t>
            </w:r>
          </w:p>
        </w:tc>
        <w:tc>
          <w:tcPr>
            <w:tcW w:w="38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100,000</w:t>
            </w:r>
          </w:p>
        </w:tc>
        <w:tc>
          <w:tcPr>
            <w:tcW w:w="2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Trade names</w:t>
            </w: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85,000</w:t>
            </w:r>
          </w:p>
        </w:tc>
        <w:tc>
          <w:tcPr>
            <w:tcW w:w="2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36"/>
        </w:trPr>
        <w:tc>
          <w:tcPr>
            <w:tcW w:w="51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identifiable intangible assets</w:t>
            </w:r>
          </w:p>
        </w:tc>
        <w:tc>
          <w:tcPr>
            <w:tcW w:w="38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2,570,000</w:t>
            </w:r>
          </w:p>
        </w:tc>
        <w:tc>
          <w:tcPr>
            <w:tcW w:w="25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Management determined the fair value of acquired customer relationships by applying the multi-period excess earnings method, which involved the use of significant judgments and assumptions related to revenue growth rates, customer attrition rates, discount rates, and contributory asset charges. Additionally, management determined the fair value of acquired orbital slots and spectrum assets using an avoided cost method, which involved the use of significant judgments and assumptions related to hypothetical lease payments, discount rates, and contributory asset charges.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460" w:firstLine="509"/>
        <w:spacing w:after="0" w:line="301" w:lineRule="auto"/>
        <w:rPr>
          <w:sz w:val="20"/>
          <w:szCs w:val="20"/>
          <w:color w:val="auto"/>
        </w:rPr>
      </w:pPr>
      <w:r>
        <w:rPr>
          <w:rFonts w:ascii="Arial" w:cs="Arial" w:eastAsia="Arial" w:hAnsi="Arial"/>
          <w:sz w:val="17"/>
          <w:szCs w:val="17"/>
          <w:color w:val="auto"/>
        </w:rPr>
        <w:t>The intangible assets acquired in the Inmarsat Acquisition were determined in accordance with ASC 805, based on estimated fair values using valuation techniques consistent with the market approach, income approach and/or cost approach to measure fair value.</w:t>
      </w:r>
    </w:p>
    <w:p>
      <w:pPr>
        <w:spacing w:after="0" w:line="77"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The condensed consolidated financial statements include the operating results of Inmarsat from the date of its acquisition on May 30, 2023. The Company recorded approximately $443.1 million and $1.0 billion in revenue during the three and nine months ended December 31, 2023, respectively, and $24.2 million and $159.3 million of net loss during the three and nine months ended December 31, 2023, respectively, from the Inmarsat business following the acquisition date, which was recorded in the Company's communication services segment in the condensed consolidated statements of operations.</w:t>
      </w:r>
    </w:p>
    <w:p>
      <w:pPr>
        <w:spacing w:after="0" w:line="12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November 2023, as a part of an important milestone in the Company’s integration program following the Inmarsat Acquisition and as part of the Company’s ongoing strategy to streamline operations and better serve the Company’s growing customer base, the Company completed work on the rationalization of roles in the Company’s global business, which was intended to achieve both operational and cost efficiencies. As part of the role rationalization, the Company reduced its global workforce and recorded total costs (primarily related to employee severance payments, benefits and related termination costs) of approximately $45 million during the three and nine months ended December 31, 2023. These one-time costs were recorded within operating expenses in the Company’s consolidated statements of operations across both of the Company’s segments.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6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Inmarsat on a pro forma basis, as though the companies had been combined as of the beginning of fiscal year 2023, April 1, 2022.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nine months ended December 31, 2023 included the business combination accounting effects primarily related to the amortization and depreciation changes from acquired intangible and tangible assets, interest expense from the debt issued to finance the acquisition, acquisition-related transaction costs and related tax effects.</w:t>
      </w:r>
    </w:p>
    <w:p>
      <w:pPr>
        <w:spacing w:after="0" w:line="302"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8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December 31, 2023</w:t>
            </w:r>
          </w:p>
        </w:tc>
        <w:tc>
          <w:tcPr>
            <w:tcW w:w="30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8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revenues</w:t>
            </w: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2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3,415,480</w:t>
            </w:r>
          </w:p>
        </w:tc>
        <w:tc>
          <w:tcPr>
            <w:tcW w:w="300" w:type="dxa"/>
            <w:vAlign w:val="bottom"/>
            <w:shd w:val="clear" w:color="auto" w:fill="CFF0FC"/>
          </w:tcPr>
          <w:p>
            <w:pPr>
              <w:spacing w:after="0"/>
              <w:rPr>
                <w:sz w:val="17"/>
                <w:szCs w:val="17"/>
                <w:color w:val="auto"/>
              </w:rPr>
            </w:pPr>
          </w:p>
        </w:tc>
      </w:tr>
      <w:tr>
        <w:trPr>
          <w:trHeight w:val="239"/>
        </w:trPr>
        <w:tc>
          <w:tcPr>
            <w:tcW w:w="6740" w:type="dxa"/>
            <w:vAlign w:val="bottom"/>
          </w:tcPr>
          <w:p>
            <w:pPr>
              <w:spacing w:after="0"/>
              <w:rPr>
                <w:sz w:val="20"/>
                <w:szCs w:val="20"/>
                <w:color w:val="auto"/>
              </w:rPr>
            </w:pPr>
            <w:r>
              <w:rPr>
                <w:rFonts w:ascii="Arial" w:cs="Arial" w:eastAsia="Arial" w:hAnsi="Arial"/>
                <w:sz w:val="18"/>
                <w:szCs w:val="18"/>
                <w:color w:val="auto"/>
              </w:rPr>
              <w:t>Net income (loss) attributable to Viasat, Inc.</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2980" w:type="dxa"/>
            <w:vAlign w:val="bottom"/>
            <w:gridSpan w:val="2"/>
          </w:tcPr>
          <w:p>
            <w:pPr>
              <w:jc w:val="right"/>
              <w:ind w:right="220"/>
              <w:spacing w:after="0"/>
              <w:rPr>
                <w:sz w:val="20"/>
                <w:szCs w:val="20"/>
                <w:color w:val="auto"/>
              </w:rPr>
            </w:pPr>
            <w:r>
              <w:rPr>
                <w:rFonts w:ascii="Arial" w:cs="Arial" w:eastAsia="Arial" w:hAnsi="Arial"/>
                <w:sz w:val="18"/>
                <w:szCs w:val="18"/>
                <w:color w:val="auto"/>
              </w:rPr>
              <w:t>(922,451 )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Shares Used In Computing Diluted Net Income (Loss) Per Share</w:t>
      </w:r>
    </w:p>
    <w:p>
      <w:pPr>
        <w:spacing w:after="0" w:line="77"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and nine months ended December 31, 2024 and for the three and nine months ended December 31, 2023, as the Company incurred a net loss attributable to Viasat, Inc. common stockholders for such periods and inclusion of potentially dilutive weighted average shares of common stock would be antidilutive.</w:t>
      </w:r>
    </w:p>
    <w:p>
      <w:pPr>
        <w:spacing w:after="0" w:line="12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Potentially dilutive weighted average shares excluded from the calculation for the three months ended December 31, 2024 and 2023 consisted of 227,792 shares and 255,329 shares, respectively, related to stock options (other than market-based performance stock options), 6,323,440 shares and 3,533,492 shares, respectively, related to restricted stock units (other than PSUs), 323,702 shares and zero shares, respectively, related to performance condition PSUs, and 2,198,574 shares and 802,165 shares, respectively, related to certain terms of the Viasat 401(k) Profit Sharing Plan and Employee Stock Purchase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Potentially dilutive weighted average shares excluded from the calculation for the nine months ended December 31, 2024 and 2023 consisted of 225,402 shares and 248,568 shares, respectively, related to stock options (other than market-based performance stock options), 5,622,696 shares and 2,068,956 shares, respectively, related to restricted stock units (other than PSUs), 145,329 shares and zero shares, respectively, related to performance condition PSUs, and 2,062,866 shares and 610,170 shares, respectively, related to certain terms of the Viasat 401(k) Profit Sharing Plan and Employee Stock Purchase Plan.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Acquired Intangible Assets</w:t>
      </w:r>
    </w:p>
    <w:p>
      <w:pPr>
        <w:spacing w:after="0" w:line="6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During the nine months ended December 31, 2024, the insignificant decrease in the Company’s goodwill was primarily related to foreign currency translation effect recorded within both of the Company's segments. During the nine months ended December 31, 2023, the increase in the Company’s goodwill was primarily related to the Inmarsat Acquisition (see Note 4 — Acquisition for more information) and foreign currency translation effect recorded within both of the Company’s segments.</w:t>
      </w:r>
    </w:p>
    <w:p>
      <w:pPr>
        <w:spacing w:after="0" w:line="12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20 years (which approximates the economic pattern of benefit). Amortization expense related to other acquired intangible assets was $65.8 million and $91.7 million for the three months ended December 31, 2024 and 2023, respectively, and $198.1 million and $200.9 million for the nine months ended December 31, 2024 and 2023,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Notes and Other Long-Term Debt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December 31, 2024 and March 31, 2024:</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748"/>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As of</w:t>
            </w:r>
          </w:p>
        </w:tc>
      </w:tr>
      <w:tr>
        <w:trPr>
          <w:trHeight w:val="171"/>
        </w:trPr>
        <w:tc>
          <w:tcPr>
            <w:tcW w:w="4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December 31, 2024</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4"/>
                <w:szCs w:val="14"/>
                <w:color w:val="auto"/>
              </w:rPr>
            </w:pPr>
          </w:p>
        </w:tc>
      </w:tr>
      <w:tr>
        <w:trPr>
          <w:trHeight w:val="155"/>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153"/>
              <w:spacing w:after="0" w:line="155" w:lineRule="exact"/>
              <w:rPr>
                <w:sz w:val="20"/>
                <w:szCs w:val="20"/>
                <w:color w:val="auto"/>
              </w:rPr>
            </w:pPr>
            <w:r>
              <w:rPr>
                <w:rFonts w:ascii="Arial" w:cs="Arial" w:eastAsia="Arial" w:hAnsi="Arial"/>
                <w:sz w:val="14"/>
                <w:szCs w:val="14"/>
                <w:b w:val="1"/>
                <w:bCs w:val="1"/>
                <w:color w:val="auto"/>
              </w:rPr>
              <w:t>(In</w:t>
            </w:r>
          </w:p>
        </w:tc>
        <w:tc>
          <w:tcPr>
            <w:tcW w:w="1760" w:type="dxa"/>
            <w:vAlign w:val="bottom"/>
            <w:gridSpan w:val="3"/>
          </w:tcPr>
          <w:p>
            <w:pPr>
              <w:jc w:val="right"/>
              <w:ind w:right="1092"/>
              <w:spacing w:after="0" w:line="155" w:lineRule="exact"/>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3"/>
                <w:szCs w:val="13"/>
                <w:color w:val="auto"/>
              </w:rPr>
            </w:pPr>
          </w:p>
        </w:tc>
      </w:tr>
      <w:tr>
        <w:trPr>
          <w:trHeight w:val="203"/>
        </w:trPr>
        <w:tc>
          <w:tcPr>
            <w:tcW w:w="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Term Loan Facility</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682,500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687,750</w:t>
            </w:r>
          </w:p>
        </w:tc>
        <w:tc>
          <w:tcPr>
            <w:tcW w:w="100" w:type="dxa"/>
            <w:vAlign w:val="bottom"/>
            <w:shd w:val="clear" w:color="auto" w:fill="CFF0FC"/>
          </w:tcPr>
          <w:p>
            <w:pPr>
              <w:spacing w:after="0"/>
              <w:rPr>
                <w:sz w:val="17"/>
                <w:szCs w:val="17"/>
                <w:color w:val="auto"/>
              </w:rPr>
            </w:pP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Term Loan Facility</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610,533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613,617</w:t>
            </w:r>
          </w:p>
        </w:tc>
        <w:tc>
          <w:tcPr>
            <w:tcW w:w="100" w:type="dxa"/>
            <w:vAlign w:val="bottom"/>
          </w:tcPr>
          <w:p>
            <w:pPr>
              <w:spacing w:after="0"/>
              <w:rPr>
                <w:sz w:val="17"/>
                <w:szCs w:val="17"/>
                <w:color w:val="auto"/>
              </w:rPr>
            </w:pPr>
          </w:p>
        </w:tc>
      </w:tr>
      <w:tr>
        <w:trPr>
          <w:trHeight w:val="203"/>
        </w:trPr>
        <w:tc>
          <w:tcPr>
            <w:tcW w:w="55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Original Inmarsat Term Loan Facility</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17"/>
                <w:szCs w:val="17"/>
                <w:color w:val="auto"/>
              </w:rPr>
            </w:pP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Inmarsat Term Loan Facility</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1,290,250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1,300,000</w:t>
            </w:r>
          </w:p>
        </w:tc>
        <w:tc>
          <w:tcPr>
            <w:tcW w:w="100" w:type="dxa"/>
            <w:vAlign w:val="bottom"/>
          </w:tcPr>
          <w:p>
            <w:pPr>
              <w:spacing w:after="0"/>
              <w:rPr>
                <w:sz w:val="17"/>
                <w:szCs w:val="17"/>
                <w:color w:val="auto"/>
              </w:rPr>
            </w:pPr>
          </w:p>
        </w:tc>
      </w:tr>
      <w:tr>
        <w:trPr>
          <w:trHeight w:val="203"/>
        </w:trPr>
        <w:tc>
          <w:tcPr>
            <w:tcW w:w="55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Ex-Im Credit Facility</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19,652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39,304</w:t>
            </w:r>
          </w:p>
        </w:tc>
        <w:tc>
          <w:tcPr>
            <w:tcW w:w="100" w:type="dxa"/>
            <w:vAlign w:val="bottom"/>
            <w:shd w:val="clear" w:color="auto" w:fill="CFF0FC"/>
          </w:tcPr>
          <w:p>
            <w:pPr>
              <w:spacing w:after="0"/>
              <w:rPr>
                <w:sz w:val="17"/>
                <w:szCs w:val="17"/>
                <w:color w:val="auto"/>
              </w:rPr>
            </w:pP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Inmarsat Revolving Credit Facility</w:t>
            </w:r>
          </w:p>
        </w:tc>
        <w:tc>
          <w:tcPr>
            <w:tcW w:w="120" w:type="dxa"/>
            <w:vAlign w:val="bottom"/>
          </w:tcPr>
          <w:p>
            <w:pPr>
              <w:spacing w:after="0"/>
              <w:rPr>
                <w:sz w:val="17"/>
                <w:szCs w:val="17"/>
                <w:color w:val="auto"/>
              </w:rPr>
            </w:pPr>
          </w:p>
        </w:tc>
        <w:tc>
          <w:tcPr>
            <w:tcW w:w="164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5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Viasat Revolving Credit Facility</w:t>
            </w: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Notes</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442,550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700,000</w:t>
            </w:r>
          </w:p>
        </w:tc>
        <w:tc>
          <w:tcPr>
            <w:tcW w:w="100" w:type="dxa"/>
            <w:vAlign w:val="bottom"/>
          </w:tcPr>
          <w:p>
            <w:pPr>
              <w:spacing w:after="0"/>
              <w:rPr>
                <w:sz w:val="17"/>
                <w:szCs w:val="17"/>
                <w:color w:val="auto"/>
              </w:rPr>
            </w:pPr>
          </w:p>
        </w:tc>
      </w:tr>
      <w:tr>
        <w:trPr>
          <w:trHeight w:val="203"/>
        </w:trPr>
        <w:tc>
          <w:tcPr>
            <w:tcW w:w="55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Inmarsat 2026 Notes (1)</w:t>
            </w: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2,075,000</w:t>
            </w:r>
          </w:p>
        </w:tc>
        <w:tc>
          <w:tcPr>
            <w:tcW w:w="100" w:type="dxa"/>
            <w:vAlign w:val="bottom"/>
            <w:shd w:val="clear" w:color="auto" w:fill="CFF0FC"/>
          </w:tcPr>
          <w:p>
            <w:pPr>
              <w:spacing w:after="0"/>
              <w:rPr>
                <w:sz w:val="17"/>
                <w:szCs w:val="17"/>
                <w:color w:val="auto"/>
              </w:rPr>
            </w:pP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Notes</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7"/>
                <w:szCs w:val="17"/>
                <w:color w:val="auto"/>
              </w:rPr>
            </w:pPr>
          </w:p>
        </w:tc>
      </w:tr>
      <w:tr>
        <w:trPr>
          <w:trHeight w:val="203"/>
        </w:trPr>
        <w:tc>
          <w:tcPr>
            <w:tcW w:w="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7"/>
                <w:szCs w:val="17"/>
                <w:color w:val="auto"/>
              </w:rPr>
            </w:pP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Inmarsat 2029 Notes</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1,975,000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2031</w:t>
            </w:r>
          </w:p>
        </w:tc>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733,400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733,400</w:t>
            </w:r>
          </w:p>
        </w:tc>
        <w:tc>
          <w:tcPr>
            <w:tcW w:w="100" w:type="dxa"/>
            <w:vAlign w:val="bottom"/>
            <w:shd w:val="clear" w:color="auto" w:fill="CFF0FC"/>
          </w:tcPr>
          <w:p>
            <w:pPr>
              <w:spacing w:after="0"/>
              <w:rPr>
                <w:sz w:val="17"/>
                <w:szCs w:val="17"/>
                <w:color w:val="auto"/>
              </w:rPr>
            </w:pP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Finance lease obligations (see Note 1)</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164,409</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26,771</w:t>
            </w:r>
          </w:p>
        </w:tc>
        <w:tc>
          <w:tcPr>
            <w:tcW w:w="100" w:type="dxa"/>
            <w:vAlign w:val="bottom"/>
          </w:tcPr>
          <w:p>
            <w:pPr>
              <w:spacing w:after="0"/>
              <w:rPr>
                <w:sz w:val="17"/>
                <w:szCs w:val="17"/>
                <w:color w:val="auto"/>
              </w:rPr>
            </w:pPr>
          </w:p>
        </w:tc>
      </w:tr>
      <w:tr>
        <w:trPr>
          <w:trHeight w:val="196"/>
        </w:trPr>
        <w:tc>
          <w:tcPr>
            <w:tcW w:w="55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debt</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7,218,294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7,475,842</w:t>
            </w:r>
          </w:p>
        </w:tc>
        <w:tc>
          <w:tcPr>
            <w:tcW w:w="100" w:type="dxa"/>
            <w:vAlign w:val="bottom"/>
            <w:shd w:val="clear" w:color="auto" w:fill="CFF0FC"/>
          </w:tcPr>
          <w:p>
            <w:pPr>
              <w:spacing w:after="0"/>
              <w:rPr>
                <w:sz w:val="17"/>
                <w:szCs w:val="17"/>
                <w:color w:val="auto"/>
              </w:rPr>
            </w:pPr>
          </w:p>
        </w:tc>
      </w:tr>
      <w:tr>
        <w:trPr>
          <w:trHeight w:val="184"/>
        </w:trPr>
        <w:tc>
          <w:tcPr>
            <w:tcW w:w="5560" w:type="dxa"/>
            <w:vAlign w:val="bottom"/>
            <w:gridSpan w:val="2"/>
          </w:tcPr>
          <w:p>
            <w:pPr>
              <w:spacing w:after="0" w:line="183" w:lineRule="exact"/>
              <w:rPr>
                <w:sz w:val="20"/>
                <w:szCs w:val="20"/>
                <w:color w:val="auto"/>
              </w:rPr>
            </w:pPr>
            <w:r>
              <w:rPr>
                <w:rFonts w:ascii="Arial" w:cs="Arial" w:eastAsia="Arial" w:hAnsi="Arial"/>
                <w:sz w:val="18"/>
                <w:szCs w:val="18"/>
                <w:color w:val="auto"/>
              </w:rPr>
              <w:t>Unamortized discount, debt issuance costs and fair value</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560" w:type="dxa"/>
            <w:vAlign w:val="bottom"/>
            <w:gridSpan w:val="2"/>
          </w:tcPr>
          <w:p>
            <w:pPr>
              <w:spacing w:after="0"/>
              <w:rPr>
                <w:sz w:val="20"/>
                <w:szCs w:val="20"/>
                <w:color w:val="auto"/>
              </w:rPr>
            </w:pPr>
            <w:r>
              <w:rPr>
                <w:rFonts w:ascii="Arial" w:cs="Arial" w:eastAsia="Arial" w:hAnsi="Arial"/>
                <w:sz w:val="18"/>
                <w:szCs w:val="18"/>
                <w:color w:val="auto"/>
              </w:rPr>
              <w:t>adjustments made in purchase accounting</w:t>
            </w:r>
          </w:p>
        </w:tc>
        <w:tc>
          <w:tcPr>
            <w:tcW w:w="120" w:type="dxa"/>
            <w:vAlign w:val="bottom"/>
          </w:tcPr>
          <w:p>
            <w:pPr>
              <w:spacing w:after="0"/>
              <w:rPr>
                <w:sz w:val="19"/>
                <w:szCs w:val="19"/>
                <w:color w:val="auto"/>
              </w:rPr>
            </w:pPr>
          </w:p>
        </w:tc>
        <w:tc>
          <w:tcPr>
            <w:tcW w:w="1640" w:type="dxa"/>
            <w:vAlign w:val="bottom"/>
            <w:gridSpan w:val="2"/>
          </w:tcPr>
          <w:p>
            <w:pPr>
              <w:jc w:val="right"/>
              <w:ind w:right="68"/>
              <w:spacing w:after="0"/>
              <w:rPr>
                <w:sz w:val="20"/>
                <w:szCs w:val="20"/>
                <w:color w:val="auto"/>
              </w:rPr>
            </w:pPr>
            <w:r>
              <w:rPr>
                <w:rFonts w:ascii="Arial" w:cs="Arial" w:eastAsia="Arial" w:hAnsi="Arial"/>
                <w:sz w:val="18"/>
                <w:szCs w:val="18"/>
                <w:color w:val="auto"/>
              </w:rPr>
              <w:t>(175,569 )</w:t>
            </w:r>
          </w:p>
        </w:tc>
        <w:tc>
          <w:tcPr>
            <w:tcW w:w="20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(288,553 )</w:t>
            </w:r>
          </w:p>
        </w:tc>
      </w:tr>
      <w:tr>
        <w:trPr>
          <w:trHeight w:val="203"/>
        </w:trPr>
        <w:tc>
          <w:tcPr>
            <w:tcW w:w="556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1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506,922</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58,054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60" w:type="dxa"/>
            <w:vAlign w:val="bottom"/>
            <w:gridSpan w:val="2"/>
          </w:tcPr>
          <w:p>
            <w:pPr>
              <w:spacing w:after="0" w:line="196" w:lineRule="exact"/>
              <w:rPr>
                <w:sz w:val="20"/>
                <w:szCs w:val="20"/>
                <w:color w:val="auto"/>
              </w:rPr>
            </w:pPr>
            <w:r>
              <w:rPr>
                <w:rFonts w:ascii="Arial" w:cs="Arial" w:eastAsia="Arial" w:hAnsi="Arial"/>
                <w:sz w:val="18"/>
                <w:szCs w:val="18"/>
                <w:color w:val="auto"/>
              </w:rPr>
              <w:t>Total long-term debt</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6,535,803</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7,129,235</w:t>
            </w:r>
          </w:p>
        </w:tc>
        <w:tc>
          <w:tcPr>
            <w:tcW w:w="1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-162560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-162560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12" w:lineRule="exact"/>
        <w:rPr>
          <w:sz w:val="20"/>
          <w:szCs w:val="20"/>
          <w:color w:val="auto"/>
        </w:rPr>
      </w:pPr>
    </w:p>
    <w:p>
      <w:pPr>
        <w:ind w:left="1020" w:right="380" w:hanging="503"/>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October 1, 2024, the Inmarsat 2026 Notes were repurchased and redeemed in full with the net proceeds of the Inmarsat 2029 Notes and cash on hand.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Term Loan Facility</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March 2022, the Company entered into the $700.0 million 2022 Term Loan Facility, which was fully drawn at closing and matures on March 4, 2029. At December 31, 2024, the Company had $682.5 million in principal amount of outstanding borrowings under the 2022 Term Loan Facility.</w:t>
      </w:r>
    </w:p>
    <w:p>
      <w:pPr>
        <w:spacing w:after="0" w:line="11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Borrowings under the 2022 Term Loan Facility are required to be repaid in quarterly installments of $1.75 million each, which commenced on September 30, 2022, followed by a final installment of $654.5 million at maturity. Borrowings under the 2022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December 31, 2024, the effective interest rate on the Company’s outstanding borrowings under the 2022 Term Loan Facility was 9.51%. The 2022 Term Loan Facility is required to be guaranteed by certain significant domestic subsidiaries of the Company (as defined in the 2022 Term Loan Facility) and secured by substantially all of the Company’s and any such subsidiaries’ assets. As of December 31, 2024, none of the Company’s subsidiaries guaranteed the 2022 Term Loan Facility.</w:t>
      </w:r>
    </w:p>
    <w:p>
      <w:pPr>
        <w:spacing w:after="0" w:line="12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2022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2022 Term Loan Facility as of December 31, 2024.</w:t>
      </w:r>
    </w:p>
    <w:p>
      <w:pPr>
        <w:spacing w:after="0" w:line="11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Borrowings under the 2022 Term Loan Facility are recorded as current portion of long-term debt and as other long-term debt, net of unamortized discount and debt issuance costs, in the Company’s condensed consolidated financial statements. The 2022 Term Loan Facility was issued with an original issue discount of 2.00%, or $14.0 million. The original issue discount and deferred financing cost associated with the issuance of the borrowings under the 2022 Term Loan Facility are amortized to interest expense on a straight-line basis over the term of the 2022 Term Loan Facility, the results of which are not materially different from the effective interest rate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Term Loan Facility</w:t>
      </w:r>
    </w:p>
    <w:p>
      <w:pPr>
        <w:spacing w:after="0" w:line="61"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In connection with the closing of the Inmarsat Acquisition, on May 30, 2023, the Company entered into the $616.7 million 2023 Term Loan Facility, which was fully drawn at closing and matures on May 30, 2030. At December 31, 2024, the Company had $610.5 million in principal amount of outstanding borrowings under the 2023 Term Loan Facility.</w:t>
      </w:r>
    </w:p>
    <w:p>
      <w:pPr>
        <w:spacing w:after="0" w:line="11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Borrowings under the 2023 Term Loan Facility are required to be repaid in quarterly installments of $1.5 million each, which commenced on December 31, 2023, followed by a final installment of $576.6 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December 31, 2024, the effective interest rate on the Company’s outstanding borrowings under the 2023 Term Loan Facility was 10.05%. The 2023 Term Loan Facility is required to be guaranteed by certain significant domestic subsidiaries of the Company (as defined in the 2023 Term Loan Facility) and secured by substantially all of the Company’s assets and any such subsidiaries' assets. As of December 31, 2024, none of the Company’s subsidiaries guaranteed the 2023 Term Loan Facility.</w:t>
      </w:r>
    </w:p>
    <w:p>
      <w:pPr>
        <w:spacing w:after="0" w:line="13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2023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2023 Term Loan Facility as of December 31, 2024.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Borrowings under the 2023 Term Loan Facility are recorded as current portion of long-term debt and as other long-term debt, net of unamortized discount and debt issuance costs, in the Company’s condensed consolidated financial statements. The 2023 Term Loan Facility was issued with an original issue discount of 2.50%, or $15.4 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Inmarsat Secured Credit Facilities</w:t>
      </w:r>
    </w:p>
    <w:p>
      <w:pPr>
        <w:spacing w:after="0" w:line="6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March 2024, Inmarsat amended its then-existing senior secured credit facilities to (among other matters): (1) establish the $1.3 billion 2024 Inmarsat Term Loan Facility, the proceeds of which, together with cash on hand, were used to repay approximately $1.38 billion of the outstanding borrowings under the Original Inmarsat Term Loan Facility, resulting in $300.0 million in principal amount of borrowings remaining outstanding under the Original Inmarsat Term Loan Facility at the closing of the amendment, and (2) replace the prior $700.0 million revolving credit facility with a new $550.0 million revolving line of credit (including up to $100.0 million of letters of credit) (the Inmarsat Revolving Credit Facility and, together with the 2024 Inmarsat Term Loan Facility and the Original Inmarsat Term Loan Facility, the Inmarsat Secured Credit Facilities). The maturity date for the Original Inmarsat Term Loan Facility is December 12, 2026, and for the 2024 Inmarsat Term Loan Facility is September 28, 2029. The Inmarsat Revolving Credit Facility matures on the earlier of March 28, 2027 and (if more than $100.0 million of borrowings are outstanding under the Original Inmarsat Term Loan Facility) the date that is 91 days prior to the maturity of the Original Inmarsat Term Loan Facility. As of December 31, 2024, Inmarsat had $1.3 billion in principal amount of outstanding borrowings under the 2024 Inmarsat Term Loan Facility and $300.0 million in principal amount of outstanding borrowings under the Original Inmarsat Term Loan Facility. As of December 31, 2024, the Inmarsat Revolving Credit Facility was undrawn and there were no amounts outstanding under standby letters of credit, leaving borrowing availability under the Inmarsat Revolving Credit Facility as of December 31, 2024 of $550.0 million.</w:t>
      </w:r>
    </w:p>
    <w:p>
      <w:pPr>
        <w:spacing w:after="0" w:line="135"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Borrowings under the 2024 Inmarsat Term Loan Facility are required to be repaid in quarterly installments of $3.25 million each, which commenced in the quarter ended June 30, 2024, followed by a final installment of $1.23 billion at maturity. As a result of the voluntary prepayments at the closing of the amendment, all quarterly amortization installments with respect to the Original Inmarsat Term Loan Facility have been reduced to zero, with the only remaining scheduled principal repayment being a final installment of $300.0 million at the maturity date on December 12, 2026.</w:t>
      </w:r>
    </w:p>
    <w:p>
      <w:pPr>
        <w:spacing w:after="0" w:line="12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Borrowings under the Inmarsat Secured Credit Facilities: (1) in the case of borrowings denominated in U.S. Dollars, bear interest, at Inmarsat's option, at either (i) the highest of (x) for the Original Inmarsat Term Loan Facility, the greater of the federal funds rate or the overnight banking fund rate for such day plus 0.50% and for the 2024 Inmarsat Term Loan Facility, the federal funds rate plus 0.50%, (y) the forward-looking one-month term SOFR rate plus 1.00% or (z) the administrative agent's prime rate as announced from time to time, or (ii) the forward-looking term SOFR rate for the applicable interest period (subject to, in the case of the 2024 Inmarsat Term Loan Facility, a floor of</w:t>
      </w:r>
    </w:p>
    <w:p>
      <w:pPr>
        <w:spacing w:after="0" w:line="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0.50% per annum, in the case of the Inmarsat Revolving Credit Facility, a floor of 0.00% per annum and, in the case of the Original Inmarsat Term Loan Facility, a floor of 1.00% per annum), and (2) in the case of borrowings denominated in available currencies other than U.S. Dollars, bear interest based upon the applicable benchmark for such currencies (as described in the Inmarsat Secured Credit Facilities) plus, in all cases, an applicable margin. The applicable margin for the Original Inmarsat Term Loan Facility is 2.50% per annum for base rate loans and 3.50% per annum for SOFR loans. The applicable margin for the 2024 Inmarsat Term Loan Facility is 3.50% per annum for base rate loans and 4.50% per annum for SOFR loans. The applicable margin for borrowings under the Inmarsat Revolving Credit Facility is based on Inmarsat’s total net leverage ratio and ranges between 1.50% and 2.25% per annum for base rate loans and 2.50% and 3.25% per annum for SOFR loans. As of December 31, 2024, the weighted average effective interest rate on the Company's outstanding borrowings under the Inmarsat Term Loan Facilities, including the impact of interest rate cap contracts (see Note 1 — Basis of Presentation – Derivatives for more information), was approximately 9.31%. The Inmarsat Secured Credit Facilities are required to be guaranteed by certain material Inmarsat subsidiaries and secured by substantially all of the assets of the Inmarsat borrowers and subsidiary guarantors.</w:t>
      </w:r>
    </w:p>
    <w:p>
      <w:pPr>
        <w:spacing w:after="0" w:line="133"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The Inmarsat Secured Credit Facilities contain covenants that restrict, among other things, Inmarsat’s ability to incur additional debt, grant liens, sell assets, make investments and acquisitions, pay dividends and make certain other restricted payments. In addition, financial covenants regarding Inmarsat’s total net leverage ratio and interest coverage ratio apply to the Inmarsat Revolving Credit Facility. The borrowers under the Inmarsat Secured Credit Facilities were in compliance with the financial covenants under the Inmarsat Secured Credit Facilities as of December 31, 2024.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Borrowings under the Inmarsat Term Loan Facilities are recorded as current portion of long-term debt and as other long-term debt, net of unamortized discount, unamortized fair value adjustment made in purchase accounting and debt issuance costs, in the Company’s condensed consolidated financial statements. The 2024 Inmarsat Term Loan Facility was issued with an original issue discount of 2.00%.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6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included all previously accrued completion exposure fees). As of December 31, 2024, the Company had $19.7 million in principal amount of outstanding borrowings under the Ex-Im Credit Facility.</w:t>
      </w:r>
    </w:p>
    <w:p>
      <w:pPr>
        <w:spacing w:after="0" w:line="12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2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December 31, 2024.</w:t>
      </w:r>
    </w:p>
    <w:p>
      <w:pPr>
        <w:spacing w:after="0" w:line="120" w:lineRule="exact"/>
        <w:rPr>
          <w:sz w:val="20"/>
          <w:szCs w:val="20"/>
          <w:color w:val="auto"/>
        </w:rPr>
      </w:pPr>
    </w:p>
    <w:p>
      <w:pPr>
        <w:jc w:val="both"/>
        <w:ind w:right="220" w:firstLine="509"/>
        <w:spacing w:after="0" w:line="244" w:lineRule="auto"/>
        <w:rPr>
          <w:sz w:val="20"/>
          <w:szCs w:val="20"/>
          <w:color w:val="auto"/>
        </w:rPr>
      </w:pPr>
      <w:r>
        <w:rPr>
          <w:rFonts w:ascii="Arial" w:cs="Arial" w:eastAsia="Arial" w:hAnsi="Arial"/>
          <w:sz w:val="18"/>
          <w:szCs w:val="18"/>
          <w:color w:val="auto"/>
        </w:rPr>
        <w:t>Borrowings under the Ex-Im Credit Facility are recorded as current portion of long-term debt, net of unamortized discount and debt issuance costs, in the Company’s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Viasat Revolving Credit Facility</w:t>
      </w:r>
    </w:p>
    <w:p>
      <w:pPr>
        <w:spacing w:after="0" w:line="6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As of December 31, 2024, Viasat's revolving credit facility (the Viasat Revolving Credit Facility) provided a $647.5 million revolving line of credit (including up to $150.0 million of letters of credit), with a maturity date of the earliest of (A) August 24, 2028 and (B) the springing maturity date (as defined in the Viasat Revolving Credit Agreement, which is effectively 91 days prior to the maturity date of certain material debt for borrowed money of Viasat and its subsidiaries to the extent certain conditions have not been satisfied as of such date). As of December 31, 2024, the Company had no outstanding borrowings under the Viasat Revolving Credit Facility and $62.0 million outstanding under standby letters of credit, leaving borrowing availability under the Viasat Revolving Credit Facility as of December 31, 2024 of $585.5 million.</w:t>
      </w:r>
    </w:p>
    <w:p>
      <w:pPr>
        <w:spacing w:after="0" w:line="13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Borrowings under the Viasat Revolving Credit Facility bear interest, at the Company’s option, at either (1) the highest of the federal funds rate plus 0.50%, forward-looking term SOFR (as defined in the definitive credit agreement governing the Viasat Revolving Credit Facility) for an interest period of one month plus 1.00%, or the administrative agent’s prime rate as announced from time to time, or (2) forward-looking term SOFR (not to be less than 0.00% per annum), plus, in the case of each of (1) and (2), an applicable margin that is based on the Company’s total leverage ratio. 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December 31, 2024, none of the Company’s subsidiaries guaranteed the Viasat Revolving Credit Facility.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Viasat Revolving Credit Facility contains financial covenants regarding a maximum total leverage ratio and a minimum interest coverage ratio. In addition, the Viasat Revolving Credit Facility contains covenants that restrict, among other things, the Company’s ability to incur additional debt, grant liens, sell assets, make investments and acquisitions, make capital expenditures, pay dividends and make certain other restricted payments. The Company was in compliance with its financial covenants under the Viasat Revolving Credit Facility as of December 31, 2024.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During the second quarter of fiscal year 2025, the Company repurchased $257.5 million in aggregate principal amount of 2025 Notes in open market transactions, resulting in $442.6 million in principal amount of 2025 Notes remaining outstanding as of December 31, 2024. As a result, the Company recorded a gain of an insignificant amount in (loss) gain on extinguishment of debt, net in the condensed consolidated statement of operations for the nine months ended December 31, 2024. The 2025 Notes were issued at face value and are recorded as current portion of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2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Viasat Revolving Credit Facility. As of December 31, 2024,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31" w:lineRule="exact"/>
        <w:rPr>
          <w:sz w:val="20"/>
          <w:szCs w:val="20"/>
          <w:color w:val="auto"/>
        </w:rPr>
      </w:pPr>
    </w:p>
    <w:p>
      <w:pPr>
        <w:ind w:right="440" w:firstLine="509"/>
        <w:spacing w:after="0" w:line="244"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2025 Notes may be redeemed, in whole or in part, at any time at a redemption price of 100%, plus accrued and unpaid interest, if any, thereon to the redemption date. The 2025 Notes become due and payable in full on September 15, 2025.</w:t>
      </w:r>
    </w:p>
    <w:p>
      <w:pPr>
        <w:spacing w:after="0" w:line="100"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Inmarsat Senior Secured Notes due 2026; Discharge of Indenture and Loss on Extinguishment of Debt</w:t>
      </w:r>
    </w:p>
    <w:p>
      <w:pPr>
        <w:spacing w:after="0" w:line="61"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In October 2019, certain subsidiaries of Inmarsat Holdings issued $2.08 billion in principal amount of Inmarsat 2026 Notes in a private placement to institutional buyers. In July 2024, Inmarsat repurchased $101.7 million in aggregate principal amount of Inmarsat 2026 Notes in open market transactions.</w:t>
      </w:r>
    </w:p>
    <w:p>
      <w:pPr>
        <w:spacing w:after="0" w:line="34"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On October 1, 2024, Inmarsat used the net proceeds from the issuance of the Inmarsat 2029 Notes, together with cash on hand, to redeem all of the remaining $1.97 billion in principal amount of Inmarsat 2026 Notes at a redemption price of 100% of the principal amount so redeemed plus accrued and unpaid interest thereon to the redemption date, and the indenture governing the Inmarsat 2026 Notes was satisfied and discharged in accordance with its terms. As a result of the repurchase and redemption of the Inmarsat 2026 Notes in July and October 2024, during the three and nine months ended December 31, 2024, the Company recorded a loss of $96.6 million and $100.3 million, respectively, in (loss) gain on extinguishment of debt, net in the condensed consolidated statement of operations, related to an unamortized fair value adjustment made in purchase accounting. The Inmarsat 2026 Notes bore interest at the rate of 6.750% per year, payable semi-annually in cash in arrears and were recorded as long-term debt, net of unamortized fair value adjustment made in purchase accounting, as of March 31, 2024 in the Company’s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61"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2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Viasat Revolving Credit Facility. As of December 31, 2024, none of the Company’s subsidiaries guaranteed the 2027 Notes. The 2027 Notes are secured, equally and ratably with the 2022 Term Loan Facility, the 2023 Term Loan Facility, the Viasat Revolving Credit Facility and any future parity lien debt, by liens on substantially all of the Company’s and such subsidiaries' assets.</w:t>
      </w:r>
    </w:p>
    <w:p>
      <w:pPr>
        <w:spacing w:after="0" w:line="1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the 2028 Notes and the 2031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2026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spacing w:after="0" w:line="131" w:lineRule="exact"/>
        <w:rPr>
          <w:sz w:val="20"/>
          <w:szCs w:val="20"/>
          <w:color w:val="auto"/>
        </w:rPr>
      </w:pPr>
    </w:p>
    <w:p>
      <w:pPr>
        <w:ind w:right="420" w:firstLine="509"/>
        <w:spacing w:after="0" w:line="244"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jc w:val="both"/>
        <w:ind w:right="140" w:firstLine="509"/>
        <w:spacing w:after="0" w:line="271" w:lineRule="auto"/>
        <w:rPr>
          <w:sz w:val="20"/>
          <w:szCs w:val="20"/>
          <w:color w:val="auto"/>
        </w:rPr>
      </w:pPr>
      <w:r>
        <w:rPr>
          <w:rFonts w:ascii="Arial" w:cs="Arial" w:eastAsia="Arial" w:hAnsi="Arial"/>
          <w:sz w:val="18"/>
          <w:szCs w:val="18"/>
          <w:color w:val="auto"/>
        </w:rPr>
        <w:t>The 2027 Notes may be redeemed, in whole or in part, at any time at a redemption price of 100% plus accrued and unpaid interest, if any, thereon to the redemption date.</w:t>
      </w:r>
    </w:p>
    <w:p>
      <w:pPr>
        <w:spacing w:after="0" w:line="100"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6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2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Viasat Revolving Credit Facility. As of December 31, 2024,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31" w:lineRule="exact"/>
        <w:rPr>
          <w:sz w:val="20"/>
          <w:szCs w:val="20"/>
          <w:color w:val="auto"/>
        </w:rPr>
      </w:pPr>
    </w:p>
    <w:p>
      <w:pPr>
        <w:ind w:right="400" w:firstLine="509"/>
        <w:spacing w:after="0" w:line="244"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2028 Notes may be redeemed, in whole or in part, at any time during the 12 months beginning on July 15, 2024 at a redemption price of 101.625%, and at any time on or after July 15, 2025 at a redemption price of 100%, in each case plus accrued and unpaid interest, if any, thereon to the redemption date.</w:t>
      </w:r>
    </w:p>
    <w:p>
      <w:pPr>
        <w:spacing w:after="0" w:line="115" w:lineRule="exact"/>
        <w:rPr>
          <w:sz w:val="20"/>
          <w:szCs w:val="20"/>
          <w:color w:val="auto"/>
        </w:rPr>
      </w:pPr>
    </w:p>
    <w:p>
      <w:pPr>
        <w:jc w:val="both"/>
        <w:ind w:right="12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Inmarsat Senior Secured Notes due 2029</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September 25, 2024, certain subsidiaries of Inmarsat Holdings issued $1.975 billion in principal amount of Inmarsat 2029 Notes in a private placement to institutional buyers. The Inmarsat 2029 Notes were issued at face value and are recorded as long-term debt, net of debt issuance costs, in the Company’s condensed consolidated financial statements. The Inmarsat 2029 Notes bear interest at the rate of 9.000% per year, payable semi-annually in cash in arrears, which interest payments commence in March 2025. Debt issuance costs associated with the issuance of the Inmarsat 2029 Notes are amortized to interest expense on a straight-line basis over the term of the Inmarsat 2029 Notes, the results of which are not materially different from the effective interest rate basis. Inmarsat used the net proceeds from the issuance of the Inmarsat 2029 Notes, together with cash on hand, to redeem all of the outstanding Inmarsat 2026 Notes on October 1, 2024.</w:t>
      </w:r>
    </w:p>
    <w:p>
      <w:pPr>
        <w:spacing w:after="0" w:line="12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Inmarsat 2029 Notes are secured by pari passu first priority liens on the collateral securing the Inmarsat Secured Credit Facilities, and are required to be guaranteed on a senior secured basis by the subsidiaries of Inmarsat Holdings guaranteeing the Inmarsat Secured Credit Facilities.</w:t>
      </w:r>
    </w:p>
    <w:p>
      <w:pPr>
        <w:spacing w:after="0" w:line="115"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indenture governing the Inmarsat 2029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Prior to September 15, 2026, the issuers may redeem up to 40% of the Inmarsat 2029 Notes at a redemption price 109.000% of the principal amount thereof, plus accrued and unpaid interest, if any, thereon to the redemption date, from the net cash proceeds of specified equity offerings so long as at least 50% of the aggregate principal amount of the Inmarsat 2029 Notes originally issued remains outstanding after such redemptions. The issuers may also redeem the Inmarsat 2029 Notes prior to September 15, 2026, in whole or in part, at a redemption price equal to 100% of the principal amount thereof plus a “make-whole” premium and any accrued and unpaid interest, if any, thereon to the redemption date. The Inmarsat 2029 Notes may be redeemed, in whole or in part, at any time during the 12 months beginning on September 15, 2026 at a redemption price of 104.500%, at any time during the 12 months beginning on September 15, 2027 at a redemption price of 102.250%, and at any time on or after September 15, 2028 at a redemption price of 100%, in each case plus accrued and unpaid interest, if any, thereon to the redemption date.</w:t>
      </w:r>
    </w:p>
    <w:p>
      <w:pPr>
        <w:spacing w:after="0" w:line="129"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 the event a change of control occurs (as defined in the indenture governing the Inmarsat 2029 Notes), each holder will have the right to require the issuers to repurchase all or a portion of such holder’s Inmarsat 2029 Notes at a purchase price in cash equal to 101% of the aggregate principal amount of the Inmarsat 2029 Notes repurchased, plus accrued and unpaid interest, if any, to the date of purchase (subject to the right of holders of record on the relevant record date to receive interest due on the relevant interest payment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2031</w:t>
      </w:r>
    </w:p>
    <w:p>
      <w:pPr>
        <w:spacing w:after="0" w:line="6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September 2023, the Company issued $733.4 million in principal amount of 2031 Notes in a private placement to institutional buyers to replace the $733.4 million unsecured bridge loan facility that was entered into in connection with the closing of the Inmarsat Acquisition on May 30, 2023. The 2031 Notes were issued at face value and are recorded as long-term debt, net of debt issuance costs, in the Company’s condensed consolidated financial statements. The 2031 Notes bear interest at the rate of 7.500% per year, payable semi-annually in cash in arrears, which interest payments commenced in May 2024. Debt issuance costs associated with the issuance of the 2031 Notes are amortized to interest expense on a straight-line basis over the term of the 2031 Notes, the results of which are not materially different from the effective interest rate basis.</w:t>
      </w:r>
    </w:p>
    <w:p>
      <w:pPr>
        <w:spacing w:after="0" w:line="1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2031 Notes are required to be guaranteed on an unsecured senior basis by each of the Company’s existing and future subsidiaries that guarantees the Viasat Revolving Credit Facility. As of December 31, 2024, none of the Company’s subsidiaries guaranteed the 2031 Notes. The 2031 Notes are the Company’s general senior unsecured obligations and rank equally in right of payment with all of the Company’s existing and future unsecured unsubordinated debt. The 2031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2031 Notes, and are senior in right of payment to all of the Company’s existing and future subordinated indebtedness.</w:t>
      </w:r>
    </w:p>
    <w:p>
      <w:pPr>
        <w:spacing w:after="0" w:line="131" w:lineRule="exact"/>
        <w:rPr>
          <w:sz w:val="20"/>
          <w:szCs w:val="20"/>
          <w:color w:val="auto"/>
        </w:rPr>
      </w:pPr>
    </w:p>
    <w:p>
      <w:pPr>
        <w:ind w:right="420" w:firstLine="509"/>
        <w:spacing w:after="0" w:line="244" w:lineRule="auto"/>
        <w:rPr>
          <w:sz w:val="20"/>
          <w:szCs w:val="20"/>
          <w:color w:val="auto"/>
        </w:rPr>
      </w:pPr>
      <w:r>
        <w:rPr>
          <w:rFonts w:ascii="Arial" w:cs="Arial" w:eastAsia="Arial" w:hAnsi="Arial"/>
          <w:sz w:val="18"/>
          <w:szCs w:val="18"/>
          <w:color w:val="auto"/>
        </w:rPr>
        <w:t>The indenture governing the 2031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Prior to May 30, 2026, the Company may redeem up to 40% of the 2031 Notes at a redemption price of 107.500% of the principal amount thereof, plus accrued and unpaid interest, if any, thereon to the redemption date, from the net cash proceeds of specified equity offerings. The Company may also redeem the 2031 Notes prior to May 30, 2026, in whole or in part, at a redemption price equal to 100% of the principal amount thereof plus a “make whole” premium and any accrued and unpaid interest, if any, thereon to the redemption date. The 2031 Notes may be redeemed, in whole or in part, at any time during the 12 months beginning on May 30, 2026 at a redemption price of 103.750%, during the 12 months beginning on May 30, 2027 at a redemption price of 101.875%, and at any time on or after May 30, 2028 at a redemption price of 100%, in each case plus accrued and unpaid interest, if any, thereon to the redemption date.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2031 Notes), each holder will have the right to require the Company to repurchase all or any part of such holder’s 2031 Notes at a purchase price in cash equal to 101% of the aggregate principal amount of the 2031 Notes repurchased, plus accrued and unpaid interest, if any, to the date of purchase (subject to the right of holders of record on the relevant record date to receive interest due on the relevant interest payment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Related-Party Transactions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normal course of business, the Company engages in transactions with its equity method investments (Navarino UK and JSAT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which are considered related-party transactions. The Company recognized revenue from Navarino UK and JSAT Mobile in the</w:t>
      </w:r>
    </w:p>
    <w:p>
      <w:pPr>
        <w:spacing w:after="0" w:line="234" w:lineRule="auto"/>
        <w:rPr>
          <w:sz w:val="20"/>
          <w:szCs w:val="20"/>
          <w:color w:val="auto"/>
        </w:rPr>
      </w:pPr>
      <w:r>
        <w:rPr>
          <w:rFonts w:ascii="Arial" w:cs="Arial" w:eastAsia="Arial" w:hAnsi="Arial"/>
          <w:sz w:val="18"/>
          <w:szCs w:val="18"/>
          <w:color w:val="auto"/>
        </w:rPr>
        <w:t>amounts of $16.2 million and $17.3 million for the three months ended December 31, 2024 and 2023, respectively, and $50.0 million and</w:t>
      </w:r>
    </w:p>
    <w:p>
      <w:pPr>
        <w:spacing w:after="0" w:line="235" w:lineRule="auto"/>
        <w:rPr>
          <w:sz w:val="20"/>
          <w:szCs w:val="20"/>
          <w:color w:val="auto"/>
        </w:rPr>
      </w:pPr>
      <w:r>
        <w:rPr>
          <w:rFonts w:ascii="Arial" w:cs="Arial" w:eastAsia="Arial" w:hAnsi="Arial"/>
          <w:sz w:val="18"/>
          <w:szCs w:val="18"/>
          <w:color w:val="auto"/>
        </w:rPr>
        <w:t>$42.6 million for the nine months ended December 31, 2024 and 2023, respectively. The Company received cash of $16.2 million and $18.0</w:t>
      </w:r>
    </w:p>
    <w:p>
      <w:pPr>
        <w:spacing w:after="0" w:line="235" w:lineRule="auto"/>
        <w:rPr>
          <w:sz w:val="20"/>
          <w:szCs w:val="20"/>
          <w:color w:val="auto"/>
        </w:rPr>
      </w:pPr>
      <w:r>
        <w:rPr>
          <w:rFonts w:ascii="Arial" w:cs="Arial" w:eastAsia="Arial" w:hAnsi="Arial"/>
          <w:sz w:val="18"/>
          <w:szCs w:val="18"/>
          <w:color w:val="auto"/>
        </w:rPr>
        <w:t>million from Navarino UK and JSAT Mobile for the three months ended December 31, 2024 and 2023, respectively, and $52.4 million and</w:t>
      </w:r>
    </w:p>
    <w:p>
      <w:pPr>
        <w:spacing w:after="0" w:line="235" w:lineRule="auto"/>
        <w:rPr>
          <w:sz w:val="20"/>
          <w:szCs w:val="20"/>
          <w:color w:val="auto"/>
        </w:rPr>
      </w:pPr>
      <w:r>
        <w:rPr>
          <w:rFonts w:ascii="Arial" w:cs="Arial" w:eastAsia="Arial" w:hAnsi="Arial"/>
          <w:sz w:val="18"/>
          <w:szCs w:val="18"/>
          <w:color w:val="auto"/>
        </w:rPr>
        <w:t>$43.1 million for the nine months ended December 31, 2024 and 2023, respectively. Accounts receivable from Navarino UK and JSAT</w:t>
      </w:r>
    </w:p>
    <w:p>
      <w:pPr>
        <w:spacing w:after="0"/>
        <w:rPr>
          <w:sz w:val="20"/>
          <w:szCs w:val="20"/>
          <w:color w:val="auto"/>
        </w:rPr>
      </w:pPr>
      <w:r>
        <w:rPr>
          <w:rFonts w:ascii="Arial" w:cs="Arial" w:eastAsia="Arial" w:hAnsi="Arial"/>
          <w:sz w:val="18"/>
          <w:szCs w:val="18"/>
          <w:color w:val="auto"/>
        </w:rPr>
        <w:t>Mobile as of December 31, 2024 and March 31, 2024 was $9.4 million and $13.2 million,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63"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From time to time, the Company enters into satellite construction agreements as well as various other satellite-related purchase commitments, including with respect to the provision of launch services, operation of its satellites and satellite insurance. See Note 14 — Commitments to the consolidated financial statements included in the Company’s Annual Report on Form 10-K for the year ended March 31, 2024 for information regarding the Company’s future minimum payments under its satellite construction contracts and other satellite-related purchase commitments.</w:t>
      </w:r>
    </w:p>
    <w:p>
      <w:pPr>
        <w:spacing w:after="0" w:line="12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December 31, 2024, the DCMA had approved the Company’s incurred costs through fiscal year 2022. The DCMA is currently auditing the Company’s fiscal year 2023 and 2024 recurring incurred cost submissions. The Company's cost accounting practices are examined for compliance with the applicable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$11.4 million and $16.6 million as of December 31, 2024 and March 31, 2024,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In September 2023, the Company settled certain pending litigation. Under the terms of the settlement and licensing agreement, the Company receives certain payments, which may vary based on sales of licensed products. In the first quarter of fiscal year 2025, the Company received a payment of approximately $41.7 million, which was recognized as product revenue in the Company’s defense and advanced technologies segment for the nine months ended December 31, 2024. In the second quarter of fiscal year 2024, the Company received a payment, of which $99.9 million was recognized as product revenue in the Company’s defense and advanced technologies segment and $7.2 million as interest income for the nine months ended December 31, 2023. The Company may from time to time receive additional licensing and royalty payments under the settlement and licensing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63"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For the three and nine months ended December 31, 2024, the Company recorded income tax benefits of $11.8 million and $4.7 million, respectively, resulting in effective tax rates of 7% and 2%, respectively. The effective tax rates for the periods differed from the U.S. statutory rate primarily due to a U.S. valuation allowance, foreign tax rate differences, and decreases in the Company's unrecognized tax benefits.</w:t>
      </w:r>
    </w:p>
    <w:p>
      <w:pPr>
        <w:spacing w:after="0" w:line="120"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For the three and nine months ended December 31, 2023, the Company recorded income tax benefits of $34.5 million and $128.1 million, respectively, resulting in effective tax rates of 22% and 12%, respectively. The effective tax rate for the three months ended December 31, 2023 did not differ significantly from the U.S. statutory rate despite a valuation allowance recorded against the Company's U.S. net deferred tax assets primarily due to the impacts of purchase price allocation adjustments with respect to the Inmarsat Acquisition recorded in the third quarter of fiscal year 2024. While the effective tax rate for the three months ended December 31, 2023 did not significantly differ from the U.S. statutory rate, the effective tax rate for the nine months ended December 31, 2023 differed from the U.S. statutory rate primarily due to a valuation allowance recorded against the Company's U.S. net deferred tax assets during the second quarter of fiscal year 2024.</w:t>
      </w:r>
    </w:p>
    <w:p>
      <w:pPr>
        <w:spacing w:after="0" w:line="126"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During the second quarter of fiscal year 2024, in evaluating the Company’s ability to realize its U.S. net deferred tax assets, the Company considered all available positive and negative evidence, including but not limited to operating results, forecasted ranges of future taxable income, and its recent satellite anomalies. ASC 740 places more weight on the objectively verifiable evidence of current pre-tax losses and recent events than forecasts of future profitability. Therefore, the Company determined it is more likely than not that its U.S. net deferred tax assets will not be realized. As a result, the Company’s tax benefit for the nine months ended December 31, 2023 was reduced by a valuation allowance recorded against its U.S. losses for the periods.</w:t>
      </w:r>
    </w:p>
    <w:p>
      <w:pPr>
        <w:spacing w:after="0" w:line="125"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Company's total valuation allowance increased from $353.6 million at March 31, 2024 to $371.5 million at December 31, 2024 relating to carryforwards for federal, state, and foreign net operating losses, federal and state R&amp;D tax credits, and foreign tax credits.</w:t>
      </w:r>
    </w:p>
    <w:p>
      <w:pPr>
        <w:spacing w:after="0" w:line="10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For the three and nine months ended December 31, 2024, the Company’s gross unrecognized tax benefits decreased by $8.3 million and increased by an insignificant amount, respectively, and interest and penalties decreased by $4.2 million and $3.7 million, respectively. Of the total $185.9 million gross unrecognized tax benefits at December 31, 2024, $12.4 million would reduce the Company's annual effective tax rate if recognized based on the Company's valuation allowance position at December 31, 2024.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63" w:lineRule="exact"/>
        <w:rPr>
          <w:sz w:val="20"/>
          <w:szCs w:val="20"/>
          <w:color w:val="auto"/>
        </w:rPr>
      </w:pPr>
    </w:p>
    <w:p>
      <w:pPr>
        <w:ind w:right="300" w:firstLine="509"/>
        <w:spacing w:after="0" w:line="244" w:lineRule="auto"/>
        <w:rPr>
          <w:sz w:val="20"/>
          <w:szCs w:val="20"/>
          <w:color w:val="auto"/>
        </w:rPr>
      </w:pPr>
      <w:r>
        <w:rPr>
          <w:rFonts w:ascii="Arial" w:cs="Arial" w:eastAsia="Arial" w:hAnsi="Arial"/>
          <w:sz w:val="18"/>
          <w:szCs w:val="18"/>
          <w:color w:val="auto"/>
        </w:rPr>
        <w:t>The Company reports its results in two separate segments consisting of communication services and defense and advanced technologies. The Company's segments are determined consistent with the way management currently organizes and evaluates financial information internally for making operating decisions and assessing performance. Due to the resegmentation that was implemented commencing with the first quarter of fiscal year 2025, prior period segment amounts have been recast to conform to the current segment presentation.</w:t>
      </w:r>
    </w:p>
    <w:p>
      <w:pPr>
        <w:spacing w:after="0" w:line="2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Company’s reportable segments (communication services and defense and advanced technologies) have been determined based upon their market and economic characteristics while also giving consideration to the structure and management of various business lines. The reportable segments are primarily determined based upon industry categories and core competencies relating to product or service end market distribution, operations, and servicing and distinguished by the type of customer and, to a lesser extent, the related contractual requirements.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 Company’s communication services segment provides a wide range of broadband and narrowband communications solutions across government and commercial mobility markets, as well as for fixed and residential broadband customers. The Company’s communication services segment revenues are primarily derived from the Company’s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spacing w:after="0" w:line="4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Company’s defense and advanced technologies segment develops and offers a diverse array of resilient, vertically integrated solutions to government and commercial customers, leveraging the Company’s technical competencies in encryption, cyber security, tactical gateway, modems and waveforms. The more regulated government environment for defense, encryption and other products is subject to unique contractual requirements and possesses economic characteristics that differ from the communication services segment. The Company’s defense and advanced technologies segment revenues are primarily derived from the Company’s information security and cyber defense, space and mission systems, tactical networking, and advanced technologies and other products and services which are provided to government and commercial customers.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and nine months ended December 31, 2024 and 2023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3"/>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2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 2024</w:t>
            </w:r>
          </w:p>
        </w:tc>
        <w:tc>
          <w:tcPr>
            <w:tcW w:w="600" w:type="dxa"/>
            <w:vAlign w:val="bottom"/>
            <w:tcBorders>
              <w:top w:val="single" w:sz="8" w:color="auto"/>
            </w:tcBorders>
          </w:tcPr>
          <w:p>
            <w:pPr>
              <w:spacing w:after="0"/>
              <w:rPr>
                <w:sz w:val="13"/>
                <w:szCs w:val="13"/>
                <w:color w:val="auto"/>
              </w:rPr>
            </w:pPr>
          </w:p>
        </w:tc>
        <w:tc>
          <w:tcPr>
            <w:tcW w:w="136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580" w:type="dxa"/>
            <w:vAlign w:val="bottom"/>
          </w:tcPr>
          <w:p>
            <w:pPr>
              <w:spacing w:after="0"/>
              <w:rPr>
                <w:sz w:val="13"/>
                <w:szCs w:val="13"/>
                <w:color w:val="auto"/>
              </w:rPr>
            </w:pPr>
          </w:p>
        </w:tc>
        <w:tc>
          <w:tcPr>
            <w:tcW w:w="146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December 31, 2024</w:t>
            </w: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60" w:type="dxa"/>
            <w:vAlign w:val="bottom"/>
            <w:gridSpan w:val="3"/>
          </w:tcPr>
          <w:p>
            <w:pPr>
              <w:jc w:val="right"/>
              <w:ind w:right="168"/>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4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280"/>
              <w:spacing w:after="0"/>
              <w:rPr>
                <w:sz w:val="20"/>
                <w:szCs w:val="20"/>
                <w:color w:val="auto"/>
              </w:rPr>
            </w:pPr>
            <w:r>
              <w:rPr>
                <w:rFonts w:ascii="Arial" w:cs="Arial" w:eastAsia="Arial" w:hAnsi="Arial"/>
                <w:sz w:val="14"/>
                <w:szCs w:val="14"/>
                <w:color w:val="auto"/>
              </w:rPr>
              <w:t>Communication services</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520"/>
              <w:spacing w:after="0"/>
              <w:rPr>
                <w:sz w:val="20"/>
                <w:szCs w:val="20"/>
                <w:color w:val="auto"/>
              </w:rPr>
            </w:pPr>
            <w:r>
              <w:rPr>
                <w:rFonts w:ascii="Arial" w:cs="Arial" w:eastAsia="Arial" w:hAnsi="Arial"/>
                <w:sz w:val="14"/>
                <w:szCs w:val="14"/>
                <w:color w:val="auto"/>
              </w:rPr>
              <w:t>Aviation services</w:t>
            </w:r>
          </w:p>
        </w:tc>
        <w:tc>
          <w:tcPr>
            <w:tcW w:w="88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263,880</w:t>
            </w:r>
          </w:p>
        </w:tc>
        <w:tc>
          <w:tcPr>
            <w:tcW w:w="6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236,008</w:t>
            </w:r>
          </w:p>
        </w:tc>
        <w:tc>
          <w:tcPr>
            <w:tcW w:w="5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783,022</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611,169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520"/>
              <w:spacing w:after="0"/>
              <w:rPr>
                <w:sz w:val="20"/>
                <w:szCs w:val="20"/>
                <w:color w:val="auto"/>
              </w:rPr>
            </w:pPr>
            <w:r>
              <w:rPr>
                <w:rFonts w:ascii="Arial" w:cs="Arial" w:eastAsia="Arial" w:hAnsi="Arial"/>
                <w:sz w:val="14"/>
                <w:szCs w:val="14"/>
                <w:color w:val="auto"/>
              </w:rPr>
              <w:t>Government satcom services</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195,048</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176,311</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558,796</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428,778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520"/>
              <w:spacing w:after="0"/>
              <w:rPr>
                <w:sz w:val="20"/>
                <w:szCs w:val="20"/>
                <w:color w:val="auto"/>
              </w:rPr>
            </w:pPr>
            <w:r>
              <w:rPr>
                <w:rFonts w:ascii="Arial" w:cs="Arial" w:eastAsia="Arial" w:hAnsi="Arial"/>
                <w:sz w:val="14"/>
                <w:szCs w:val="14"/>
                <w:color w:val="auto"/>
              </w:rPr>
              <w:t>Maritime services</w:t>
            </w:r>
          </w:p>
        </w:tc>
        <w:tc>
          <w:tcPr>
            <w:tcW w:w="4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118,895</w:t>
            </w:r>
          </w:p>
        </w:tc>
        <w:tc>
          <w:tcPr>
            <w:tcW w:w="6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130,121</w:t>
            </w:r>
          </w:p>
        </w:tc>
        <w:tc>
          <w:tcPr>
            <w:tcW w:w="5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364,021</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305,894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520"/>
              <w:spacing w:after="0"/>
              <w:rPr>
                <w:sz w:val="20"/>
                <w:szCs w:val="20"/>
                <w:color w:val="auto"/>
              </w:rPr>
            </w:pPr>
            <w:r>
              <w:rPr>
                <w:rFonts w:ascii="Arial" w:cs="Arial" w:eastAsia="Arial" w:hAnsi="Arial"/>
                <w:sz w:val="14"/>
                <w:szCs w:val="14"/>
                <w:color w:val="auto"/>
              </w:rPr>
              <w:t>Fixed services and other services</w:t>
            </w:r>
          </w:p>
        </w:tc>
        <w:tc>
          <w:tcPr>
            <w:tcW w:w="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181,162</w:t>
            </w:r>
          </w:p>
        </w:tc>
        <w:tc>
          <w:tcPr>
            <w:tcW w:w="6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229,929</w:t>
            </w:r>
          </w:p>
        </w:tc>
        <w:tc>
          <w:tcPr>
            <w:tcW w:w="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567,651</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691,063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80" w:type="dxa"/>
            <w:vAlign w:val="bottom"/>
            <w:shd w:val="clear" w:color="auto" w:fill="CFF0FC"/>
          </w:tcPr>
          <w:p>
            <w:pPr>
              <w:ind w:left="780"/>
              <w:spacing w:after="0" w:line="155" w:lineRule="exact"/>
              <w:rPr>
                <w:sz w:val="20"/>
                <w:szCs w:val="20"/>
                <w:color w:val="auto"/>
              </w:rPr>
            </w:pPr>
            <w:r>
              <w:rPr>
                <w:rFonts w:ascii="Arial" w:cs="Arial" w:eastAsia="Arial" w:hAnsi="Arial"/>
                <w:sz w:val="14"/>
                <w:szCs w:val="14"/>
                <w:color w:val="auto"/>
              </w:rPr>
              <w:t>Total services</w:t>
            </w:r>
          </w:p>
        </w:tc>
        <w:tc>
          <w:tcPr>
            <w:tcW w:w="4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758,985</w:t>
            </w:r>
          </w:p>
        </w:tc>
        <w:tc>
          <w:tcPr>
            <w:tcW w:w="6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772,369</w:t>
            </w:r>
          </w:p>
        </w:tc>
        <w:tc>
          <w:tcPr>
            <w:tcW w:w="5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2,273,490</w:t>
            </w: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2,036,904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780"/>
              <w:spacing w:after="0"/>
              <w:rPr>
                <w:sz w:val="20"/>
                <w:szCs w:val="20"/>
                <w:color w:val="auto"/>
              </w:rPr>
            </w:pPr>
            <w:r>
              <w:rPr>
                <w:rFonts w:ascii="Arial" w:cs="Arial" w:eastAsia="Arial" w:hAnsi="Arial"/>
                <w:sz w:val="14"/>
                <w:szCs w:val="14"/>
                <w:color w:val="auto"/>
              </w:rPr>
              <w:t>Total products</w:t>
            </w:r>
          </w:p>
        </w:tc>
        <w:tc>
          <w:tcPr>
            <w:tcW w:w="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61,362</w:t>
            </w:r>
          </w:p>
        </w:tc>
        <w:tc>
          <w:tcPr>
            <w:tcW w:w="6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102,489</w:t>
            </w:r>
          </w:p>
        </w:tc>
        <w:tc>
          <w:tcPr>
            <w:tcW w:w="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200,029</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244,771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180" w:type="dxa"/>
            <w:vAlign w:val="bottom"/>
            <w:shd w:val="clear" w:color="auto" w:fill="CFF0FC"/>
          </w:tcPr>
          <w:p>
            <w:pPr>
              <w:ind w:left="1020"/>
              <w:spacing w:after="0" w:line="147" w:lineRule="exact"/>
              <w:rPr>
                <w:sz w:val="20"/>
                <w:szCs w:val="20"/>
                <w:color w:val="auto"/>
              </w:rPr>
            </w:pPr>
            <w:r>
              <w:rPr>
                <w:rFonts w:ascii="Arial" w:cs="Arial" w:eastAsia="Arial" w:hAnsi="Arial"/>
                <w:sz w:val="14"/>
                <w:szCs w:val="14"/>
                <w:color w:val="auto"/>
              </w:rPr>
              <w:t>Total communication services</w:t>
            </w:r>
          </w:p>
        </w:tc>
        <w:tc>
          <w:tcPr>
            <w:tcW w:w="4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80" w:type="dxa"/>
            <w:vAlign w:val="bottom"/>
            <w:shd w:val="clear" w:color="auto" w:fill="CFF0FC"/>
          </w:tcPr>
          <w:p>
            <w:pPr>
              <w:ind w:left="1020"/>
              <w:spacing w:after="0"/>
              <w:rPr>
                <w:sz w:val="20"/>
                <w:szCs w:val="20"/>
                <w:color w:val="auto"/>
              </w:rPr>
            </w:pPr>
            <w:r>
              <w:rPr>
                <w:rFonts w:ascii="Arial" w:cs="Arial" w:eastAsia="Arial" w:hAnsi="Arial"/>
                <w:sz w:val="14"/>
                <w:szCs w:val="14"/>
                <w:color w:val="auto"/>
              </w:rPr>
              <w:t>revenues</w:t>
            </w:r>
          </w:p>
        </w:tc>
        <w:tc>
          <w:tcPr>
            <w:tcW w:w="4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820,347</w:t>
            </w:r>
          </w:p>
        </w:tc>
        <w:tc>
          <w:tcPr>
            <w:tcW w:w="6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874,858</w:t>
            </w:r>
          </w:p>
        </w:tc>
        <w:tc>
          <w:tcPr>
            <w:tcW w:w="5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2,473,519</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2,281,675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280"/>
              <w:spacing w:after="0"/>
              <w:rPr>
                <w:sz w:val="20"/>
                <w:szCs w:val="20"/>
                <w:color w:val="auto"/>
              </w:rPr>
            </w:pPr>
            <w:r>
              <w:rPr>
                <w:rFonts w:ascii="Arial" w:cs="Arial" w:eastAsia="Arial" w:hAnsi="Arial"/>
                <w:sz w:val="14"/>
                <w:szCs w:val="14"/>
                <w:color w:val="auto"/>
              </w:rPr>
              <w:t>Defense and advanced technologies</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780"/>
              <w:spacing w:after="0"/>
              <w:rPr>
                <w:sz w:val="20"/>
                <w:szCs w:val="20"/>
                <w:color w:val="auto"/>
              </w:rPr>
            </w:pPr>
            <w:r>
              <w:rPr>
                <w:rFonts w:ascii="Arial" w:cs="Arial" w:eastAsia="Arial" w:hAnsi="Arial"/>
                <w:sz w:val="14"/>
                <w:szCs w:val="14"/>
                <w:color w:val="auto"/>
              </w:rPr>
              <w:t>Total services</w:t>
            </w:r>
          </w:p>
        </w:tc>
        <w:tc>
          <w:tcPr>
            <w:tcW w:w="4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50,385</w:t>
            </w:r>
          </w:p>
        </w:tc>
        <w:tc>
          <w:tcPr>
            <w:tcW w:w="6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53,097</w:t>
            </w:r>
          </w:p>
        </w:tc>
        <w:tc>
          <w:tcPr>
            <w:tcW w:w="5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154,915</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155,667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648"/>
        </w:trPr>
        <w:tc>
          <w:tcPr>
            <w:tcW w:w="318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180" w:type="dxa"/>
            <w:vAlign w:val="bottom"/>
          </w:tcPr>
          <w:p>
            <w:pPr>
              <w:ind w:left="520"/>
              <w:spacing w:after="0" w:line="153" w:lineRule="exact"/>
              <w:rPr>
                <w:sz w:val="20"/>
                <w:szCs w:val="20"/>
                <w:color w:val="auto"/>
              </w:rPr>
            </w:pPr>
            <w:r>
              <w:rPr>
                <w:rFonts w:ascii="Arial" w:cs="Arial" w:eastAsia="Arial" w:hAnsi="Arial"/>
                <w:sz w:val="14"/>
                <w:szCs w:val="14"/>
                <w:color w:val="auto"/>
              </w:rPr>
              <w:t>Information security and cyber defense</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180" w:type="dxa"/>
            <w:vAlign w:val="bottom"/>
          </w:tcPr>
          <w:p>
            <w:pPr>
              <w:ind w:left="520"/>
              <w:spacing w:after="0"/>
              <w:rPr>
                <w:sz w:val="20"/>
                <w:szCs w:val="20"/>
                <w:color w:val="auto"/>
              </w:rPr>
            </w:pPr>
            <w:r>
              <w:rPr>
                <w:rFonts w:ascii="Arial" w:cs="Arial" w:eastAsia="Arial" w:hAnsi="Arial"/>
                <w:sz w:val="14"/>
                <w:szCs w:val="14"/>
                <w:color w:val="auto"/>
              </w:rPr>
              <w:t>products</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89,497</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72,115</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228,552</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211,169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520"/>
              <w:spacing w:after="0"/>
              <w:rPr>
                <w:sz w:val="20"/>
                <w:szCs w:val="20"/>
                <w:color w:val="auto"/>
              </w:rPr>
            </w:pPr>
            <w:r>
              <w:rPr>
                <w:rFonts w:ascii="Arial" w:cs="Arial" w:eastAsia="Arial" w:hAnsi="Arial"/>
                <w:sz w:val="14"/>
                <w:szCs w:val="14"/>
                <w:color w:val="auto"/>
              </w:rPr>
              <w:t>Space and mission systems products</w:t>
            </w:r>
          </w:p>
        </w:tc>
        <w:tc>
          <w:tcPr>
            <w:tcW w:w="4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77,752</w:t>
            </w:r>
          </w:p>
        </w:tc>
        <w:tc>
          <w:tcPr>
            <w:tcW w:w="6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65,182</w:t>
            </w:r>
          </w:p>
        </w:tc>
        <w:tc>
          <w:tcPr>
            <w:tcW w:w="5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229,840</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229,875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520"/>
              <w:spacing w:after="0"/>
              <w:rPr>
                <w:sz w:val="20"/>
                <w:szCs w:val="20"/>
                <w:color w:val="auto"/>
              </w:rPr>
            </w:pPr>
            <w:r>
              <w:rPr>
                <w:rFonts w:ascii="Arial" w:cs="Arial" w:eastAsia="Arial" w:hAnsi="Arial"/>
                <w:sz w:val="14"/>
                <w:szCs w:val="14"/>
                <w:color w:val="auto"/>
              </w:rPr>
              <w:t>Tactical networking products</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78,528</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57,676</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229,972</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137,505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80" w:type="dxa"/>
            <w:vAlign w:val="bottom"/>
            <w:shd w:val="clear" w:color="auto" w:fill="CFF0FC"/>
          </w:tcPr>
          <w:p>
            <w:pPr>
              <w:ind w:left="520"/>
              <w:spacing w:after="0" w:line="153" w:lineRule="exact"/>
              <w:rPr>
                <w:sz w:val="20"/>
                <w:szCs w:val="20"/>
                <w:color w:val="auto"/>
              </w:rPr>
            </w:pPr>
            <w:r>
              <w:rPr>
                <w:rFonts w:ascii="Arial" w:cs="Arial" w:eastAsia="Arial" w:hAnsi="Arial"/>
                <w:sz w:val="14"/>
                <w:szCs w:val="14"/>
                <w:color w:val="auto"/>
              </w:rPr>
              <w:t>Advanced technologies and other</w:t>
            </w:r>
          </w:p>
        </w:tc>
        <w:tc>
          <w:tcPr>
            <w:tcW w:w="4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7,258</w:t>
            </w:r>
          </w:p>
        </w:tc>
        <w:tc>
          <w:tcPr>
            <w:tcW w:w="6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5,611</w:t>
            </w:r>
          </w:p>
        </w:tc>
        <w:tc>
          <w:tcPr>
            <w:tcW w:w="5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55,691</w:t>
            </w: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117,854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tcBorders>
              <w:bottom w:val="single" w:sz="8" w:color="CFF0FC"/>
            </w:tcBorders>
            <w:shd w:val="clear" w:color="auto" w:fill="CFF0FC"/>
          </w:tcPr>
          <w:p>
            <w:pPr>
              <w:ind w:left="520"/>
              <w:spacing w:after="0" w:line="158" w:lineRule="exact"/>
              <w:rPr>
                <w:sz w:val="20"/>
                <w:szCs w:val="20"/>
                <w:color w:val="auto"/>
              </w:rPr>
            </w:pPr>
            <w:r>
              <w:rPr>
                <w:rFonts w:ascii="Arial" w:cs="Arial" w:eastAsia="Arial" w:hAnsi="Arial"/>
                <w:sz w:val="14"/>
                <w:szCs w:val="14"/>
                <w:color w:val="auto"/>
              </w:rPr>
              <w:t>products</w:t>
            </w:r>
          </w:p>
        </w:tc>
        <w:tc>
          <w:tcPr>
            <w:tcW w:w="48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6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ind w:left="780"/>
              <w:spacing w:after="0" w:line="155" w:lineRule="exact"/>
              <w:rPr>
                <w:sz w:val="20"/>
                <w:szCs w:val="20"/>
                <w:color w:val="auto"/>
              </w:rPr>
            </w:pPr>
            <w:r>
              <w:rPr>
                <w:rFonts w:ascii="Arial" w:cs="Arial" w:eastAsia="Arial" w:hAnsi="Arial"/>
                <w:sz w:val="14"/>
                <w:szCs w:val="14"/>
                <w:color w:val="auto"/>
              </w:rPr>
              <w:t>Total products</w:t>
            </w:r>
          </w:p>
        </w:tc>
        <w:tc>
          <w:tcPr>
            <w:tcW w:w="4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253,035</w:t>
            </w:r>
          </w:p>
        </w:tc>
        <w:tc>
          <w:tcPr>
            <w:tcW w:w="6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200,584</w:t>
            </w:r>
          </w:p>
        </w:tc>
        <w:tc>
          <w:tcPr>
            <w:tcW w:w="5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744,055</w:t>
            </w:r>
          </w:p>
        </w:tc>
        <w:tc>
          <w:tcPr>
            <w:tcW w:w="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696,403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80" w:type="dxa"/>
            <w:vAlign w:val="bottom"/>
            <w:shd w:val="clear" w:color="auto" w:fill="CFF0FC"/>
          </w:tcPr>
          <w:p>
            <w:pPr>
              <w:ind w:left="1020"/>
              <w:spacing w:after="0" w:line="147" w:lineRule="exact"/>
              <w:rPr>
                <w:sz w:val="20"/>
                <w:szCs w:val="20"/>
                <w:color w:val="auto"/>
              </w:rPr>
            </w:pPr>
            <w:r>
              <w:rPr>
                <w:rFonts w:ascii="Arial" w:cs="Arial" w:eastAsia="Arial" w:hAnsi="Arial"/>
                <w:sz w:val="14"/>
                <w:szCs w:val="14"/>
                <w:color w:val="auto"/>
              </w:rPr>
              <w:t>Total defense and advanced</w:t>
            </w:r>
          </w:p>
        </w:tc>
        <w:tc>
          <w:tcPr>
            <w:tcW w:w="4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80" w:type="dxa"/>
            <w:vAlign w:val="bottom"/>
            <w:shd w:val="clear" w:color="auto" w:fill="CFF0FC"/>
          </w:tcPr>
          <w:p>
            <w:pPr>
              <w:ind w:left="1020"/>
              <w:spacing w:after="0"/>
              <w:rPr>
                <w:sz w:val="20"/>
                <w:szCs w:val="20"/>
                <w:color w:val="auto"/>
              </w:rPr>
            </w:pPr>
            <w:r>
              <w:rPr>
                <w:rFonts w:ascii="Arial" w:cs="Arial" w:eastAsia="Arial" w:hAnsi="Arial"/>
                <w:sz w:val="14"/>
                <w:szCs w:val="14"/>
                <w:color w:val="auto"/>
              </w:rPr>
              <w:t>technologies revenues</w:t>
            </w:r>
          </w:p>
        </w:tc>
        <w:tc>
          <w:tcPr>
            <w:tcW w:w="4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303,420</w:t>
            </w:r>
          </w:p>
        </w:tc>
        <w:tc>
          <w:tcPr>
            <w:tcW w:w="6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253,681</w:t>
            </w:r>
          </w:p>
        </w:tc>
        <w:tc>
          <w:tcPr>
            <w:tcW w:w="5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898,970</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852,070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280"/>
              <w:spacing w:after="0"/>
              <w:rPr>
                <w:sz w:val="20"/>
                <w:szCs w:val="20"/>
                <w:color w:val="auto"/>
              </w:rPr>
            </w:pPr>
            <w:r>
              <w:rPr>
                <w:rFonts w:ascii="Arial" w:cs="Arial" w:eastAsia="Arial" w:hAnsi="Arial"/>
                <w:sz w:val="14"/>
                <w:szCs w:val="14"/>
                <w:color w:val="auto"/>
              </w:rPr>
              <w:t>Elimination of intersegment revenues</w:t>
            </w:r>
          </w:p>
        </w:tc>
        <w:tc>
          <w:tcPr>
            <w:tcW w:w="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1020"/>
              <w:spacing w:after="0" w:line="155" w:lineRule="exact"/>
              <w:rPr>
                <w:sz w:val="20"/>
                <w:szCs w:val="20"/>
                <w:color w:val="auto"/>
              </w:rPr>
            </w:pPr>
            <w:r>
              <w:rPr>
                <w:rFonts w:ascii="Arial" w:cs="Arial" w:eastAsia="Arial" w:hAnsi="Arial"/>
                <w:sz w:val="14"/>
                <w:szCs w:val="14"/>
                <w:color w:val="auto"/>
              </w:rPr>
              <w:t>Total revenues</w:t>
            </w:r>
          </w:p>
        </w:tc>
        <w:tc>
          <w:tcPr>
            <w:tcW w:w="880" w:type="dxa"/>
            <w:vAlign w:val="bottom"/>
            <w:gridSpan w:val="2"/>
            <w:shd w:val="clear" w:color="auto" w:fill="CFF0FC"/>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1,123,767</w:t>
            </w:r>
          </w:p>
        </w:tc>
        <w:tc>
          <w:tcPr>
            <w:tcW w:w="6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1,128,539</w:t>
            </w:r>
          </w:p>
        </w:tc>
        <w:tc>
          <w:tcPr>
            <w:tcW w:w="5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3,372,489</w:t>
            </w: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3,133,745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180" w:type="dxa"/>
            <w:vAlign w:val="bottom"/>
            <w:tcBorders>
              <w:top w:val="single" w:sz="8" w:color="CFF0FC"/>
            </w:tcBorders>
          </w:tcPr>
          <w:p>
            <w:pPr>
              <w:spacing w:after="0"/>
              <w:rPr>
                <w:sz w:val="12"/>
                <w:szCs w:val="12"/>
                <w:color w:val="auto"/>
              </w:rPr>
            </w:pPr>
          </w:p>
        </w:tc>
        <w:tc>
          <w:tcPr>
            <w:tcW w:w="480" w:type="dxa"/>
            <w:vAlign w:val="bottom"/>
            <w:tcBorders>
              <w:top w:val="single" w:sz="8" w:color="CFF0FC"/>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0" w:type="dxa"/>
            <w:vAlign w:val="bottom"/>
            <w:tcBorders>
              <w:top w:val="single" w:sz="8" w:color="CFF0FC"/>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80" w:type="dxa"/>
            <w:vAlign w:val="bottom"/>
            <w:tcBorders>
              <w:top w:val="single" w:sz="8" w:color="CFF0FC"/>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profits (losses):</w:t>
            </w:r>
          </w:p>
        </w:tc>
        <w:tc>
          <w:tcPr>
            <w:tcW w:w="4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280"/>
              <w:spacing w:after="0"/>
              <w:rPr>
                <w:sz w:val="20"/>
                <w:szCs w:val="20"/>
                <w:color w:val="auto"/>
              </w:rPr>
            </w:pPr>
            <w:r>
              <w:rPr>
                <w:rFonts w:ascii="Arial" w:cs="Arial" w:eastAsia="Arial" w:hAnsi="Arial"/>
                <w:sz w:val="14"/>
                <w:szCs w:val="14"/>
                <w:color w:val="auto"/>
              </w:rPr>
              <w:t>Communication services</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44,357</w:t>
            </w:r>
          </w:p>
        </w:tc>
        <w:tc>
          <w:tcPr>
            <w:tcW w:w="6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36,049</w:t>
            </w:r>
          </w:p>
        </w:tc>
        <w:tc>
          <w:tcPr>
            <w:tcW w:w="580" w:type="dxa"/>
            <w:vAlign w:val="bottom"/>
          </w:tcPr>
          <w:p>
            <w:pPr>
              <w:spacing w:after="0"/>
              <w:rPr>
                <w:sz w:val="14"/>
                <w:szCs w:val="14"/>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85,829</w:t>
            </w: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40"/>
              <w:spacing w:after="0"/>
              <w:rPr>
                <w:sz w:val="20"/>
                <w:szCs w:val="20"/>
                <w:color w:val="auto"/>
              </w:rPr>
            </w:pPr>
            <w:r>
              <w:rPr>
                <w:rFonts w:ascii="Arial" w:cs="Arial" w:eastAsia="Arial" w:hAnsi="Arial"/>
                <w:sz w:val="14"/>
                <w:szCs w:val="14"/>
                <w:color w:val="auto"/>
              </w:rPr>
              <w:t>(805,080 )</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Defense and advanced technologies</w:t>
            </w:r>
          </w:p>
        </w:tc>
        <w:tc>
          <w:tcPr>
            <w:tcW w:w="4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42,738</w:t>
            </w:r>
          </w:p>
        </w:tc>
        <w:tc>
          <w:tcPr>
            <w:tcW w:w="6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11,752</w:t>
            </w:r>
          </w:p>
        </w:tc>
        <w:tc>
          <w:tcPr>
            <w:tcW w:w="5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168,562</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115,883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80" w:type="dxa"/>
            <w:vAlign w:val="bottom"/>
          </w:tcPr>
          <w:p>
            <w:pPr>
              <w:ind w:left="280"/>
              <w:spacing w:after="0" w:line="153" w:lineRule="exact"/>
              <w:rPr>
                <w:sz w:val="20"/>
                <w:szCs w:val="20"/>
                <w:color w:val="auto"/>
              </w:rPr>
            </w:pPr>
            <w:r>
              <w:rPr>
                <w:rFonts w:ascii="Arial" w:cs="Arial" w:eastAsia="Arial" w:hAnsi="Arial"/>
                <w:sz w:val="14"/>
                <w:szCs w:val="14"/>
                <w:color w:val="auto"/>
              </w:rPr>
              <w:t>Elimination of intersegment operating profits</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2"/>
            <w:vMerge w:val="restart"/>
          </w:tcPr>
          <w:p>
            <w:pPr>
              <w:jc w:val="right"/>
              <w:ind w:right="6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1400" w:type="dxa"/>
            <w:vAlign w:val="bottom"/>
            <w:gridSpan w:val="2"/>
            <w:vMerge w:val="restart"/>
          </w:tcPr>
          <w:p>
            <w:pPr>
              <w:jc w:val="right"/>
              <w:ind w:right="6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3"/>
                <w:szCs w:val="13"/>
                <w:color w:val="auto"/>
              </w:rPr>
            </w:pPr>
          </w:p>
        </w:tc>
        <w:tc>
          <w:tcPr>
            <w:tcW w:w="1480" w:type="dxa"/>
            <w:vAlign w:val="bottom"/>
            <w:gridSpan w:val="2"/>
            <w:vMerge w:val="restart"/>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5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180" w:type="dxa"/>
            <w:vAlign w:val="bottom"/>
          </w:tcPr>
          <w:p>
            <w:pPr>
              <w:ind w:left="280"/>
              <w:spacing w:after="0" w:line="158" w:lineRule="exact"/>
              <w:rPr>
                <w:sz w:val="20"/>
                <w:szCs w:val="20"/>
                <w:color w:val="auto"/>
              </w:rPr>
            </w:pPr>
            <w:r>
              <w:rPr>
                <w:rFonts w:ascii="Arial" w:cs="Arial" w:eastAsia="Arial" w:hAnsi="Arial"/>
                <w:sz w:val="14"/>
                <w:szCs w:val="14"/>
                <w:color w:val="auto"/>
              </w:rPr>
              <w:t>(losses)</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8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Segment operating profit (loss) before corporate</w:t>
            </w:r>
          </w:p>
        </w:tc>
        <w:tc>
          <w:tcPr>
            <w:tcW w:w="480" w:type="dxa"/>
            <w:vAlign w:val="bottom"/>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4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and amortization of acquired intangible assets</w:t>
            </w:r>
          </w:p>
        </w:tc>
        <w:tc>
          <w:tcPr>
            <w:tcW w:w="4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87,095</w:t>
            </w:r>
          </w:p>
        </w:tc>
        <w:tc>
          <w:tcPr>
            <w:tcW w:w="6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47,801</w:t>
            </w:r>
          </w:p>
        </w:tc>
        <w:tc>
          <w:tcPr>
            <w:tcW w:w="5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254,391</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(689,197 )</w:t>
            </w:r>
          </w:p>
        </w:tc>
        <w:tc>
          <w:tcPr>
            <w:tcW w:w="0" w:type="dxa"/>
            <w:vAlign w:val="bottom"/>
          </w:tcPr>
          <w:p>
            <w:pPr>
              <w:spacing w:after="0"/>
              <w:rPr>
                <w:sz w:val="1"/>
                <w:szCs w:val="1"/>
                <w:color w:val="auto"/>
              </w:rPr>
            </w:pPr>
          </w:p>
        </w:tc>
      </w:tr>
      <w:tr>
        <w:trPr>
          <w:trHeight w:val="162"/>
        </w:trPr>
        <w:tc>
          <w:tcPr>
            <w:tcW w:w="3180" w:type="dxa"/>
            <w:vAlign w:val="bottom"/>
          </w:tcPr>
          <w:p>
            <w:pPr>
              <w:ind w:left="280"/>
              <w:spacing w:after="0"/>
              <w:rPr>
                <w:sz w:val="20"/>
                <w:szCs w:val="20"/>
                <w:color w:val="auto"/>
              </w:rPr>
            </w:pPr>
            <w:r>
              <w:rPr>
                <w:rFonts w:ascii="Arial" w:cs="Arial" w:eastAsia="Arial" w:hAnsi="Arial"/>
                <w:sz w:val="14"/>
                <w:szCs w:val="14"/>
                <w:color w:val="auto"/>
              </w:rPr>
              <w:t>Corporate</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Amortization of acquired intangible assets</w:t>
            </w:r>
          </w:p>
        </w:tc>
        <w:tc>
          <w:tcPr>
            <w:tcW w:w="4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(65,847 )</w:t>
            </w:r>
          </w:p>
        </w:tc>
        <w:tc>
          <w:tcPr>
            <w:tcW w:w="5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(91,719 )</w:t>
            </w:r>
          </w:p>
        </w:tc>
        <w:tc>
          <w:tcPr>
            <w:tcW w:w="5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(198,086 )</w:t>
            </w:r>
          </w:p>
        </w:tc>
        <w:tc>
          <w:tcPr>
            <w:tcW w:w="10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(200,904 )</w:t>
            </w:r>
          </w:p>
        </w:tc>
        <w:tc>
          <w:tcPr>
            <w:tcW w:w="0" w:type="dxa"/>
            <w:vAlign w:val="bottom"/>
          </w:tcPr>
          <w:p>
            <w:pPr>
              <w:spacing w:after="0"/>
              <w:rPr>
                <w:sz w:val="1"/>
                <w:szCs w:val="1"/>
                <w:color w:val="auto"/>
              </w:rPr>
            </w:pPr>
          </w:p>
        </w:tc>
      </w:tr>
      <w:tr>
        <w:trPr>
          <w:trHeight w:val="20"/>
        </w:trPr>
        <w:tc>
          <w:tcPr>
            <w:tcW w:w="31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80" w:type="dxa"/>
            <w:vAlign w:val="bottom"/>
          </w:tcPr>
          <w:p>
            <w:pPr>
              <w:ind w:left="20"/>
              <w:spacing w:after="0" w:line="155" w:lineRule="exact"/>
              <w:rPr>
                <w:sz w:val="20"/>
                <w:szCs w:val="20"/>
                <w:color w:val="auto"/>
              </w:rPr>
            </w:pPr>
            <w:r>
              <w:rPr>
                <w:rFonts w:ascii="Arial" w:cs="Arial" w:eastAsia="Arial" w:hAnsi="Arial"/>
                <w:sz w:val="14"/>
                <w:szCs w:val="14"/>
                <w:color w:val="auto"/>
              </w:rPr>
              <w:t>Income (loss) from operations</w:t>
            </w:r>
          </w:p>
        </w:tc>
        <w:tc>
          <w:tcPr>
            <w:tcW w:w="480" w:type="dxa"/>
            <w:vAlign w:val="bottom"/>
          </w:tcPr>
          <w:p>
            <w:pPr>
              <w:spacing w:after="0"/>
              <w:rPr>
                <w:sz w:val="13"/>
                <w:szCs w:val="13"/>
                <w:color w:val="auto"/>
              </w:rPr>
            </w:pPr>
          </w:p>
        </w:tc>
        <w:tc>
          <w:tcPr>
            <w:tcW w:w="400" w:type="dxa"/>
            <w:vAlign w:val="bottom"/>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21,248</w:t>
            </w:r>
          </w:p>
        </w:tc>
        <w:tc>
          <w:tcPr>
            <w:tcW w:w="600" w:type="dxa"/>
            <w:vAlign w:val="bottom"/>
          </w:tcPr>
          <w:p>
            <w:pPr>
              <w:spacing w:after="0"/>
              <w:rPr>
                <w:sz w:val="13"/>
                <w:szCs w:val="13"/>
                <w:color w:val="auto"/>
              </w:rPr>
            </w:pPr>
          </w:p>
        </w:tc>
        <w:tc>
          <w:tcPr>
            <w:tcW w:w="5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(43,918 )</w:t>
            </w:r>
          </w:p>
        </w:tc>
        <w:tc>
          <w:tcPr>
            <w:tcW w:w="560" w:type="dxa"/>
            <w:vAlign w:val="bottom"/>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56,305</w:t>
            </w:r>
          </w:p>
        </w:tc>
        <w:tc>
          <w:tcPr>
            <w:tcW w:w="58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(890,101 )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-1731010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-1731010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-1731010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-1191260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-1174115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-1191260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-1174115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-1191260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-1174115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-136525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-136525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-136525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which identification is consistent with the information provided to the Company's chief operating decision maker for purposes of evaluating segment performance or allocating resources. Segment assets as of December 31, 2024 and March 31, 2024 were as follows: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577"/>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ind w:left="400"/>
              <w:spacing w:after="0"/>
              <w:rPr>
                <w:sz w:val="20"/>
                <w:szCs w:val="20"/>
                <w:color w:val="auto"/>
              </w:rPr>
            </w:pPr>
            <w:r>
              <w:rPr>
                <w:rFonts w:ascii="Arial" w:cs="Arial" w:eastAsia="Arial" w:hAnsi="Arial"/>
                <w:sz w:val="14"/>
                <w:szCs w:val="14"/>
                <w:b w:val="1"/>
                <w:bCs w:val="1"/>
                <w:color w:val="auto"/>
              </w:rPr>
              <w:t>As of</w:t>
            </w:r>
          </w:p>
        </w:tc>
      </w:tr>
      <w:tr>
        <w:trPr>
          <w:trHeight w:val="171"/>
        </w:trPr>
        <w:tc>
          <w:tcPr>
            <w:tcW w:w="6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4"/>
                <w:szCs w:val="14"/>
                <w:color w:val="auto"/>
              </w:rPr>
            </w:pPr>
          </w:p>
        </w:tc>
      </w:tr>
      <w:tr>
        <w:trPr>
          <w:trHeight w:val="156"/>
        </w:trPr>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117"/>
              <w:spacing w:after="0" w:line="155" w:lineRule="exact"/>
              <w:rPr>
                <w:sz w:val="20"/>
                <w:szCs w:val="20"/>
                <w:color w:val="auto"/>
              </w:rPr>
            </w:pPr>
            <w:r>
              <w:rPr>
                <w:rFonts w:ascii="Arial" w:cs="Arial" w:eastAsia="Arial" w:hAnsi="Arial"/>
                <w:sz w:val="14"/>
                <w:szCs w:val="14"/>
                <w:b w:val="1"/>
                <w:bCs w:val="1"/>
                <w:color w:val="auto"/>
              </w:rPr>
              <w:t>(In</w:t>
            </w:r>
          </w:p>
        </w:tc>
        <w:tc>
          <w:tcPr>
            <w:tcW w:w="1900" w:type="dxa"/>
            <w:vAlign w:val="bottom"/>
            <w:gridSpan w:val="3"/>
          </w:tcPr>
          <w:p>
            <w:pPr>
              <w:jc w:val="center"/>
              <w:ind w:right="1195"/>
              <w:spacing w:after="0" w:line="155"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3"/>
                <w:szCs w:val="13"/>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Segment assets:</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260"/>
              <w:spacing w:after="0" w:line="202" w:lineRule="exact"/>
              <w:rPr>
                <w:sz w:val="20"/>
                <w:szCs w:val="20"/>
                <w:color w:val="auto"/>
              </w:rPr>
            </w:pPr>
            <w:r>
              <w:rPr>
                <w:rFonts w:ascii="Arial" w:cs="Arial" w:eastAsia="Arial" w:hAnsi="Arial"/>
                <w:sz w:val="18"/>
                <w:szCs w:val="18"/>
                <w:color w:val="auto"/>
              </w:rPr>
              <w:t>Communication services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4,543,153</w:t>
            </w:r>
          </w:p>
        </w:tc>
        <w:tc>
          <w:tcPr>
            <w:tcW w:w="480" w:type="dxa"/>
            <w:vAlign w:val="bottom"/>
            <w:gridSpan w:val="2"/>
          </w:tcPr>
          <w:p>
            <w:pPr>
              <w:jc w:val="center"/>
              <w:ind w:left="56"/>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4,819,535</w:t>
            </w:r>
          </w:p>
        </w:tc>
        <w:tc>
          <w:tcPr>
            <w:tcW w:w="100" w:type="dxa"/>
            <w:vAlign w:val="bottom"/>
          </w:tcPr>
          <w:p>
            <w:pPr>
              <w:spacing w:after="0"/>
              <w:rPr>
                <w:sz w:val="17"/>
                <w:szCs w:val="17"/>
                <w:color w:val="auto"/>
              </w:rPr>
            </w:pPr>
          </w:p>
        </w:tc>
      </w:tr>
      <w:tr>
        <w:trPr>
          <w:trHeight w:val="203"/>
        </w:trPr>
        <w:tc>
          <w:tcPr>
            <w:tcW w:w="644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Defense and advanced technologies</w:t>
            </w: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382,941</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341,450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40" w:type="dxa"/>
            <w:vAlign w:val="bottom"/>
          </w:tcPr>
          <w:p>
            <w:pPr>
              <w:spacing w:after="0" w:line="196" w:lineRule="exact"/>
              <w:rPr>
                <w:sz w:val="20"/>
                <w:szCs w:val="20"/>
                <w:color w:val="auto"/>
              </w:rPr>
            </w:pPr>
            <w:r>
              <w:rPr>
                <w:rFonts w:ascii="Arial" w:cs="Arial" w:eastAsia="Arial" w:hAnsi="Arial"/>
                <w:sz w:val="18"/>
                <w:szCs w:val="18"/>
                <w:color w:val="auto"/>
              </w:rPr>
              <w:t>Total segment assets</w:t>
            </w:r>
          </w:p>
        </w:tc>
        <w:tc>
          <w:tcPr>
            <w:tcW w:w="16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4,926,094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5,160,985</w:t>
            </w:r>
          </w:p>
        </w:tc>
        <w:tc>
          <w:tcPr>
            <w:tcW w:w="100" w:type="dxa"/>
            <w:vAlign w:val="bottom"/>
          </w:tcPr>
          <w:p>
            <w:pPr>
              <w:spacing w:after="0"/>
              <w:rPr>
                <w:sz w:val="17"/>
                <w:szCs w:val="17"/>
                <w:color w:val="auto"/>
              </w:rPr>
            </w:pPr>
          </w:p>
        </w:tc>
      </w:tr>
      <w:tr>
        <w:trPr>
          <w:trHeight w:val="203"/>
        </w:trPr>
        <w:tc>
          <w:tcPr>
            <w:tcW w:w="644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Corporate assets</w:t>
            </w: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10,674,257</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11,168,379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40" w:type="dxa"/>
            <w:vAlign w:val="bottom"/>
          </w:tcPr>
          <w:p>
            <w:pPr>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15,600,351</w:t>
            </w:r>
          </w:p>
        </w:tc>
        <w:tc>
          <w:tcPr>
            <w:tcW w:w="480" w:type="dxa"/>
            <w:vAlign w:val="bottom"/>
            <w:gridSpan w:val="2"/>
          </w:tcPr>
          <w:p>
            <w:pPr>
              <w:jc w:val="center"/>
              <w:ind w:left="56"/>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16,329,364</w:t>
            </w:r>
          </w:p>
        </w:tc>
        <w:tc>
          <w:tcPr>
            <w:tcW w:w="100" w:type="dxa"/>
            <w:vAlign w:val="bottom"/>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-427990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-427990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-162560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Other acquired intangible assets, net and goodwill included in segment assets as of December 31, 2024 and March 31, 2024 were as follows:</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Assets, Net</w:t>
            </w:r>
          </w:p>
        </w:tc>
        <w:tc>
          <w:tcPr>
            <w:tcW w:w="1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Goodwill</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ind w:right="600"/>
              <w:spacing w:after="0" w:line="147"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ind w:right="579"/>
              <w:spacing w:after="0" w:line="147"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right"/>
              <w:ind w:right="619"/>
              <w:spacing w:after="0" w:line="147"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517"/>
              <w:spacing w:after="0" w:line="147" w:lineRule="exact"/>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2"/>
                <w:szCs w:val="12"/>
                <w:color w:val="auto"/>
              </w:rPr>
            </w:pPr>
          </w:p>
        </w:tc>
      </w:tr>
      <w:tr>
        <w:trPr>
          <w:trHeight w:val="171"/>
        </w:trPr>
        <w:tc>
          <w:tcPr>
            <w:tcW w:w="3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4"/>
                <w:szCs w:val="14"/>
                <w:color w:val="auto"/>
              </w:rPr>
            </w:pPr>
          </w:p>
        </w:tc>
      </w:tr>
      <w:tr>
        <w:trPr>
          <w:trHeight w:val="156"/>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00" w:type="dxa"/>
            <w:vAlign w:val="bottom"/>
            <w:gridSpan w:val="4"/>
          </w:tcPr>
          <w:p>
            <w:pPr>
              <w:jc w:val="right"/>
              <w:ind w:right="1319"/>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Communication services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2,338,088</w:t>
            </w:r>
          </w:p>
        </w:tc>
        <w:tc>
          <w:tcPr>
            <w:tcW w:w="5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2,544,315</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1,580,480</w:t>
            </w:r>
          </w:p>
        </w:tc>
        <w:tc>
          <w:tcPr>
            <w:tcW w:w="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1,581,937</w:t>
            </w:r>
          </w:p>
        </w:tc>
        <w:tc>
          <w:tcPr>
            <w:tcW w:w="120" w:type="dxa"/>
            <w:vAlign w:val="bottom"/>
            <w:shd w:val="clear" w:color="auto" w:fill="CFF0FC"/>
          </w:tcPr>
          <w:p>
            <w:pPr>
              <w:spacing w:after="0"/>
              <w:rPr>
                <w:sz w:val="17"/>
                <w:szCs w:val="17"/>
                <w:color w:val="auto"/>
              </w:rPr>
            </w:pPr>
          </w:p>
        </w:tc>
      </w:tr>
      <w:tr>
        <w:trPr>
          <w:trHeight w:val="203"/>
        </w:trPr>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Defense and advanced technologies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39,787</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39,826</w:t>
            </w:r>
          </w:p>
        </w:tc>
        <w:tc>
          <w:tcPr>
            <w:tcW w:w="120" w:type="dxa"/>
            <w:vAlign w:val="bottom"/>
          </w:tcPr>
          <w:p>
            <w:pPr>
              <w:spacing w:after="0"/>
              <w:rPr>
                <w:sz w:val="17"/>
                <w:szCs w:val="17"/>
                <w:color w:val="auto"/>
              </w:rPr>
            </w:pPr>
          </w:p>
        </w:tc>
      </w:tr>
      <w:tr>
        <w:trPr>
          <w:trHeight w:val="216"/>
        </w:trPr>
        <w:tc>
          <w:tcPr>
            <w:tcW w:w="3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2,338,088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2,544,467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1,620,267</w:t>
            </w:r>
          </w:p>
        </w:tc>
        <w:tc>
          <w:tcPr>
            <w:tcW w:w="4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1,621,763</w:t>
            </w:r>
          </w:p>
        </w:tc>
        <w:tc>
          <w:tcPr>
            <w:tcW w:w="120" w:type="dxa"/>
            <w:vAlign w:val="bottom"/>
            <w:shd w:val="clear" w:color="auto" w:fill="CFF0FC"/>
          </w:tcPr>
          <w:p>
            <w:pPr>
              <w:spacing w:after="0"/>
              <w:rPr>
                <w:sz w:val="18"/>
                <w:szCs w:val="18"/>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-25400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-25400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Depreciation and amortization of intangible assets allocated to segments for the three and nine months ended December 31, 2024 and 2023 was as follows:</w:t>
      </w:r>
    </w:p>
    <w:p>
      <w:pPr>
        <w:spacing w:after="0" w:line="6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4"/>
          </w:tcPr>
          <w:p>
            <w:pPr>
              <w:jc w:val="right"/>
              <w:ind w:right="93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gridSpan w:val="5"/>
          </w:tcPr>
          <w:p>
            <w:pPr>
              <w:ind w:left="9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December 31, 2024</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December 31, 2023</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December 31, 2024</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right"/>
              <w:ind w:right="136"/>
              <w:spacing w:after="0" w:line="155" w:lineRule="exact"/>
              <w:rPr>
                <w:sz w:val="20"/>
                <w:szCs w:val="20"/>
                <w:color w:val="auto"/>
              </w:rPr>
            </w:pPr>
            <w:r>
              <w:rPr>
                <w:rFonts w:ascii="Arial" w:cs="Arial" w:eastAsia="Arial" w:hAnsi="Arial"/>
                <w:sz w:val="14"/>
                <w:szCs w:val="14"/>
                <w:b w:val="1"/>
                <w:bCs w:val="1"/>
                <w:color w:val="auto"/>
              </w:rPr>
              <w:t>(In</w:t>
            </w:r>
          </w:p>
        </w:tc>
        <w:tc>
          <w:tcPr>
            <w:tcW w:w="1800" w:type="dxa"/>
            <w:vAlign w:val="bottom"/>
            <w:gridSpan w:val="3"/>
          </w:tcPr>
          <w:p>
            <w:pPr>
              <w:jc w:val="right"/>
              <w:ind w:right="1136"/>
              <w:spacing w:after="0" w:line="155" w:lineRule="exact"/>
              <w:rPr>
                <w:sz w:val="20"/>
                <w:szCs w:val="20"/>
                <w:color w:val="auto"/>
              </w:rPr>
            </w:pPr>
            <w:r>
              <w:rPr>
                <w:rFonts w:ascii="Arial" w:cs="Arial" w:eastAsia="Arial" w:hAnsi="Arial"/>
                <w:sz w:val="14"/>
                <w:szCs w:val="14"/>
                <w:b w:val="1"/>
                <w:bCs w:val="1"/>
                <w:color w:val="auto"/>
                <w:w w:val="74"/>
              </w:rPr>
              <w:t>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Communication services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254,962</w:t>
            </w:r>
          </w:p>
        </w:tc>
        <w:tc>
          <w:tcPr>
            <w:tcW w:w="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231,274</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776,134</w:t>
            </w:r>
          </w:p>
        </w:tc>
        <w:tc>
          <w:tcPr>
            <w:tcW w:w="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604,738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Defense and advanced technologies</w:t>
            </w:r>
          </w:p>
        </w:tc>
        <w:tc>
          <w:tcPr>
            <w:tcW w:w="1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16,946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13,633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49,405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39,328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(1)</w:t>
            </w: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65,847</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91,719</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198,086</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200,904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880" w:type="dxa"/>
            <w:vAlign w:val="bottom"/>
          </w:tcPr>
          <w:p>
            <w:pPr>
              <w:ind w:left="20"/>
              <w:spacing w:after="0" w:line="177" w:lineRule="exact"/>
              <w:rPr>
                <w:sz w:val="20"/>
                <w:szCs w:val="20"/>
                <w:color w:val="auto"/>
              </w:rPr>
            </w:pPr>
            <w:r>
              <w:rPr>
                <w:rFonts w:ascii="Arial" w:cs="Arial" w:eastAsia="Arial" w:hAnsi="Arial"/>
                <w:sz w:val="18"/>
                <w:szCs w:val="18"/>
                <w:color w:val="auto"/>
              </w:rPr>
              <w:t>Total depreciation and amortization of</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337,755</w:t>
            </w: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336,626</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1,023,625</w:t>
            </w: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844,970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80" w:type="dxa"/>
            <w:vAlign w:val="bottom"/>
          </w:tcPr>
          <w:p>
            <w:pPr>
              <w:ind w:left="160"/>
              <w:spacing w:after="0" w:line="161" w:lineRule="exact"/>
              <w:rPr>
                <w:sz w:val="20"/>
                <w:szCs w:val="20"/>
                <w:color w:val="auto"/>
              </w:rPr>
            </w:pPr>
            <w:r>
              <w:rPr>
                <w:rFonts w:ascii="Arial" w:cs="Arial" w:eastAsia="Arial" w:hAnsi="Arial"/>
                <w:sz w:val="18"/>
                <w:szCs w:val="18"/>
                <w:color w:val="auto"/>
              </w:rPr>
              <w:t>intangible assets</w:t>
            </w:r>
          </w:p>
        </w:tc>
        <w:tc>
          <w:tcPr>
            <w:tcW w:w="1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-264795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-264795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-264795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-264795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60325</wp:posOffset>
            </wp:positionV>
            <wp:extent cx="6254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10" w:lineRule="exact"/>
        <w:rPr>
          <w:sz w:val="20"/>
          <w:szCs w:val="20"/>
          <w:color w:val="auto"/>
        </w:rPr>
      </w:pPr>
    </w:p>
    <w:p>
      <w:pPr>
        <w:ind w:left="1020" w:right="420" w:hanging="503"/>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amounts include the amortization of acquired intangible assets as they are not considered part of management’s evaluation of segment performance.</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and nine months ended December 31, 2024 and 2023 were as follows: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4"/>
                <w:szCs w:val="14"/>
                <w:color w:val="auto"/>
              </w:rPr>
            </w:pPr>
          </w:p>
        </w:tc>
      </w:tr>
      <w:tr>
        <w:trPr>
          <w:trHeight w:val="155"/>
        </w:trPr>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jc w:val="right"/>
              <w:ind w:right="119"/>
              <w:spacing w:after="0" w:line="155" w:lineRule="exact"/>
              <w:rPr>
                <w:sz w:val="20"/>
                <w:szCs w:val="20"/>
                <w:color w:val="auto"/>
              </w:rPr>
            </w:pPr>
            <w:r>
              <w:rPr>
                <w:rFonts w:ascii="Arial" w:cs="Arial" w:eastAsia="Arial" w:hAnsi="Arial"/>
                <w:sz w:val="14"/>
                <w:szCs w:val="14"/>
                <w:b w:val="1"/>
                <w:bCs w:val="1"/>
                <w:color w:val="auto"/>
              </w:rPr>
              <w:t>(In</w:t>
            </w:r>
          </w:p>
        </w:tc>
        <w:tc>
          <w:tcPr>
            <w:tcW w:w="2100" w:type="dxa"/>
            <w:vAlign w:val="bottom"/>
            <w:gridSpan w:val="3"/>
          </w:tcPr>
          <w:p>
            <w:pPr>
              <w:jc w:val="center"/>
              <w:ind w:right="1397"/>
              <w:spacing w:after="0" w:line="155"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3"/>
                <w:szCs w:val="13"/>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customers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774,383</w:t>
            </w:r>
          </w:p>
        </w:tc>
        <w:tc>
          <w:tcPr>
            <w:tcW w:w="420" w:type="dxa"/>
            <w:vAlign w:val="bottom"/>
            <w:gridSpan w:val="2"/>
            <w:shd w:val="clear" w:color="auto" w:fill="CFF0FC"/>
          </w:tcPr>
          <w:p>
            <w:pPr>
              <w:jc w:val="center"/>
              <w:ind w:left="79"/>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2,327,663</w:t>
            </w:r>
          </w:p>
        </w:tc>
        <w:tc>
          <w:tcPr>
            <w:tcW w:w="100" w:type="dxa"/>
            <w:vAlign w:val="bottom"/>
            <w:shd w:val="clear" w:color="auto" w:fill="CFF0FC"/>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Non-U.S. customers (each country individually insignificant)</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349,384</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1,044,826</w:t>
            </w:r>
          </w:p>
        </w:tc>
        <w:tc>
          <w:tcPr>
            <w:tcW w:w="100" w:type="dxa"/>
            <w:vAlign w:val="bottom"/>
          </w:tcPr>
          <w:p>
            <w:pPr>
              <w:spacing w:after="0"/>
              <w:rPr>
                <w:sz w:val="17"/>
                <w:szCs w:val="17"/>
                <w:color w:val="auto"/>
              </w:rPr>
            </w:pPr>
          </w:p>
        </w:tc>
      </w:tr>
      <w:tr>
        <w:trPr>
          <w:trHeight w:val="236"/>
        </w:trPr>
        <w:tc>
          <w:tcPr>
            <w:tcW w:w="60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1,123,767</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3,372,489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-24765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p>
      <w:pPr>
        <w:spacing w:after="0" w:line="207"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December 31, 2023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December 31, 2023</w:t>
      </w:r>
    </w:p>
    <w:p>
      <w:pPr>
        <w:spacing w:after="0" w:line="20" w:lineRule="exact"/>
        <w:rPr>
          <w:sz w:val="20"/>
          <w:szCs w:val="20"/>
          <w:color w:val="auto"/>
        </w:rPr>
      </w:pPr>
    </w:p>
    <w:p>
      <w:pPr>
        <w:sectPr>
          <w:pgSz w:w="11900" w:h="16838" w:orient="portrait"/>
          <w:cols w:equalWidth="0" w:num="2">
            <w:col w:w="8260" w:space="700"/>
            <w:col w:w="2260"/>
          </w:cols>
          <w:pgMar w:left="320" w:top="769" w:right="359"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6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6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20" w:type="dxa"/>
            <w:vAlign w:val="bottom"/>
            <w:gridSpan w:val="3"/>
          </w:tcPr>
          <w:p>
            <w:pPr>
              <w:jc w:val="right"/>
              <w:ind w:right="230"/>
              <w:spacing w:after="0" w:line="135" w:lineRule="exact"/>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customers</w:t>
            </w:r>
          </w:p>
        </w:tc>
        <w:tc>
          <w:tcPr>
            <w:tcW w:w="58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769,135</w:t>
            </w:r>
          </w:p>
        </w:tc>
        <w:tc>
          <w:tcPr>
            <w:tcW w:w="940" w:type="dxa"/>
            <w:vAlign w:val="bottom"/>
            <w:gridSpan w:val="2"/>
            <w:shd w:val="clear" w:color="auto" w:fill="CFF0FC"/>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2,239,718</w:t>
            </w:r>
          </w:p>
        </w:tc>
        <w:tc>
          <w:tcPr>
            <w:tcW w:w="100" w:type="dxa"/>
            <w:vAlign w:val="bottom"/>
            <w:shd w:val="clear" w:color="auto" w:fill="CFF0FC"/>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Non-U.S. customers (each country individually insignificant)</w:t>
            </w:r>
          </w:p>
        </w:tc>
        <w:tc>
          <w:tcPr>
            <w:tcW w:w="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359,404</w:t>
            </w:r>
          </w:p>
        </w:tc>
        <w:tc>
          <w:tcPr>
            <w:tcW w:w="2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894,027</w:t>
            </w:r>
          </w:p>
        </w:tc>
        <w:tc>
          <w:tcPr>
            <w:tcW w:w="100" w:type="dxa"/>
            <w:vAlign w:val="bottom"/>
          </w:tcPr>
          <w:p>
            <w:pPr>
              <w:spacing w:after="0"/>
              <w:rPr>
                <w:sz w:val="17"/>
                <w:szCs w:val="17"/>
                <w:color w:val="auto"/>
              </w:rPr>
            </w:pPr>
          </w:p>
        </w:tc>
      </w:tr>
      <w:tr>
        <w:trPr>
          <w:trHeight w:val="236"/>
        </w:trPr>
        <w:tc>
          <w:tcPr>
            <w:tcW w:w="60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58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1,128,539</w:t>
            </w:r>
          </w:p>
        </w:tc>
        <w:tc>
          <w:tcPr>
            <w:tcW w:w="24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3,133,745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-25400</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40" w:name="page41"/>
    <w:bookmarkEnd w:id="40"/>
    <w:p>
      <w:pPr>
        <w:jc w:val="center"/>
        <w:ind w:right="-29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7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Pursuant to the Company's continued integration of its networks and related satellite portfolio, in January 2025, the Company has determined that certain ground network infrastructure locations in the EMEA markets will be exited, certain related assets disposed of and long-term contracts terminated. The Company anticipates in the fourth quarter of fiscal year 2025 to record impairment charges and other liabilities related to the exit activities in the range of approximately $130 million to $180 million.</w:t>
      </w:r>
    </w:p>
    <w:p>
      <w:pPr>
        <w:spacing w:after="0" w:line="1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769" w:right="639" w:bottom="1440" w:gutter="0" w:footer="0" w:header="0"/>
        </w:sectPr>
      </w:pPr>
    </w:p>
    <w:bookmarkStart w:id="41" w:name="page42"/>
    <w:bookmarkEnd w:id="41"/>
    <w:p>
      <w:pPr>
        <w:ind w:right="2940"/>
        <w:spacing w:after="0" w:line="32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projections of earnings, revenue, costs or other financial items; anticipated growth and trends in our business or key markets; future economic conditions and performance; the development, customer acceptance and anticipated performance of technologies, products or services; the construction, completion, testing, launch, commencement of commercial service, expected performance and benefits of satellites (including future satellites planned or under construction) and the timing thereof; the impact of anomalies on the ViaSat-3 F1 and Inmarsat-6 (I-6) F2 satellites including any potential insurance proceeds that may be recoverable in connection therewith; the expected capacity, coverage, service speeds and other features of our satellites, and the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in-flight connectivity (IFC) systems; plans to exit certain ground network infrastructure locations in the EMEA markets and associated impairment charges and liabilities;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any existing or future satellite; unexpected expenses related to our satellite projects; risks associated with the construction, launch and operation of satellites, including the effect of any anomaly, launch, operational or deployment failure or degradation in satellite performance; capacity constraints in our business in the lead-up to the commencement of service on new satellites; increasing levels of competition in our target markets; our ability to successfully implement our business plan on our anticipated timeline or at all; the ability to realize anticipated benefits and synergies of the Inmarsat Acquisition (as defined below) and our other acquisitions, including the expectation of enhancements to our products and services, greater revenue or growth opportunities, and the realization of operating efficiencies and cost savings (including the timing and amount thereof);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2024 and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Company Overview</w:t>
      </w:r>
    </w:p>
    <w:p>
      <w:pPr>
        <w:spacing w:after="0" w:line="6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are an innovative, global provider of communications technologies and services, focused on making connectivity accessible, available and secure for current and future customers worldwide.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 — anchored in a broad portfolio of customer-centric products and services and supported by our fleet of broadband and narrowband satellites — 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w:t>
      </w:r>
    </w:p>
    <w:p>
      <w:pPr>
        <w:spacing w:after="0" w:line="31"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May 2024, certain organizational changes were made that impacted our internal reporting and reportable segments. Commencing with the first quarter of fiscal year 2025, we conduct our business through two reportable segments: communication services and defense and advanced technologies, which replaced our prior three reportable segments (see Note 11 — Segment Information to our condensed consolidated financial statements for additional information). This new segment reporting structure better reflects our strategy following the Inmarsat Acquisition, diverse global end markets, and certain organizational changes, that allow us to better assess the operational performance of and allocate resources to our multiple business lines. Viasat, Inc. (Viasat) was incorporated in California in 1986, and reincorporated as a Delaware corporation in 1996.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Inmarsat Acquisition</w:t>
      </w:r>
    </w:p>
    <w:p>
      <w:pPr>
        <w:spacing w:after="0" w:line="63"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On May 30, 2023, we completed the acquisition of Connect Topco Limited, a private company limited by shares and incorporated in Guernsey (Inmarsat Holdings and, together with its subsidiaries, Inmarsat, and such acquisition, the Inmarsat Acquisition). The assets and results of operations of Inmarsat are included in our communication services segment for the period following the closing of the Inmarsat Acquisition on May 30,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Services</w:t>
      </w:r>
    </w:p>
    <w:p>
      <w:pPr>
        <w:spacing w:after="0" w:line="6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Our communication services segment provides a wide range of broadband and narrowband communications solutions across government and commercial mobility markets, as well as for fixed and residential broadband customers. In addition, this segment includes the development and sale of a wide array of advanced satellite and wireless products and terminals that support or enable the provision of fixed and mobile broadband and narrowband services. We design, develop and produce space system solutions for multiple orbital regimes, including geostationary earth orbit (GEO), medium earth orbit (MEO) and low earth orbit (LEO).</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primary business lines in our communication services segment:</w:t>
      </w:r>
    </w:p>
    <w:p>
      <w:pPr>
        <w:spacing w:after="0" w:line="104" w:lineRule="exact"/>
        <w:rPr>
          <w:sz w:val="20"/>
          <w:szCs w:val="20"/>
          <w:color w:val="auto"/>
        </w:rPr>
      </w:pPr>
    </w:p>
    <w:p>
      <w:pPr>
        <w:ind w:left="1020" w:right="120" w:hanging="503"/>
        <w:spacing w:after="0" w:line="239"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Aviation, which includes industry-leading IFC services and wireless in-flight entertainment (W-IFE) services for commercial aircraft and business jets, narrowband safety services, and complementary aviation software services (such as cockpit, data safety and surveillance). As of December 31, 2024, we had our IFC systems installed and in service on approximately 4,030 commercial aircraft (of which approximately 80 were inactive at quarter end, mostly due to standard aircraft maintenance) and approximately 2,000 business jets with Ka-band communication services. We anticipate that approximately 1,570 additional commercial aircraft will be put into service with our IFC systems under existing customer agreements with commercial airlines. However, due to the nature of commercial airline contracts and other factors such as OEM delays, there can be no assurance that anticipated IFC services will be activated on all such additional commercial aircraft.</w:t>
      </w:r>
    </w:p>
    <w:p>
      <w:pPr>
        <w:spacing w:after="0" w:line="78"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Government satcom, which includes various broadband and narrowband products and services for both fixed and mobile communications that provide military and government users with secure, high-speed, real-time broadband and multimedia connectivity in key regions of the world, as well as tactical line-of-sight and beyond-line-of-sight communications, Intelligence Surveillance and Reconnaissance (ISR) services and L-band Advanced Communications Element (LACE) terminals.</w:t>
      </w:r>
    </w:p>
    <w:p>
      <w:pPr>
        <w:spacing w:after="0" w:line="50" w:lineRule="exact"/>
        <w:rPr>
          <w:rFonts w:ascii="Times New Roman" w:cs="Times New Roman" w:eastAsia="Times New Roman" w:hAnsi="Times New Roman"/>
          <w:sz w:val="17"/>
          <w:szCs w:val="17"/>
          <w:color w:val="auto"/>
        </w:rPr>
      </w:pPr>
    </w:p>
    <w:p>
      <w:pPr>
        <w:ind w:left="1020" w:right="60" w:hanging="503"/>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Maritime, which includes high-quality, resilient satellite-based broadband and narrowband communications services around the globe to commercial shipping fleets, offshore service vessel operators and commercial fishing companies, as well as NexusWave, a fully managed multi-layer connectivity service for merchant shipping companies. As of December 31, 2024, we provided Ka-band communication services to approximately 14,300 vessels.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4" w:right="399" w:bottom="1440" w:gutter="0" w:footer="0" w:header="0"/>
        </w:sectPr>
      </w:pPr>
    </w:p>
    <w:bookmarkStart w:id="43" w:name="page44"/>
    <w:bookmarkEnd w:id="43"/>
    <w:p>
      <w:pPr>
        <w:ind w:left="1020" w:right="8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Fixed services and other, which include high-speed, high-quality, reliable fixed broadband internet services to businesses and residential users (primarily in the United States as well as in various countries in Europe and Latin America), enterprise connectivity solutions, Internet-of-Things (IoT) and other narrowband services (such as L-band managed services that enable real-time machine-to-machine (M2M) position or high-value asset tracking), energy services, and prepaid internet services that provide innovative, affordable, satellite-based connectivity in communities that have little or no access to the internet. As of December 31, 2024, our U.S. fixed broadband business had approximately 205,000 subscribers with an average monthly revenue per user of $115.</w:t>
      </w:r>
    </w:p>
    <w:p>
      <w:pPr>
        <w:spacing w:after="0" w:line="35"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On December 18, 2024, we completed a divestiture of our energy services system integration business which was part of our communication services segment included in the fixed services and other business line. The energy services system integration business had minimal strategic synergies with our core growth businesses and was immaterial to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Defense and Advanced Technologies</w:t>
      </w:r>
    </w:p>
    <w:p>
      <w:pPr>
        <w:spacing w:after="0" w:line="63"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Our defense and advanced technologies segment provides a diverse array of resilient, vertically integrated solutions to government and commercial customers, leveraging our core technical competencies in encryption, cyber security, tactical gateways, modems and waveforms.</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primary business lines in our defense and advanced technologies segment:</w:t>
      </w:r>
    </w:p>
    <w:p>
      <w:pPr>
        <w:spacing w:after="0" w:line="104" w:lineRule="exact"/>
        <w:rPr>
          <w:sz w:val="20"/>
          <w:szCs w:val="20"/>
          <w:color w:val="auto"/>
        </w:rPr>
      </w:pPr>
    </w:p>
    <w:p>
      <w:pPr>
        <w:ind w:left="1020" w:right="160" w:hanging="503"/>
        <w:spacing w:after="0" w:line="243"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security and cyber defense, which comprise a variety of high-quality networking, cybersecurity and information assurance products and services that provide advanced, high-speed IP-based “Type 1” and High Assurance Internet Protocol Encryption (HAIPE®)-compliant encryption solutions that enable military and government users to communicate information securely, and that protect the integrity of data stored on computers and storage devices and include our MOJO expeditionary tactical gateway family of products.</w:t>
      </w:r>
    </w:p>
    <w:p>
      <w:pPr>
        <w:spacing w:after="0" w:line="71" w:lineRule="exact"/>
        <w:rPr>
          <w:rFonts w:ascii="Times New Roman" w:cs="Times New Roman" w:eastAsia="Times New Roman" w:hAnsi="Times New Roman"/>
          <w:sz w:val="18"/>
          <w:szCs w:val="18"/>
          <w:color w:val="auto"/>
        </w:rPr>
      </w:pPr>
    </w:p>
    <w:p>
      <w:pPr>
        <w:ind w:left="1020" w:right="80" w:hanging="503"/>
        <w:spacing w:after="0" w:line="239"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Space and mission systems, which includes specialized design and technology services covering all aspects of satellite communication system architecture, networks and technology, including state-of-the-art government satellite communication systems, mobile and fixed broadband modems, ground and airborne terminals, antennas and gateways for terrestrial and satellite customer applications, Ka-band earth stations and other multi-band/multi-function antennas, as well as products designed for manpacks, aircraft, unmanned aerial vehicles, seagoing vessels, ground-mobile vehicles, space-based systems and fixed applications. Space and mission systems also includes the design and development of the architecture of high-capacity Ka-band GEO satellites and the associated satellite payload and antenna technologies (both for our own satellite fleet as well as for third parties), and special purpose LEO and MEO satellites and other small satellite platforms.</w:t>
      </w:r>
    </w:p>
    <w:p>
      <w:pPr>
        <w:spacing w:after="0" w:line="7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Tactical networking, including the provision of resilient communications designed for on-the-move or on-the-pause operations in a multi-domain battlespace with friendly force tracking and narrowband solutions. Tactical networking includes the products and services offered by TrellisWare.</w:t>
      </w:r>
    </w:p>
    <w:p>
      <w:pPr>
        <w:spacing w:after="0" w:line="62" w:lineRule="exact"/>
        <w:rPr>
          <w:rFonts w:ascii="Times New Roman" w:cs="Times New Roman" w:eastAsia="Times New Roman" w:hAnsi="Times New Roman"/>
          <w:sz w:val="18"/>
          <w:szCs w:val="18"/>
          <w:color w:val="auto"/>
        </w:rPr>
      </w:pPr>
    </w:p>
    <w:p>
      <w:pPr>
        <w:jc w:val="both"/>
        <w:ind w:left="1020" w:right="24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Advanced technologies and other, which includes commercial communication satellite product development, orchestration of sovereign and multi-orbit solutions, products focused on emerging growth markets (such as direct-to-device) and intellectual property licensing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77"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For a summary of factors and trends affecting our results of operations, see Part II, Item 7, "Factors and Trends Affecting our Results of Operations" in our Annual Report on Form 10-K for the year ended March 31, 2024.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77"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Our communication services segment revenues are primarily derived from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spacing w:after="0" w:line="25"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Our defense and advanced technologies segment revenues are primarily derived from our information security and cyber defense, space and mission systems, tactical networking, and advanced technologies and other, products and services, which are provided to government and commercial customers.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66" w:right="419" w:bottom="1440" w:gutter="0" w:footer="0" w:header="0"/>
        </w:sectPr>
      </w:pPr>
    </w:p>
    <w:bookmarkStart w:id="44" w:name="page45"/>
    <w:bookmarkEnd w:id="44"/>
    <w:p>
      <w:pPr>
        <w:ind w:right="20" w:firstLine="509"/>
        <w:spacing w:after="0"/>
        <w:rPr>
          <w:sz w:val="20"/>
          <w:szCs w:val="20"/>
          <w:color w:val="auto"/>
        </w:rPr>
      </w:pPr>
      <w:r>
        <w:rPr>
          <w:rFonts w:ascii="Arial" w:cs="Arial" w:eastAsia="Arial" w:hAnsi="Arial"/>
          <w:sz w:val="18"/>
          <w:szCs w:val="18"/>
          <w:color w:val="auto"/>
        </w:rPr>
        <w:t>Our revenues are primarily derived from two types of contracts: fixed-price and cost-reimbursement contracts. Fixed-price contracts (which require us to provide products and services under a contract at a specified price), comprised approximately 96% of our total revenues for both the three and nine months ended December 31, 2024, and approximately 96% and 95% of our total revenues for the three and nine months ended December 31, 2023, respectively, a majority of which are reported in our communication services segment. The remainder of our revenues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which contracts are mainly reported within our defense and advanced technologies segment.</w:t>
      </w:r>
    </w:p>
    <w:p>
      <w:pPr>
        <w:spacing w:after="0" w:line="50"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development of products, mainly reported within the defense and advanced technologies segment.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Basis of Presentation to our condensed consolidated financial statements for additional information.</w:t>
      </w:r>
    </w:p>
    <w:p>
      <w:pPr>
        <w:spacing w:after="0" w:line="28"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To date, our ability to grow and maintain our revenues in each of communication services and defense and advanced technologies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6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our revenues, such as sales taxes and value added taxes, are excluded from net sales.</w:t>
      </w:r>
    </w:p>
    <w:p>
      <w:pPr>
        <w:spacing w:after="0" w:line="126"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customers as part of the delivery of connectivity services represents a lease in accordance with the authoritative guidance for leases (Accounting Standards Codification (ASC) 842). As discussed in Note 1 — Basis of Presentation – Leases to our condensed consolidated financial statements, for broadband equipment leased to customers in conjunction with the delivery of connectivity services, we account for the lease and non-lease components of connectivity service arrangements as a single performance obligation as the connectivity services represent the predominant component.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5" w:right="379" w:bottom="1440" w:gutter="0" w:footer="0" w:header="0"/>
        </w:sectPr>
      </w:pPr>
    </w:p>
    <w:bookmarkStart w:id="45" w:name="page46"/>
    <w:bookmarkEnd w:id="45"/>
    <w:p>
      <w:pPr>
        <w:ind w:firstLine="509"/>
        <w:spacing w:after="0"/>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3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3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December 31, 2024 would change our income (loss) before income taxes by an insignificant amount.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46" w:name="page47"/>
    <w:bookmarkEnd w:id="46"/>
    <w:p>
      <w:pPr>
        <w:ind w:firstLine="509"/>
        <w:spacing w:after="0" w:line="237"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34"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61" w:lineRule="exact"/>
        <w:rPr>
          <w:sz w:val="20"/>
          <w:szCs w:val="20"/>
          <w:color w:val="auto"/>
        </w:rPr>
      </w:pPr>
    </w:p>
    <w:p>
      <w:pPr>
        <w:ind w:right="60" w:firstLine="509"/>
        <w:spacing w:after="0" w:line="301" w:lineRule="auto"/>
        <w:rPr>
          <w:sz w:val="20"/>
          <w:szCs w:val="20"/>
          <w:color w:val="auto"/>
        </w:rPr>
      </w:pPr>
      <w:r>
        <w:rPr>
          <w:rFonts w:ascii="Arial" w:cs="Arial" w:eastAsia="Arial" w:hAnsi="Arial"/>
          <w:sz w:val="17"/>
          <w:szCs w:val="17"/>
          <w:color w:val="auto"/>
        </w:rPr>
        <w:t>Property, equipment and satellites, net includes our owned and leased satellites and the associated earth stations and networking equipment, as well as the customer premise equipment units which are leased to customers as part of our communication services segment.</w:t>
      </w:r>
    </w:p>
    <w:p>
      <w:pPr>
        <w:spacing w:after="0" w:line="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6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accordance with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right="40" w:firstLine="509"/>
        <w:spacing w:after="0"/>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spacing w:after="0" w:line="9"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20"/>
        <w:spacing w:after="0" w:line="242" w:lineRule="auto"/>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25" w:lineRule="exact"/>
        <w:rPr>
          <w:sz w:val="20"/>
          <w:szCs w:val="20"/>
          <w:color w:val="auto"/>
        </w:rPr>
      </w:pPr>
    </w:p>
    <w:p>
      <w:pPr>
        <w:jc w:val="both"/>
        <w:ind w:right="120" w:firstLine="509"/>
        <w:spacing w:after="0" w:line="247"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20"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purchase price for business combinations is allocated to the estimated fair values of acquired tangible and intangible assets, and assumed liabilities, where applicable. Additionally, we recognize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6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Except for the impairment related to certain of our satellites under construction and satellite programs (discussed in Note 1 — Basis of Presentation – Property, equipment and satellites above), no material impairments were recorded for the three and nine months ended December 31, 2024 and 2023.</w:t>
      </w:r>
    </w:p>
    <w:p>
      <w:pPr>
        <w:spacing w:after="0" w:line="12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8" w:name="page49"/>
    <w:bookmarkEnd w:id="48"/>
    <w:p>
      <w:pPr>
        <w:ind w:right="20" w:firstLine="509"/>
        <w:spacing w:after="0" w:line="242"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2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Based on our qualitative assessment performed during the fourth quarter of fiscal year 2024, we concluded that it was more likely than not that the estimated fair value of each of our reporting units exceeded their related carrying value as of March 31, 2024.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spacing w:after="0" w:line="3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the reversal of temporary differences, taxable income in prior carryback years (if permitted), and the availability of tax planning strategies. Additionally, in our analysis, we also considered the fact that ASC 740 places more weight on the objectively verifiable evidence of current pre-tax losses and recent events than forecasts of future profitability.</w:t>
      </w:r>
    </w:p>
    <w:p>
      <w:pPr>
        <w:spacing w:after="0" w:line="39"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Accruals for uncertain tax positions are provided for in accordance with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30"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Results of Operations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40" w:type="dxa"/>
            <w:vAlign w:val="bottom"/>
            <w:gridSpan w:val="8"/>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20" w:type="dxa"/>
            <w:vAlign w:val="bottom"/>
            <w:tcBorders>
              <w:top w:val="single" w:sz="8" w:color="auto"/>
            </w:tcBorders>
            <w:gridSpan w:val="4"/>
          </w:tcPr>
          <w:p>
            <w:pPr>
              <w:jc w:val="center"/>
              <w:ind w:right="140"/>
              <w:spacing w:after="0" w:line="147" w:lineRule="exact"/>
              <w:rPr>
                <w:sz w:val="20"/>
                <w:szCs w:val="20"/>
                <w:color w:val="auto"/>
              </w:rPr>
            </w:pPr>
            <w:r>
              <w:rPr>
                <w:rFonts w:ascii="Arial" w:cs="Arial" w:eastAsia="Arial" w:hAnsi="Arial"/>
                <w:sz w:val="14"/>
                <w:szCs w:val="14"/>
                <w:b w:val="1"/>
                <w:bCs w:val="1"/>
                <w:color w:val="auto"/>
              </w:rPr>
              <w:t>December 31,</w:t>
            </w: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131"/>
              <w:spacing w:after="0" w:line="147"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5"/>
          </w:tcPr>
          <w:p>
            <w:pPr>
              <w:jc w:val="right"/>
              <w:ind w:right="420"/>
              <w:spacing w:after="0" w:line="147" w:lineRule="exact"/>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220"/>
              <w:spacing w:after="0" w:line="147"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r>
      <w:tr>
        <w:trPr>
          <w:trHeight w:val="171"/>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96"/>
        </w:trPr>
        <w:tc>
          <w:tcPr>
            <w:tcW w:w="180" w:type="dxa"/>
            <w:vAlign w:val="bottom"/>
          </w:tcPr>
          <w:p>
            <w:pPr>
              <w:spacing w:after="0"/>
              <w:rPr>
                <w:sz w:val="17"/>
                <w:szCs w:val="17"/>
                <w:color w:val="auto"/>
              </w:rPr>
            </w:pPr>
          </w:p>
        </w:tc>
        <w:tc>
          <w:tcPr>
            <w:tcW w:w="43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1720" w:type="dxa"/>
            <w:vAlign w:val="bottom"/>
            <w:gridSpan w:val="5"/>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100 %</w:t>
            </w: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w w:val="97"/>
              </w:rPr>
              <w:t>100 %</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100 %</w:t>
            </w:r>
          </w:p>
        </w:tc>
        <w:tc>
          <w:tcPr>
            <w:tcW w:w="1620" w:type="dxa"/>
            <w:vAlign w:val="bottom"/>
            <w:gridSpan w:val="5"/>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100 %</w:t>
            </w:r>
          </w:p>
        </w:tc>
      </w:tr>
      <w:tr>
        <w:trPr>
          <w:trHeight w:val="203"/>
        </w:trPr>
        <w:tc>
          <w:tcPr>
            <w:tcW w:w="180" w:type="dxa"/>
            <w:vAlign w:val="bottom"/>
          </w:tcPr>
          <w:p>
            <w:pPr>
              <w:spacing w:after="0"/>
              <w:rPr>
                <w:sz w:val="17"/>
                <w:szCs w:val="17"/>
                <w:color w:val="auto"/>
              </w:rPr>
            </w:pPr>
          </w:p>
        </w:tc>
        <w:tc>
          <w:tcPr>
            <w:tcW w:w="43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Service revenues</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4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Product revenues</w:t>
            </w:r>
          </w:p>
        </w:tc>
        <w:tc>
          <w:tcPr>
            <w:tcW w:w="14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20" w:type="dxa"/>
            <w:vAlign w:val="bottom"/>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4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Cost of service revenues</w:t>
            </w:r>
          </w:p>
        </w:tc>
        <w:tc>
          <w:tcPr>
            <w:tcW w:w="14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20" w:type="dxa"/>
            <w:vAlign w:val="bottom"/>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Cost of product revenues</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4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Selling, general and administrative</w:t>
            </w:r>
          </w:p>
        </w:tc>
        <w:tc>
          <w:tcPr>
            <w:tcW w:w="14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20" w:type="dxa"/>
            <w:vAlign w:val="bottom"/>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Independent research and development</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40" w:type="dxa"/>
            <w:vAlign w:val="bottom"/>
            <w:tcBorders>
              <w:bottom w:val="single" w:sz="8" w:color="CFF0FC"/>
            </w:tcBorders>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Amortization of acquired intangible assets</w:t>
            </w:r>
          </w:p>
        </w:tc>
        <w:tc>
          <w:tcPr>
            <w:tcW w:w="142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3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shd w:val="clear" w:color="auto" w:fill="CFF0FC"/>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43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Income (loss) from operations</w:t>
            </w:r>
          </w:p>
        </w:tc>
        <w:tc>
          <w:tcPr>
            <w:tcW w:w="1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5"/>
          </w:tcPr>
          <w:p>
            <w:pPr>
              <w:jc w:val="right"/>
              <w:ind w:right="120"/>
              <w:spacing w:after="0" w:line="196" w:lineRule="exact"/>
              <w:rPr>
                <w:sz w:val="20"/>
                <w:szCs w:val="20"/>
                <w:color w:val="auto"/>
              </w:rPr>
            </w:pPr>
            <w:r>
              <w:rPr>
                <w:rFonts w:ascii="Arial" w:cs="Arial" w:eastAsia="Arial" w:hAnsi="Arial"/>
                <w:sz w:val="18"/>
                <w:szCs w:val="18"/>
                <w:color w:val="auto"/>
              </w:rPr>
              <w:t>(28 )</w:t>
            </w:r>
          </w:p>
        </w:tc>
      </w:tr>
      <w:tr>
        <w:trPr>
          <w:trHeight w:val="203"/>
        </w:trPr>
        <w:tc>
          <w:tcPr>
            <w:tcW w:w="180" w:type="dxa"/>
            <w:vAlign w:val="bottom"/>
          </w:tcPr>
          <w:p>
            <w:pPr>
              <w:spacing w:after="0"/>
              <w:rPr>
                <w:sz w:val="17"/>
                <w:szCs w:val="17"/>
                <w:color w:val="auto"/>
              </w:rPr>
            </w:pPr>
          </w:p>
        </w:tc>
        <w:tc>
          <w:tcPr>
            <w:tcW w:w="434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Interest (expense) income, net</w:t>
            </w:r>
          </w:p>
        </w:tc>
        <w:tc>
          <w:tcPr>
            <w:tcW w:w="1520" w:type="dxa"/>
            <w:vAlign w:val="bottom"/>
            <w:gridSpan w:val="4"/>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(7 )</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(10 )</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(7 )</w:t>
            </w:r>
          </w:p>
        </w:tc>
        <w:tc>
          <w:tcPr>
            <w:tcW w:w="80" w:type="dxa"/>
            <w:vAlign w:val="bottom"/>
            <w:shd w:val="clear" w:color="auto" w:fill="CFF0FC"/>
          </w:tcPr>
          <w:p>
            <w:pPr>
              <w:spacing w:after="0"/>
              <w:rPr>
                <w:sz w:val="17"/>
                <w:szCs w:val="17"/>
                <w:color w:val="auto"/>
              </w:rPr>
            </w:pPr>
          </w:p>
        </w:tc>
        <w:tc>
          <w:tcPr>
            <w:tcW w:w="1620" w:type="dxa"/>
            <w:vAlign w:val="bottom"/>
            <w:gridSpan w:val="5"/>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(6 )</w:t>
            </w:r>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9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3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15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(14 )</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(9 )</w:t>
            </w:r>
          </w:p>
        </w:tc>
        <w:tc>
          <w:tcPr>
            <w:tcW w:w="80" w:type="dxa"/>
            <w:vAlign w:val="bottom"/>
          </w:tcPr>
          <w:p>
            <w:pPr>
              <w:spacing w:after="0"/>
              <w:rPr>
                <w:sz w:val="17"/>
                <w:szCs w:val="17"/>
                <w:color w:val="auto"/>
              </w:rPr>
            </w:pPr>
          </w:p>
        </w:tc>
        <w:tc>
          <w:tcPr>
            <w:tcW w:w="1620" w:type="dxa"/>
            <w:vAlign w:val="bottom"/>
            <w:gridSpan w:val="5"/>
          </w:tcPr>
          <w:p>
            <w:pPr>
              <w:jc w:val="right"/>
              <w:ind w:right="120"/>
              <w:spacing w:after="0" w:line="196" w:lineRule="exact"/>
              <w:rPr>
                <w:sz w:val="20"/>
                <w:szCs w:val="20"/>
                <w:color w:val="auto"/>
              </w:rPr>
            </w:pPr>
            <w:r>
              <w:rPr>
                <w:rFonts w:ascii="Arial" w:cs="Arial" w:eastAsia="Arial" w:hAnsi="Arial"/>
                <w:sz w:val="18"/>
                <w:szCs w:val="18"/>
                <w:color w:val="auto"/>
              </w:rPr>
              <w:t>(35 )</w:t>
            </w:r>
          </w:p>
        </w:tc>
      </w:tr>
      <w:tr>
        <w:trPr>
          <w:trHeight w:val="203"/>
        </w:trPr>
        <w:tc>
          <w:tcPr>
            <w:tcW w:w="180" w:type="dxa"/>
            <w:vAlign w:val="bottom"/>
          </w:tcPr>
          <w:p>
            <w:pPr>
              <w:spacing w:after="0"/>
              <w:rPr>
                <w:sz w:val="17"/>
                <w:szCs w:val="17"/>
                <w:color w:val="auto"/>
              </w:rPr>
            </w:pPr>
          </w:p>
        </w:tc>
        <w:tc>
          <w:tcPr>
            <w:tcW w:w="43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benefit from income taxes</w:t>
            </w:r>
          </w:p>
        </w:tc>
        <w:tc>
          <w:tcPr>
            <w:tcW w:w="14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5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(13 )</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(9 )</w:t>
            </w:r>
          </w:p>
        </w:tc>
        <w:tc>
          <w:tcPr>
            <w:tcW w:w="80" w:type="dxa"/>
            <w:vAlign w:val="bottom"/>
          </w:tcPr>
          <w:p>
            <w:pPr>
              <w:spacing w:after="0"/>
              <w:rPr>
                <w:sz w:val="17"/>
                <w:szCs w:val="17"/>
                <w:color w:val="auto"/>
              </w:rPr>
            </w:pPr>
          </w:p>
        </w:tc>
        <w:tc>
          <w:tcPr>
            <w:tcW w:w="1620" w:type="dxa"/>
            <w:vAlign w:val="bottom"/>
            <w:gridSpan w:val="5"/>
          </w:tcPr>
          <w:p>
            <w:pPr>
              <w:jc w:val="right"/>
              <w:ind w:right="120"/>
              <w:spacing w:after="0" w:line="202" w:lineRule="exact"/>
              <w:rPr>
                <w:sz w:val="20"/>
                <w:szCs w:val="20"/>
                <w:color w:val="auto"/>
              </w:rPr>
            </w:pPr>
            <w:r>
              <w:rPr>
                <w:rFonts w:ascii="Arial" w:cs="Arial" w:eastAsia="Arial" w:hAnsi="Arial"/>
                <w:sz w:val="18"/>
                <w:szCs w:val="18"/>
                <w:color w:val="auto"/>
              </w:rPr>
              <w:t>(31 )</w:t>
            </w:r>
          </w:p>
        </w:tc>
      </w:tr>
      <w:tr>
        <w:trPr>
          <w:trHeight w:val="203"/>
        </w:trPr>
        <w:tc>
          <w:tcPr>
            <w:tcW w:w="180" w:type="dxa"/>
            <w:vAlign w:val="bottom"/>
          </w:tcPr>
          <w:p>
            <w:pPr>
              <w:spacing w:after="0"/>
              <w:rPr>
                <w:sz w:val="17"/>
                <w:szCs w:val="17"/>
                <w:color w:val="auto"/>
              </w:rPr>
            </w:pPr>
          </w:p>
        </w:tc>
        <w:tc>
          <w:tcPr>
            <w:tcW w:w="43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 attributable to Viasat, Inc.</w:t>
            </w:r>
          </w:p>
        </w:tc>
        <w:tc>
          <w:tcPr>
            <w:tcW w:w="1520" w:type="dxa"/>
            <w:vAlign w:val="bottom"/>
            <w:gridSpan w:val="4"/>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(14 )</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(11 )</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(10 )</w:t>
            </w:r>
          </w:p>
        </w:tc>
        <w:tc>
          <w:tcPr>
            <w:tcW w:w="80" w:type="dxa"/>
            <w:vAlign w:val="bottom"/>
            <w:shd w:val="clear" w:color="auto" w:fill="CFF0FC"/>
          </w:tcPr>
          <w:p>
            <w:pPr>
              <w:spacing w:after="0"/>
              <w:rPr>
                <w:sz w:val="17"/>
                <w:szCs w:val="17"/>
                <w:color w:val="auto"/>
              </w:rPr>
            </w:pPr>
          </w:p>
        </w:tc>
        <w:tc>
          <w:tcPr>
            <w:tcW w:w="1620" w:type="dxa"/>
            <w:vAlign w:val="bottom"/>
            <w:gridSpan w:val="5"/>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(31 )</w:t>
            </w:r>
          </w:p>
        </w:tc>
      </w:tr>
      <w:tr>
        <w:trPr>
          <w:trHeight w:val="498"/>
        </w:trPr>
        <w:tc>
          <w:tcPr>
            <w:tcW w:w="7260" w:type="dxa"/>
            <w:vAlign w:val="bottom"/>
            <w:gridSpan w:val="11"/>
          </w:tcPr>
          <w:p>
            <w:pPr>
              <w:spacing w:after="0"/>
              <w:rPr>
                <w:sz w:val="20"/>
                <w:szCs w:val="20"/>
                <w:color w:val="auto"/>
              </w:rPr>
            </w:pPr>
            <w:r>
              <w:rPr>
                <w:rFonts w:ascii="Arial" w:cs="Arial" w:eastAsia="Arial" w:hAnsi="Arial"/>
                <w:sz w:val="18"/>
                <w:szCs w:val="18"/>
                <w:b w:val="1"/>
                <w:bCs w:val="1"/>
                <w:color w:val="auto"/>
                <w:w w:val="99"/>
              </w:rPr>
              <w:t>Three Months Ended December 31, 2024 vs. Three Months Ended December 31, 2023</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6"/>
        </w:trPr>
        <w:tc>
          <w:tcPr>
            <w:tcW w:w="452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333"/>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Dollar</w:t>
            </w:r>
          </w:p>
        </w:tc>
        <w:tc>
          <w:tcPr>
            <w:tcW w:w="162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right"/>
              <w:ind w:right="48"/>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40" w:type="dxa"/>
            <w:vAlign w:val="bottom"/>
            <w:gridSpan w:val="4"/>
          </w:tcPr>
          <w:p>
            <w:pPr>
              <w:jc w:val="right"/>
              <w:ind w:right="120"/>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c>
          <w:tcPr>
            <w:tcW w:w="1540" w:type="dxa"/>
            <w:vAlign w:val="bottom"/>
            <w:gridSpan w:val="4"/>
          </w:tcPr>
          <w:p>
            <w:pPr>
              <w:jc w:val="center"/>
              <w:ind w:right="84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1"/>
              <w:spacing w:after="0"/>
              <w:rPr>
                <w:sz w:val="20"/>
                <w:szCs w:val="20"/>
                <w:color w:val="auto"/>
              </w:rPr>
            </w:pPr>
            <w:r>
              <w:rPr>
                <w:rFonts w:ascii="Arial" w:cs="Arial" w:eastAsia="Arial" w:hAnsi="Arial"/>
                <w:sz w:val="14"/>
                <w:szCs w:val="14"/>
                <w:b w:val="1"/>
                <w:bCs w:val="1"/>
                <w:color w:val="auto"/>
              </w:rPr>
              <w:t>(Decrease)</w:t>
            </w:r>
          </w:p>
        </w:tc>
        <w:tc>
          <w:tcPr>
            <w:tcW w:w="660" w:type="dxa"/>
            <w:vAlign w:val="bottom"/>
            <w:gridSpan w:val="3"/>
          </w:tcPr>
          <w:p>
            <w:pPr>
              <w:spacing w:after="0"/>
              <w:rPr>
                <w:sz w:val="14"/>
                <w:szCs w:val="14"/>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Service revenues</w:t>
            </w:r>
          </w:p>
        </w:tc>
        <w:tc>
          <w:tcPr>
            <w:tcW w:w="1420" w:type="dxa"/>
            <w:vAlign w:val="bottom"/>
            <w:gridSpan w:val="3"/>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809.4</w:t>
            </w:r>
          </w:p>
        </w:tc>
        <w:tc>
          <w:tcPr>
            <w:tcW w:w="560" w:type="dxa"/>
            <w:vAlign w:val="bottom"/>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3"/>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825.5</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(16.1 )</w:t>
            </w:r>
          </w:p>
        </w:tc>
        <w:tc>
          <w:tcPr>
            <w:tcW w:w="8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(2 )%</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Product revenues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314.4</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40"/>
              <w:spacing w:after="0" w:line="202" w:lineRule="exact"/>
              <w:rPr>
                <w:sz w:val="20"/>
                <w:szCs w:val="20"/>
                <w:color w:val="auto"/>
              </w:rPr>
            </w:pPr>
            <w:r>
              <w:rPr>
                <w:rFonts w:ascii="Arial" w:cs="Arial" w:eastAsia="Arial" w:hAnsi="Arial"/>
                <w:sz w:val="18"/>
                <w:szCs w:val="18"/>
                <w:color w:val="auto"/>
              </w:rPr>
              <w:t>303.1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4 %</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1420" w:type="dxa"/>
            <w:vAlign w:val="bottom"/>
            <w:gridSpan w:val="3"/>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1,123.8</w:t>
            </w:r>
          </w:p>
        </w:tc>
        <w:tc>
          <w:tcPr>
            <w:tcW w:w="560" w:type="dxa"/>
            <w:vAlign w:val="bottom"/>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3"/>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1,128.5</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(4.8 )</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 %</w:t>
            </w:r>
          </w:p>
        </w:tc>
        <w:tc>
          <w:tcPr>
            <w:tcW w:w="40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-2108200</wp:posOffset>
            </wp:positionV>
            <wp:extent cx="1200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-2108200</wp:posOffset>
            </wp:positionV>
            <wp:extent cx="1200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-2108200</wp:posOffset>
            </wp:positionV>
            <wp:extent cx="120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-2108200</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-1842135</wp:posOffset>
            </wp:positionV>
            <wp:extent cx="1200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-1842135</wp:posOffset>
            </wp:positionV>
            <wp:extent cx="1200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-1842135</wp:posOffset>
            </wp:positionV>
            <wp:extent cx="1200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-1842135</wp:posOffset>
            </wp:positionV>
            <wp:extent cx="120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0"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Our total revenues decreased by $4.8 million as a result of a $16.1 million decrease in service revenues, partially offset by a $11.3 million increase in product revenues. The decrease in service revenues was driven by decreases of $ 13.4 million in our communication services segment and $2.7 million in our defense and advanced technologies segment. The increase in product revenues was driven by a $52.5 million increase in our defense and advanced technologies segment, partially offset by a $41.1 million decrease in our communication services segment.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7"/>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40" w:type="dxa"/>
            <w:vAlign w:val="bottom"/>
            <w:gridSpan w:val="2"/>
          </w:tcPr>
          <w:p>
            <w:pPr>
              <w:jc w:val="right"/>
              <w:ind w:right="35"/>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Increase</w:t>
            </w: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r>
      <w:tr>
        <w:trPr>
          <w:trHeight w:val="196"/>
        </w:trPr>
        <w:tc>
          <w:tcPr>
            <w:tcW w:w="49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Cost of service revenues</w:t>
            </w:r>
          </w:p>
        </w:tc>
        <w:tc>
          <w:tcPr>
            <w:tcW w:w="26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527.7</w:t>
            </w:r>
          </w:p>
        </w:tc>
        <w:tc>
          <w:tcPr>
            <w:tcW w:w="440" w:type="dxa"/>
            <w:vAlign w:val="bottom"/>
            <w:gridSpan w:val="2"/>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514.8</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3 %</w:t>
            </w: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Cost of product revenues</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234.2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(18.3 )</w:t>
            </w: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(7 )%</w:t>
            </w: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49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cost of revenues</w:t>
            </w:r>
          </w:p>
        </w:tc>
        <w:tc>
          <w:tcPr>
            <w:tcW w:w="26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761.9</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767.3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(5.3 )</w:t>
            </w:r>
          </w:p>
        </w:tc>
        <w:tc>
          <w:tcPr>
            <w:tcW w:w="1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(1 )%</w:t>
            </w:r>
          </w:p>
        </w:tc>
      </w:tr>
    </w:tbl>
    <w:p>
      <w:pPr>
        <w:spacing w:after="0" w:line="17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Cost of revenues decreased by $5.3 million due to a decrease of $18.3 million in cost of product revenues, partially offset by an increase of $13.0 million in cost of service revenues. The decrease in cost of product revenues was primarily driven by higher margins primarily in our defense and advanced technologies segment due to a higher mix of our product revenues associated with our royalty and licensing agreements versus hardware and other product related revenues. The increase in cost of service revenues was primarily attributable to lower margins, partially offset by a decrease in cost of service revenues of $10.0 million on a constant margin basis as a result of lower service revenues, both of which were mainly in our communication services segment.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4"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Increase</w:t>
            </w: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r>
      <w:tr>
        <w:trPr>
          <w:trHeight w:val="196"/>
        </w:trPr>
        <w:tc>
          <w:tcPr>
            <w:tcW w:w="49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238.0</w:t>
            </w:r>
          </w:p>
        </w:tc>
        <w:tc>
          <w:tcPr>
            <w:tcW w:w="44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271.7</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(33.7 )</w:t>
            </w:r>
          </w:p>
        </w:tc>
        <w:tc>
          <w:tcPr>
            <w:tcW w:w="1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(12 )%</w:t>
            </w:r>
          </w:p>
        </w:tc>
      </w:tr>
    </w:tbl>
    <w:p>
      <w:pPr>
        <w:spacing w:after="0" w:line="170"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$33.7 million decrease in selling, general and administrative (SG&amp;A) expenses was primarily due to lower support costs of $17.5 million and lower selling costs of $8.9 million, both of which were mainly in our communication services segment. The decrease in support costs reflects a reduction in our global workforce in November 2023 and related one-time costs included in the prior year period as we continue to integrate our business post-Inmarsat Acquisition and streamline our global operations. SG&amp;A expenses are comprised primarily of personnel costs and expenses for business development, marketing and sales, bid and proposal, acquisition and transaction related expenses, facilities, finance, contract administration and general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Increase</w:t>
            </w: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r>
      <w:tr>
        <w:trPr>
          <w:trHeight w:val="196"/>
        </w:trPr>
        <w:tc>
          <w:tcPr>
            <w:tcW w:w="49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Independent research and development</w:t>
            </w:r>
          </w:p>
        </w:tc>
        <w:tc>
          <w:tcPr>
            <w:tcW w:w="26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36.7</w:t>
            </w:r>
          </w:p>
        </w:tc>
        <w:tc>
          <w:tcPr>
            <w:tcW w:w="920" w:type="dxa"/>
            <w:vAlign w:val="bottom"/>
            <w:gridSpan w:val="2"/>
            <w:shd w:val="clear" w:color="auto" w:fill="CFF0FC"/>
          </w:tcPr>
          <w:p>
            <w:pPr>
              <w:jc w:val="right"/>
              <w:ind w:right="548"/>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41.7</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(5.0 )</w:t>
            </w:r>
          </w:p>
        </w:tc>
        <w:tc>
          <w:tcPr>
            <w:tcW w:w="1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(12 )%</w:t>
            </w:r>
          </w:p>
        </w:tc>
      </w:tr>
    </w:tbl>
    <w:p>
      <w:pPr>
        <w:spacing w:after="0" w:line="170"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$5.0 million decrease in independent research and development (IR&amp;D) expenses was due to a $7.3 million decrease in our communication services segment (primarily related to narrowband and safety of communication capabilities), partially offset by a $2.3 million increase in our defense and advanced technologies segment (primarily related to advanced technologies and other).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6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 The $25.9 million decrease in amortization of acquired intangible assets in the third quarter of fiscal year 2025 compared to the prior year period was primarily related to the final valuation of certain acquired intangible assets completed in the first quarter of fiscal year 2025, within one year of the closing of the Inmarsat Acquisition as additional information was obtained.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61"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$3.2 million decrease in interest income for the three months ended December 31, 2024 compared to the prior year period was primarily due to lower interest earned as a result of a lower average invested balance in combination with lower interest rates.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6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$39.1 million decrease in interest expense for the three months ended December 31, 2024 compared to the prior year period was primarily attributable to an increase in the amount of interest capitalized in the current year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61"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For the three months ended December 31, 2024, we recorded an income tax benefit of $11.8 million, resulting in an effective tax rate of 7%. The effective tax rate for the period differed from the U.S. statutory rate primarily due to a U.S. valuation allowance, foreign tax rate differences, and decreases in our unrecognized tax benefits. For the three months ended December 31, 2023, we recorded an income tax benefit of $34.5 million, resulting in an effective tax rate of 22%. The effective tax rate for the period did not differ significantly from the U.S. statutory rate despite a valuation allowance recorded against our U.S. net deferred tax assets primarily due to the impacts of purchase price allocation adjustments with respect to the Inmarsat Acquisition recorded in the quarter.</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6"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Segment Results for the Three Months Ended December 31, 2024 vs. Three Months Ended December 31,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 services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2"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ind w:right="239"/>
              <w:spacing w:after="0" w:line="147"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217"/>
              <w:spacing w:after="0" w:line="147"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Increase</w:t>
            </w:r>
          </w:p>
        </w:tc>
        <w:tc>
          <w:tcPr>
            <w:tcW w:w="14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r>
      <w:tr>
        <w:trPr>
          <w:trHeight w:val="196"/>
        </w:trPr>
        <w:tc>
          <w:tcPr>
            <w:tcW w:w="40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Segment service revenues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759.0</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772.4</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(13.4 )</w:t>
            </w: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(2 )%</w:t>
            </w: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Segment product revenues</w:t>
            </w: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(41.1 )</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(40 )%</w:t>
            </w: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40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820.3</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874.9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(54.5 )</w:t>
            </w: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(6 )%</w:t>
            </w:r>
          </w:p>
        </w:tc>
      </w:tr>
    </w:tbl>
    <w:p>
      <w:pPr>
        <w:spacing w:after="0" w:line="17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communication services segment revenues decreased by $54.5 million due to a $ 41.1 million decrease in product revenues and a $13.4 million decrease in service revenues. The decrease in segment product revenues was primarily due to decreases of $27.4 million in aviation products due to accelerated IFC terminal deliveries in the prior year period, $11.4 million in government satcom products and $3.1 million in fixed services and other products, mainly driven by enterprise and energy. The decrease in segment service revenues was primarily due to a $48.8 million decrease in fixed services and other (primarily related to fixed broadband services) and a $11.2 million decrease in maritime services. The decrease in segment service revenues was partially offset by a $27.9 million increase in aviation services and a $18.7 million increase in government satcom services. The IFC service revenue increase was driven primarily by the increase in the number of commercial aircraft and business jets receiving our in -flight services through our IFC systems, with our IFC systems installed and in service on approximately 4,030 commercial aircraft (of which approximately 80 were inactive at quarter end, mostly due to standard aircraft maintenance) and approximately 2,000 business jets as of December 31, 2024, compared to approximately 3,540 commercial aircraft (of which approximately 40 were inactive at quarter end, mostly due to standard aircraft maintenance) and approximately 1,700 business jets as of December 31, 2023. We continue to allocate a greater proportion of our bandwidth to our IFC business in preference to our U.S. fixed services business due to bandwidth constraints.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192"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8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680"/>
              <w:spacing w:after="0" w:line="147" w:lineRule="exact"/>
              <w:rPr>
                <w:sz w:val="20"/>
                <w:szCs w:val="20"/>
                <w:color w:val="auto"/>
              </w:rPr>
            </w:pPr>
            <w:r>
              <w:rPr>
                <w:rFonts w:ascii="Arial" w:cs="Arial" w:eastAsia="Arial" w:hAnsi="Arial"/>
                <w:sz w:val="14"/>
                <w:szCs w:val="14"/>
                <w:b w:val="1"/>
                <w:bCs w:val="1"/>
                <w:color w:val="auto"/>
              </w:rPr>
              <w:t>December 31,</w:t>
            </w: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259"/>
              <w:spacing w:after="0" w:line="147"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4"/>
              <w:spacing w:after="0" w:line="147"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4"/>
                <w:szCs w:val="14"/>
                <w:color w:val="auto"/>
              </w:rPr>
            </w:pPr>
          </w:p>
        </w:tc>
      </w:tr>
      <w:tr>
        <w:trPr>
          <w:trHeight w:val="196"/>
        </w:trPr>
        <w:tc>
          <w:tcPr>
            <w:tcW w:w="38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Segment operating profit (loss)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44.4</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36.0</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w:t>
            </w:r>
          </w:p>
        </w:tc>
        <w:tc>
          <w:tcPr>
            <w:tcW w:w="15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23 %</w:t>
            </w:r>
          </w:p>
        </w:tc>
      </w:tr>
      <w:tr>
        <w:trPr>
          <w:trHeight w:val="239"/>
        </w:trPr>
        <w:tc>
          <w:tcPr>
            <w:tcW w:w="38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5 %</w:t>
            </w:r>
          </w:p>
        </w:tc>
        <w:tc>
          <w:tcPr>
            <w:tcW w:w="22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34" w:lineRule="exact"/>
        <w:rPr>
          <w:sz w:val="20"/>
          <w:szCs w:val="20"/>
          <w:color w:val="auto"/>
        </w:rPr>
      </w:pPr>
    </w:p>
    <w:p>
      <w:pPr>
        <w:jc w:val="both"/>
        <w:ind w:right="460" w:firstLine="509"/>
        <w:spacing w:after="0" w:line="275" w:lineRule="auto"/>
        <w:rPr>
          <w:sz w:val="20"/>
          <w:szCs w:val="20"/>
          <w:color w:val="auto"/>
        </w:rPr>
      </w:pPr>
      <w:r>
        <w:rPr>
          <w:rFonts w:ascii="Arial" w:cs="Arial" w:eastAsia="Arial" w:hAnsi="Arial"/>
          <w:sz w:val="17"/>
          <w:szCs w:val="17"/>
          <w:color w:val="auto"/>
        </w:rPr>
        <w:t>The increase in our communication services segment operating profit was primarily due to lower SG&amp;A expenses of $26.1 million (mostly related to support costs) and lower IR&amp;D expenses of $7.3 million (primarily related to narrowband and safety of communication capabilities), partially offset by lower earnings contributions of $30.7 million driven by the decrease in segment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 and advanced technologies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89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257"/>
              <w:spacing w:after="0" w:line="147"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Increase</w:t>
            </w:r>
          </w:p>
        </w:tc>
        <w:tc>
          <w:tcPr>
            <w:tcW w:w="15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r>
      <w:tr>
        <w:trPr>
          <w:trHeight w:val="196"/>
        </w:trPr>
        <w:tc>
          <w:tcPr>
            <w:tcW w:w="37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Segment service revenues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50.4</w:t>
            </w:r>
          </w:p>
        </w:tc>
        <w:tc>
          <w:tcPr>
            <w:tcW w:w="4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53.1</w:t>
            </w: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(2.7 )</w:t>
            </w:r>
          </w:p>
        </w:tc>
        <w:tc>
          <w:tcPr>
            <w:tcW w:w="15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(5 )%</w:t>
            </w: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Segment product revenues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253.0</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200.6</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52.5</w:t>
            </w:r>
          </w:p>
        </w:tc>
        <w:tc>
          <w:tcPr>
            <w:tcW w:w="200" w:type="dxa"/>
            <w:vAlign w:val="bottom"/>
          </w:tcPr>
          <w:p>
            <w:pPr>
              <w:spacing w:after="0"/>
              <w:rPr>
                <w:sz w:val="17"/>
                <w:szCs w:val="17"/>
                <w:color w:val="auto"/>
              </w:rPr>
            </w:pP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26 %</w:t>
            </w:r>
          </w:p>
        </w:tc>
      </w:tr>
      <w:tr>
        <w:trPr>
          <w:trHeight w:val="196"/>
        </w:trPr>
        <w:tc>
          <w:tcPr>
            <w:tcW w:w="37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303.4</w:t>
            </w:r>
          </w:p>
        </w:tc>
        <w:tc>
          <w:tcPr>
            <w:tcW w:w="4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253.7</w:t>
            </w: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49.7</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20 %</w:t>
            </w:r>
          </w:p>
        </w:tc>
      </w:tr>
    </w:tbl>
    <w:p>
      <w:pPr>
        <w:spacing w:after="0" w:line="17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defense and advanced technologies segment revenues increased by $49.7 million due to a $52.5 million increase in product revenues, partially offset by a $2.7 million decrease in service revenues. The increase in segment product revenues was primarily driven by a $20.9 million increase in tactical networking products (mostly related to tactical terrestrial networking products), in addition to a $ 17.4 million increase in information security and cyber defense and a $12.6 million increase in space and mission systems. The decrease in segment service revenues was primarily driven by a $5.9 million decrease in tactical networking services (mostly related to government satellite communication systems), partially offset by an increase of $2.6 million in advanced technologies and other and an increase of $2.3 million in space and mission systems.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00" w:type="dxa"/>
            <w:vAlign w:val="bottom"/>
          </w:tcPr>
          <w:p>
            <w:pPr>
              <w:jc w:val="center"/>
              <w:ind w:right="6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680"/>
              <w:spacing w:after="0" w:line="147" w:lineRule="exact"/>
              <w:rPr>
                <w:sz w:val="20"/>
                <w:szCs w:val="20"/>
                <w:color w:val="auto"/>
              </w:rPr>
            </w:pPr>
            <w:r>
              <w:rPr>
                <w:rFonts w:ascii="Arial" w:cs="Arial" w:eastAsia="Arial" w:hAnsi="Arial"/>
                <w:sz w:val="14"/>
                <w:szCs w:val="14"/>
                <w:b w:val="1"/>
                <w:bCs w:val="1"/>
                <w:color w:val="auto"/>
              </w:rPr>
              <w:t>December 31,</w:t>
            </w: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39"/>
              <w:spacing w:after="0" w:line="147"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4"/>
              <w:spacing w:after="0" w:line="147"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2"/>
                <w:szCs w:val="12"/>
                <w:color w:val="auto"/>
              </w:rPr>
            </w:pPr>
          </w:p>
        </w:tc>
        <w:tc>
          <w:tcPr>
            <w:tcW w:w="14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r>
      <w:tr>
        <w:trPr>
          <w:trHeight w:val="196"/>
        </w:trPr>
        <w:tc>
          <w:tcPr>
            <w:tcW w:w="37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Segment operating profit (loss)</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42.7</w:t>
            </w: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w:t>
            </w:r>
          </w:p>
        </w:tc>
        <w:tc>
          <w:tcPr>
            <w:tcW w:w="16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264 %</w:t>
            </w:r>
          </w:p>
        </w:tc>
      </w:tr>
      <w:tr>
        <w:trPr>
          <w:trHeight w:val="239"/>
        </w:trPr>
        <w:tc>
          <w:tcPr>
            <w:tcW w:w="37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14 %</w:t>
            </w:r>
          </w:p>
        </w:tc>
        <w:tc>
          <w:tcPr>
            <w:tcW w:w="20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3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increase in our defense and advanced technologies segment operating profit was primarily due to higher earnings contributions of $31.2 million, primarily driven by increased revenues and improved margins in tactical networking products (mostly related to tactical terrestrial networking products) with a higher mix of our product revenues associated with our royalty and licensing agreements versus hardware and other product related revenues, and lower SG&amp;A expenses of $2.0 million (mostly related to selling, and bid and proposal costs), partially offset by higher IR&amp;D expenses of $2.3 million (primarily related to other advanced technologies).</w:t>
      </w:r>
    </w:p>
    <w:p>
      <w:pPr>
        <w:spacing w:after="0" w:line="203" w:lineRule="exact"/>
        <w:rPr>
          <w:sz w:val="20"/>
          <w:szCs w:val="20"/>
          <w:color w:val="auto"/>
        </w:rPr>
      </w:pPr>
    </w:p>
    <w:p>
      <w:pPr>
        <w:ind w:right="4160"/>
        <w:spacing w:after="0" w:line="365" w:lineRule="auto"/>
        <w:rPr>
          <w:sz w:val="20"/>
          <w:szCs w:val="20"/>
          <w:color w:val="auto"/>
        </w:rPr>
      </w:pPr>
      <w:r>
        <w:rPr>
          <w:rFonts w:ascii="Arial" w:cs="Arial" w:eastAsia="Arial" w:hAnsi="Arial"/>
          <w:sz w:val="18"/>
          <w:szCs w:val="18"/>
          <w:b w:val="1"/>
          <w:bCs w:val="1"/>
          <w:color w:val="auto"/>
        </w:rPr>
        <w:t xml:space="preserve">Nine Months Ended December 31, 2024 vs. Nine Months Ended December 31, 2023 </w:t>
      </w:r>
      <w:r>
        <w:rPr>
          <w:rFonts w:ascii="Arial" w:cs="Arial" w:eastAsia="Arial" w:hAnsi="Arial"/>
          <w:sz w:val="18"/>
          <w:szCs w:val="18"/>
          <w:i w:val="1"/>
          <w:iCs w:val="1"/>
          <w:color w:val="auto"/>
        </w:rPr>
        <w:t>Revenues</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7"/>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40" w:type="dxa"/>
            <w:vAlign w:val="bottom"/>
            <w:gridSpan w:val="2"/>
          </w:tcPr>
          <w:p>
            <w:pPr>
              <w:jc w:val="right"/>
              <w:ind w:right="35"/>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9"/>
              <w:spacing w:after="0" w:line="147"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2"/>
                <w:szCs w:val="12"/>
                <w:color w:val="auto"/>
              </w:rPr>
            </w:pPr>
          </w:p>
        </w:tc>
        <w:tc>
          <w:tcPr>
            <w:tcW w:w="12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r>
      <w:tr>
        <w:trPr>
          <w:trHeight w:val="196"/>
        </w:trPr>
        <w:tc>
          <w:tcPr>
            <w:tcW w:w="50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Service revenues</w:t>
            </w:r>
          </w:p>
        </w:tc>
        <w:tc>
          <w:tcPr>
            <w:tcW w:w="26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2,428.4</w:t>
            </w:r>
          </w:p>
        </w:tc>
        <w:tc>
          <w:tcPr>
            <w:tcW w:w="44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2,192.6</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235.8</w:t>
            </w:r>
          </w:p>
        </w:tc>
        <w:tc>
          <w:tcPr>
            <w:tcW w:w="14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11 %</w:t>
            </w: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Product 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944.1</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941.2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 %</w:t>
            </w:r>
          </w:p>
        </w:tc>
      </w:tr>
      <w:tr>
        <w:trPr>
          <w:trHeight w:val="196"/>
        </w:trPr>
        <w:tc>
          <w:tcPr>
            <w:tcW w:w="50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26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3,372.5</w:t>
            </w:r>
          </w:p>
        </w:tc>
        <w:tc>
          <w:tcPr>
            <w:tcW w:w="44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3,133.7</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238.7</w:t>
            </w:r>
          </w:p>
        </w:tc>
        <w:tc>
          <w:tcPr>
            <w:tcW w:w="14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8 %</w:t>
            </w:r>
          </w:p>
        </w:tc>
      </w:tr>
    </w:tbl>
    <w:p>
      <w:pPr>
        <w:spacing w:after="0" w:line="17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total revenues increased by $238.7 million as a result of a $235.8 million increase in service revenues and a $2.9 million increase in product revenues. The increase in service revenues was due to a $236.6 million increase in our communication services segment, partially offset by a $0.8 million decrease in our defense and advanced technologies segment. The increase in product revenues was due to a $47.7 million increase in our defense and advanced technologies segment, partially offset by a $44.7 million decrease in our communication services segment.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7"/>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40" w:type="dxa"/>
            <w:vAlign w:val="bottom"/>
            <w:gridSpan w:val="2"/>
          </w:tcPr>
          <w:p>
            <w:pPr>
              <w:jc w:val="right"/>
              <w:ind w:right="35"/>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Increase</w:t>
            </w: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r>
      <w:tr>
        <w:trPr>
          <w:trHeight w:val="196"/>
        </w:trPr>
        <w:tc>
          <w:tcPr>
            <w:tcW w:w="49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Cost of service revenues</w:t>
            </w:r>
          </w:p>
        </w:tc>
        <w:tc>
          <w:tcPr>
            <w:tcW w:w="26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1,576.0</w:t>
            </w:r>
          </w:p>
        </w:tc>
        <w:tc>
          <w:tcPr>
            <w:tcW w:w="440" w:type="dxa"/>
            <w:vAlign w:val="bottom"/>
            <w:gridSpan w:val="2"/>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1,374.9</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201.1</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15 %</w:t>
            </w: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Cost of product revenues</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671.9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703.6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(31.7 )</w:t>
            </w: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(5 )%</w:t>
            </w:r>
          </w:p>
        </w:tc>
      </w:tr>
      <w:tr>
        <w:trPr>
          <w:trHeight w:val="196"/>
        </w:trPr>
        <w:tc>
          <w:tcPr>
            <w:tcW w:w="49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cost of revenues</w:t>
            </w:r>
          </w:p>
        </w:tc>
        <w:tc>
          <w:tcPr>
            <w:tcW w:w="260" w:type="dxa"/>
            <w:vAlign w:val="bottom"/>
            <w:tcBorders>
              <w:top w:val="single" w:sz="8" w:color="auto"/>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2,247.9</w:t>
            </w: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2,078.5</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169.4</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8 %</w:t>
            </w:r>
          </w:p>
        </w:tc>
      </w:tr>
    </w:tbl>
    <w:p>
      <w:pPr>
        <w:spacing w:after="0" w:line="170"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Cost of revenues increased by $169.4 million due to a $201.1 million increase in cost of service revenues, partially offset by a $31.7 million decrease in cost of product revenues. The increase in cost of service revenues was primarily attributable to increased service revenues, resulting in a $147.9 million increase in cost of service revenues on a constant margin basis and also lower margins, both of which were mainly in our communication services segment. The decrease in cost of product revenues was primarily driven by higher margins primarily in our defense and advanced technologies segment due to a higher mix of our product revenues associated with our royalty and licensing agreements versus hardware and other product related revenues.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6"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Increase</w:t>
            </w: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r>
      <w:tr>
        <w:trPr>
          <w:trHeight w:val="196"/>
        </w:trPr>
        <w:tc>
          <w:tcPr>
            <w:tcW w:w="49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761.6</w:t>
            </w:r>
          </w:p>
        </w:tc>
        <w:tc>
          <w:tcPr>
            <w:tcW w:w="44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1,640.3</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(878.7 )</w:t>
            </w:r>
          </w:p>
        </w:tc>
        <w:tc>
          <w:tcPr>
            <w:tcW w:w="1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(54 )%</w:t>
            </w:r>
          </w:p>
        </w:tc>
      </w:tr>
    </w:tbl>
    <w:p>
      <w:pPr>
        <w:spacing w:after="0" w:line="170" w:lineRule="exact"/>
        <w:rPr>
          <w:sz w:val="20"/>
          <w:szCs w:val="20"/>
          <w:color w:val="auto"/>
        </w:rPr>
      </w:pPr>
    </w:p>
    <w:p>
      <w:pPr>
        <w:ind w:right="480" w:firstLine="509"/>
        <w:spacing w:after="0" w:line="244" w:lineRule="auto"/>
        <w:rPr>
          <w:sz w:val="20"/>
          <w:szCs w:val="20"/>
          <w:color w:val="auto"/>
        </w:rPr>
      </w:pPr>
      <w:r>
        <w:rPr>
          <w:rFonts w:ascii="Arial" w:cs="Arial" w:eastAsia="Arial" w:hAnsi="Arial"/>
          <w:sz w:val="18"/>
          <w:szCs w:val="18"/>
          <w:color w:val="auto"/>
        </w:rPr>
        <w:t>The $878.7 million decrease in SG&amp;A expenses was primarily due to a net loss of $905.5 million related to satellite impairment, including liabilities associated with the termination of certain subcontractor agreements, net of estimated insurance claim receivables recorded in our communication services segment in the prior year period. The decrease in SG&amp;A expenses was further driven by lower selling costs of $13.1 million, partially offset by higher support costs of $41.2 million, both of which were mainly in our communication services segment.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4"/>
              <w:spacing w:after="0" w:line="147"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2"/>
                <w:szCs w:val="12"/>
                <w:color w:val="auto"/>
              </w:rPr>
            </w:pPr>
          </w:p>
        </w:tc>
        <w:tc>
          <w:tcPr>
            <w:tcW w:w="12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r>
      <w:tr>
        <w:trPr>
          <w:trHeight w:val="196"/>
        </w:trPr>
        <w:tc>
          <w:tcPr>
            <w:tcW w:w="50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Independent research and development</w:t>
            </w:r>
          </w:p>
        </w:tc>
        <w:tc>
          <w:tcPr>
            <w:tcW w:w="26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108.7</w:t>
            </w:r>
          </w:p>
        </w:tc>
        <w:tc>
          <w:tcPr>
            <w:tcW w:w="44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104.2</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w:t>
            </w:r>
          </w:p>
        </w:tc>
        <w:tc>
          <w:tcPr>
            <w:tcW w:w="14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4 %</w:t>
            </w:r>
          </w:p>
        </w:tc>
      </w:tr>
    </w:tbl>
    <w:p>
      <w:pPr>
        <w:spacing w:after="0" w:line="17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$4.5 million increase in IR&amp;D expenses was mainly due to an increase of $8.8 million in our defense and advanced technologies segment (primarily related to tactical terrestrial networking and other advanced technologies), partially offset by a $ 4.3 million decrease in our communication services segment (primarily related to next-generation consumer broadband integrated networking technologies).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61"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 The $2.8 million decrease in amortization of acquired intangible assets in the first nine months of fiscal year 2025 compared to the prior year period was primarily due to the final valuation of certain acquired intangible assets completed in the first quarter of fiscal year 2025, within one year of the closing of the Inmarsat Acquisition as additional information was obtained.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61"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The $8.2 million decrease in interest income for the nine months ended December 31, 2024 compared to the prior year period was primarily due to lower interest earned as a result of lower average invested balance in combination with lower interest rates, in addition to interest income received from a litigation settlement in the prior year period (see Note 9 — Commitments and Contingencies to our condensed consolidated financial statements for more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61"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The $40.0 million increase in interest expense for the nine months ended December 31, 2024 compared to the prior year period was primarily the result of the effects of increased interest expense arising from our increased level of indebtedness following the closing of the Inmarsat Acquisition in May 2023 and the refinancing of certain debt at a higher interest 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61"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For the nine months ended December 31, 2024, we recorded an income tax benefit of $ 4.7 million, resulting in an effective tax rate of 2%. The effective tax rate for the period differed from the U.S. statutory rate primarily due to a U.S. valuation allowance, foreign tax rate differences, and decreases in our unrecognized tax benefits. For the nine months ended December 31, 2023, we recorded an income tax benefit of $128.1 million, resulting in an effective tax rate of 12%. The effective tax rate for the period differed from the U.S. statutory rate primarily due to a valuation allowance recorded against our U.S. net deferred tax assets.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6"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Segment Results for the Nine Months Ended December 31, 2024 vs. Nine Months Ended December 31,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 services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2"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179"/>
              <w:spacing w:after="0" w:line="147"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197"/>
              <w:spacing w:after="0" w:line="147"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Increase</w:t>
            </w:r>
          </w:p>
        </w:tc>
        <w:tc>
          <w:tcPr>
            <w:tcW w:w="15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r>
      <w:tr>
        <w:trPr>
          <w:trHeight w:val="196"/>
        </w:trPr>
        <w:tc>
          <w:tcPr>
            <w:tcW w:w="39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Segment service revenues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2,273.5</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2,036.9</w:t>
            </w: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236.6</w:t>
            </w:r>
          </w:p>
        </w:tc>
        <w:tc>
          <w:tcPr>
            <w:tcW w:w="2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12 %</w:t>
            </w:r>
          </w:p>
        </w:tc>
      </w:tr>
      <w:tr>
        <w:trPr>
          <w:trHeight w:val="203"/>
        </w:trPr>
        <w:tc>
          <w:tcPr>
            <w:tcW w:w="39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Segment product revenues</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244.8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(44.7 )</w:t>
            </w: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(18 )%</w:t>
            </w:r>
          </w:p>
        </w:tc>
      </w:tr>
      <w:tr>
        <w:trPr>
          <w:trHeight w:val="196"/>
        </w:trPr>
        <w:tc>
          <w:tcPr>
            <w:tcW w:w="39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segment revenues</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2,473.5</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2,281.7</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191.8</w:t>
            </w:r>
          </w:p>
        </w:tc>
        <w:tc>
          <w:tcPr>
            <w:tcW w:w="2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8 %</w:t>
            </w:r>
          </w:p>
        </w:tc>
      </w:tr>
    </w:tbl>
    <w:p>
      <w:pPr>
        <w:spacing w:after="0" w:line="170"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Our communication services segment revenues increased by $191.8 million due to a $236.6 million increase in service revenues, partially offset by a $44.7 million decrease in product revenues. The increase in segment service revenues was primarily due to the Inmarsat Acquisition in May 2023. The Inmarsat Acquisition contributed approximately $321.7 million to the increase in service revenues in our communication services segment, as a result of three full quarters of contribution compared to only seven months in the prior year period coupled with higher revenues contributed by Inmarsat in the current year period. The inclusion of three full quarters from Inmarsat, the Inmarsat revenue increase and growth in our aviation services were partially offset by an expected decrease in revenues from fixed services and other as we continued to allocate a greater proportion of our bandwidth to our IFC business in preference to our U.S. fixed services business due to bandwidth constraints. The IFC service revenue increase was driven primarily by the increase in the number of commercial aircraft and business jets receiving our in-flight services through our IFC systems, with our IFC systems installed and in service on approximately 4,030 commercial aircraft (of which approximately 80 were inactive at quarter end, mostly due to standard aircraft maintenance) and approximately 2,000 business jets as of December 31, 2024, compared to approximately 3,540 commercial aircraft (of which approximately 40 were inactive at quarter end mostly due to standard aircraft maintenance) and approximately 1,700 business jets as of December 31, 2023. The decrease in segment product revenues was primarily driven by a $41.6 million decrease in aviation products due to accelerated IFC terminal deliveries in the prior year period and a $ 14.2 million decrease in government satcom products, partially offset by a $10.6 million increase in fixed and other products, mainly driven by enterprise and energy.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660"/>
              <w:spacing w:after="0" w:line="147" w:lineRule="exact"/>
              <w:rPr>
                <w:sz w:val="20"/>
                <w:szCs w:val="20"/>
                <w:color w:val="auto"/>
              </w:rPr>
            </w:pPr>
            <w:r>
              <w:rPr>
                <w:rFonts w:ascii="Arial" w:cs="Arial" w:eastAsia="Arial" w:hAnsi="Arial"/>
                <w:sz w:val="14"/>
                <w:szCs w:val="14"/>
                <w:b w:val="1"/>
                <w:bCs w:val="1"/>
                <w:color w:val="auto"/>
              </w:rPr>
              <w:t>December 31,</w:t>
            </w: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59"/>
              <w:spacing w:after="0" w:line="147"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4"/>
              <w:spacing w:after="0" w:line="147"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2"/>
                <w:szCs w:val="12"/>
                <w:color w:val="auto"/>
              </w:rPr>
            </w:pPr>
          </w:p>
        </w:tc>
        <w:tc>
          <w:tcPr>
            <w:tcW w:w="12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r>
      <w:tr>
        <w:trPr>
          <w:trHeight w:val="196"/>
        </w:trPr>
        <w:tc>
          <w:tcPr>
            <w:tcW w:w="3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Segment operating profit (loss)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85.8</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(805.1 )</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890.9</w:t>
            </w:r>
          </w:p>
        </w:tc>
        <w:tc>
          <w:tcPr>
            <w:tcW w:w="14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111 %</w:t>
            </w:r>
          </w:p>
        </w:tc>
      </w:tr>
      <w:tr>
        <w:trPr>
          <w:trHeight w:val="239"/>
        </w:trPr>
        <w:tc>
          <w:tcPr>
            <w:tcW w:w="38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(35 )%</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3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change in our communication services segment operating loss to an operating profit was primarily due to the recording of satellite impairment and related charges, net of estimated insurance claim receivables of approximately $905.5 million in the prior year period, as described above, as well as higher earnings contributions of $16.6 million, mainly due to increased service revenues as a result of the Inmarsat Acquisition. The change in our communication services segment operating loss to an operating profit was also attributable to lower IR&amp;D expenses of $4.3 million (primarily related to next-generation consumer broadband integrated networking technologies), partially offset by an increase of $35.5 million in SG&amp;A expenses (reflecting the inclusion of three full quarters of Inmarsat SG&amp;A costs in the current year period compared to only seven months of SG&amp;A costs in the prior year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 and advanced technologies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4"/>
                <w:szCs w:val="14"/>
                <w:color w:val="auto"/>
              </w:rPr>
            </w:pPr>
          </w:p>
        </w:tc>
      </w:tr>
      <w:tr>
        <w:trPr>
          <w:trHeight w:val="146"/>
        </w:trPr>
        <w:tc>
          <w:tcPr>
            <w:tcW w:w="5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7"/>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40" w:type="dxa"/>
            <w:vAlign w:val="bottom"/>
            <w:gridSpan w:val="2"/>
          </w:tcPr>
          <w:p>
            <w:pPr>
              <w:jc w:val="right"/>
              <w:ind w:right="35"/>
              <w:spacing w:after="0" w:line="147"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Increase</w:t>
            </w:r>
          </w:p>
        </w:tc>
        <w:tc>
          <w:tcPr>
            <w:tcW w:w="12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Segment service revenues</w:t>
            </w:r>
          </w:p>
        </w:tc>
        <w:tc>
          <w:tcPr>
            <w:tcW w:w="36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154.9</w:t>
            </w:r>
          </w:p>
        </w:tc>
        <w:tc>
          <w:tcPr>
            <w:tcW w:w="44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155.7</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(0.8 )</w:t>
            </w:r>
          </w:p>
        </w:tc>
        <w:tc>
          <w:tcPr>
            <w:tcW w:w="1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Segment product revenues</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744.1</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696.4</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w:t>
            </w:r>
          </w:p>
        </w:tc>
        <w:tc>
          <w:tcPr>
            <w:tcW w:w="20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7 %</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36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899.0</w:t>
            </w:r>
          </w:p>
        </w:tc>
        <w:tc>
          <w:tcPr>
            <w:tcW w:w="44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852.1</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46.9</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6 %</w:t>
            </w:r>
          </w:p>
        </w:tc>
        <w:tc>
          <w:tcPr>
            <w:tcW w:w="560" w:type="dxa"/>
            <w:vAlign w:val="bottom"/>
          </w:tcPr>
          <w:p>
            <w:pPr>
              <w:spacing w:after="0"/>
              <w:rPr>
                <w:sz w:val="17"/>
                <w:szCs w:val="17"/>
                <w:color w:val="auto"/>
              </w:rPr>
            </w:pPr>
          </w:p>
        </w:tc>
      </w:tr>
      <w:tr>
        <w:trPr>
          <w:trHeight w:val="652"/>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w w:val="99"/>
              </w:rPr>
              <w:t>55</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5" w:name="page56"/>
    <w:bookmarkEnd w:id="55"/>
    <w:p>
      <w:pPr>
        <w:ind w:right="220" w:firstLine="509"/>
        <w:spacing w:after="0"/>
        <w:rPr>
          <w:sz w:val="20"/>
          <w:szCs w:val="20"/>
          <w:color w:val="auto"/>
        </w:rPr>
      </w:pPr>
      <w:r>
        <w:rPr>
          <w:rFonts w:ascii="Arial" w:cs="Arial" w:eastAsia="Arial" w:hAnsi="Arial"/>
          <w:sz w:val="18"/>
          <w:szCs w:val="18"/>
          <w:color w:val="auto"/>
        </w:rPr>
        <w:t>Our defense and advanced technologies segment revenues increased by $46.9 million due to a $47.7 million increase in product revenues, partially offset by a $0.8 million decrease in service revenues. The increase in segment product revenues was primarily due to a $92.5 million increase in tactical networking products (mostly related to tactical terrestrial networking products), as well as a $17.4 million increase in information security and cyber defense. The increase in segment product revenues was partially offset by lower contributions from certain licensing agreements in advanced technologies and other in the current year period (see Note 9 — Commitments and Contingencies to our condensed consolidated financial statements for more information). The decrease in segment service revenues was primarily due to a $5.5 million decrease in information security and cyber defense, partially offset by a $4.1 million increase in space and mission systems.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060" w:type="dxa"/>
            <w:vAlign w:val="bottom"/>
          </w:tcPr>
          <w:p>
            <w:pPr>
              <w:jc w:val="center"/>
              <w:ind w:right="12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56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39"/>
              <w:spacing w:after="0" w:line="147"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24"/>
              <w:spacing w:after="0" w:line="147"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2"/>
                <w:szCs w:val="12"/>
                <w:color w:val="auto"/>
              </w:rPr>
            </w:pPr>
          </w:p>
        </w:tc>
        <w:tc>
          <w:tcPr>
            <w:tcW w:w="14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r>
      <w:tr>
        <w:trPr>
          <w:trHeight w:val="196"/>
        </w:trPr>
        <w:tc>
          <w:tcPr>
            <w:tcW w:w="37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Segment operating profit (loss)</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168.6</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115.9</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52.7</w:t>
            </w:r>
          </w:p>
        </w:tc>
        <w:tc>
          <w:tcPr>
            <w:tcW w:w="160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45 %</w:t>
            </w:r>
          </w:p>
        </w:tc>
      </w:tr>
      <w:tr>
        <w:trPr>
          <w:trHeight w:val="239"/>
        </w:trPr>
        <w:tc>
          <w:tcPr>
            <w:tcW w:w="37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14 %</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34"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 increase in our defense and advanced technologies segment operating profit was primarily due to higher earnings contributions of $52.8 million, primarily driven by increased revenues and improved margins in tactical networking products (mostly related to tactical terrestrial networking products) with a higher mix of our product revenues associated with our royalty and licensing agreements versus hardware and other product related revenues, as well as lower SG&amp;A costs of $8.7 million. The increase in operating profit was partially offset by a $8.8 million increase in IR&amp;D expenses (primarily related to tactical terrestrial networking and other advanced technologies products).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firm and funded backlog as of December 31, 2024 is reflected in the table below.</w:t>
      </w:r>
    </w:p>
    <w:p>
      <w:pPr>
        <w:spacing w:after="0" w:line="194"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 of</w:t>
            </w:r>
          </w:p>
        </w:tc>
      </w:tr>
      <w:tr>
        <w:trPr>
          <w:trHeight w:val="171"/>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 2024</w:t>
            </w:r>
          </w:p>
        </w:tc>
      </w:tr>
      <w:tr>
        <w:trPr>
          <w:trHeight w:val="128"/>
        </w:trPr>
        <w:tc>
          <w:tcPr>
            <w:tcW w:w="47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jc w:val="center"/>
              <w:ind w:right="177"/>
              <w:spacing w:after="0" w:line="129" w:lineRule="exact"/>
              <w:rPr>
                <w:sz w:val="20"/>
                <w:szCs w:val="20"/>
                <w:color w:val="auto"/>
              </w:rPr>
            </w:pPr>
            <w:r>
              <w:rPr>
                <w:rFonts w:ascii="Arial" w:cs="Arial" w:eastAsia="Arial" w:hAnsi="Arial"/>
                <w:sz w:val="13"/>
                <w:szCs w:val="13"/>
                <w:b w:val="1"/>
                <w:bCs w:val="1"/>
                <w:color w:val="auto"/>
                <w:w w:val="95"/>
              </w:rPr>
              <w:t>(In millions)</w:t>
            </w:r>
          </w:p>
        </w:tc>
        <w:tc>
          <w:tcPr>
            <w:tcW w:w="80" w:type="dxa"/>
            <w:vAlign w:val="bottom"/>
          </w:tcPr>
          <w:p>
            <w:pPr>
              <w:spacing w:after="0"/>
              <w:rPr>
                <w:sz w:val="11"/>
                <w:szCs w:val="11"/>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Firm backlog</w:t>
            </w: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Communication services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2,616.2</w:t>
            </w:r>
          </w:p>
        </w:tc>
        <w:tc>
          <w:tcPr>
            <w:tcW w:w="80" w:type="dxa"/>
            <w:vAlign w:val="bottom"/>
          </w:tcPr>
          <w:p>
            <w:pPr>
              <w:spacing w:after="0"/>
              <w:rPr>
                <w:sz w:val="17"/>
                <w:szCs w:val="17"/>
                <w:color w:val="auto"/>
              </w:rPr>
            </w:pPr>
          </w:p>
        </w:tc>
      </w:tr>
      <w:tr>
        <w:trPr>
          <w:trHeight w:val="203"/>
        </w:trPr>
        <w:tc>
          <w:tcPr>
            <w:tcW w:w="4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Defense and advanced technologies</w:t>
            </w:r>
          </w:p>
        </w:tc>
        <w:tc>
          <w:tcPr>
            <w:tcW w:w="22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925.0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3,541.2</w:t>
            </w:r>
          </w:p>
        </w:tc>
        <w:tc>
          <w:tcPr>
            <w:tcW w:w="8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7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Funded backlog</w:t>
            </w:r>
          </w:p>
        </w:tc>
        <w:tc>
          <w:tcPr>
            <w:tcW w:w="2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Communication services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2,587.5</w:t>
            </w:r>
          </w:p>
        </w:tc>
        <w:tc>
          <w:tcPr>
            <w:tcW w:w="80" w:type="dxa"/>
            <w:vAlign w:val="bottom"/>
          </w:tcPr>
          <w:p>
            <w:pPr>
              <w:spacing w:after="0"/>
              <w:rPr>
                <w:sz w:val="17"/>
                <w:szCs w:val="17"/>
                <w:color w:val="auto"/>
              </w:rPr>
            </w:pPr>
          </w:p>
        </w:tc>
      </w:tr>
      <w:tr>
        <w:trPr>
          <w:trHeight w:val="203"/>
        </w:trPr>
        <w:tc>
          <w:tcPr>
            <w:tcW w:w="4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Defense and advanced technologies</w:t>
            </w:r>
          </w:p>
        </w:tc>
        <w:tc>
          <w:tcPr>
            <w:tcW w:w="22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782.6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3,370.1</w:t>
            </w:r>
          </w:p>
        </w:tc>
        <w:tc>
          <w:tcPr>
            <w:tcW w:w="8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-710565</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-162560</wp:posOffset>
            </wp:positionV>
            <wp:extent cx="514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firm backlog does not include contract options. As of December 31, 2024, approximately half of the firm backlog is expected to be delivered during the next 12 months, with the balance delivered thereafter. We include in our backlog only those orders for which we have accepted purchase orders, and not anticipated purchase orders and requests. In our communication services segment, our backlog includes fixed broadband service revenues under our subscriber agreements, but does not include future recurring IFC service revenues under our agreements with commercial airlines. As of December 31, 2024, our IFC systems were installed and in service on approximately 4,030 commercial aircraft (of which approximately 80 were inactive at quarter end, mostly due to standard aircraft maintenance). We anticipate that approximately 1,570 additional commercial aircraft will be put into service with our IFC systems under existing customer agreements with commercial airlines. Due to the nature of commercial airline contracts and other factors such as OEM delays, there can be no assurance that all anticipated purchase orders and requests will be placed or that anticipated IFC services will be activated on all such additional commercial aircraft.</w:t>
      </w:r>
    </w:p>
    <w:p>
      <w:pPr>
        <w:spacing w:after="0" w:line="126"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Our total new awards which exclude future revenue under recurring consumer commitment arrangements were approximately $1.1 billion and $3.5 billion for the three and nine months ended December 31, 2024, respectively, compared to approximately $1.2 billion and $3.0 billion for the three and nine months ended December 31, 2023, respectively.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56" w:name="page57"/>
    <w:bookmarkEnd w:id="56"/>
    <w:p>
      <w:pPr>
        <w:ind w:right="100" w:firstLine="509"/>
        <w:spacing w:after="0" w:line="247"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20"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December 31, 2024, we had $1.6 billion in cash and cash equivalents, $1.3 billion in working capital, no outstanding borrowings and borrowing availability of $585.5 million under our $647.5 million revolving credit facility (the Viasat Revolving Credit Facility), and no outstanding borrowings and borrowing availability of $550.0 million under Inmarsat's $ 550.0 million revolving line of credit (the Inmarsat Revolving Credit Facility, and together with the Viasat Revolving Credit Facility, the Revolving Credit Facilities). At March 31, 2024, we had $1.9 billion in cash and cash equivalents, $2.2 billion in working capital, no outstanding borrowings and borrowing availability of $591.5 million under the Viasat Revolving Credit Facility, and no outstanding borrowings and borrowing availability of $550.0 million under the Inmarsat Revolving Credit Facility. We invest our cash in excess of current operating requirements in short-term, highly liquid bank money market funds primarily investing in U.S. government-backed securities and treasuries.</w:t>
      </w:r>
    </w:p>
    <w:p>
      <w:pPr>
        <w:spacing w:after="0" w:line="129"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The general cash needs of our business can vary significantly and our future capital requirements will depend upon many factors, including cash required for our satellite projects and any future broadband satellite projects we may engage in, expansion of our IR&amp;D and marketing efforts, and the nature and timing of orders. In particular:</w:t>
      </w:r>
    </w:p>
    <w:p>
      <w:pPr>
        <w:spacing w:after="0" w:line="61" w:lineRule="exact"/>
        <w:rPr>
          <w:sz w:val="20"/>
          <w:szCs w:val="20"/>
          <w:color w:val="auto"/>
        </w:rPr>
      </w:pPr>
    </w:p>
    <w:p>
      <w:pPr>
        <w:ind w:left="1020" w:right="18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cash needs of our communication services segment tend to be driven by the timing and amount of capital expenditures (e.g., payments under satellite construction and launch contracts and investments in ground infrastructure roll-out), the timing and amount of investments in IR&amp;D activities (including with respect to next-generation satellite payload technologies), investments in joint ventures, strategic partnering arrangements, network expansion activities, investments to obtain Supplemental Type Certificates to enable the retrofit installation of our IFC and W-IFE equipment and investments in platforms and software to support services and entry into new markets, as well as the quality of customer, type of contract, mix of contracts in backlog and payment terms, and timing and amount of recoveries under satellite insurance claims.</w:t>
      </w:r>
    </w:p>
    <w:p>
      <w:pPr>
        <w:spacing w:after="0" w:line="75" w:lineRule="exact"/>
        <w:rPr>
          <w:rFonts w:ascii="Times New Roman" w:cs="Times New Roman" w:eastAsia="Times New Roman" w:hAnsi="Times New Roman"/>
          <w:sz w:val="18"/>
          <w:szCs w:val="18"/>
          <w:color w:val="auto"/>
        </w:rPr>
      </w:pPr>
    </w:p>
    <w:p>
      <w:pPr>
        <w:ind w:left="1020" w:right="100" w:hanging="503"/>
        <w:spacing w:after="0" w:line="243"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 our defense and advanced technologies segment, the primary factors determining cash needs tend to be the type and mix of contracts in backlog (e.g., product or service, development or production), timing of payments and payment terms (including restrictions on the timing of cash payments under U.S. Government procurement regulations), as well as contract duration and program performance. For example, if a program is performing well and meeting its contractual requirements, then its cash flow requirements are usually lower.</w:t>
      </w:r>
    </w:p>
    <w:p>
      <w:pPr>
        <w:spacing w:after="0" w:line="126"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Additionally, from time to time, we evaluate possible acquisitions of, or investments in complementary businesses, products and technologies which may require the use of cash or additional financing.</w:t>
      </w:r>
    </w:p>
    <w:p>
      <w:pPr>
        <w:spacing w:after="0" w:line="10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November 2023, we announced an important milestone in our integration program following our Inmarsat Acquisition. As part of our ongoing strategy to streamline operations and better serve our growing customer base, we completed our work on the rationalization of roles in our global business, which is intended to achieve both operational and cost efficiencies. As part of the role rationalization, we reduced our global workforce by approximately 800 positions, or approximately 10%, and recorded total costs (primarily related to employee severance payments, benefits and related termination costs) of approximately $45 million during the three and nine months ended December 31, 2023. These one-time costs were recorded within operating expenses in our condensed consolidated statements of operations across our segments.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ind w:firstLine="509"/>
        <w:spacing w:after="0"/>
        <w:rPr>
          <w:sz w:val="20"/>
          <w:szCs w:val="20"/>
          <w:color w:val="auto"/>
        </w:rPr>
      </w:pPr>
      <w:r>
        <w:rPr>
          <w:rFonts w:ascii="Arial" w:cs="Arial" w:eastAsia="Arial" w:hAnsi="Arial"/>
          <w:sz w:val="18"/>
          <w:szCs w:val="18"/>
          <w:color w:val="auto"/>
        </w:rPr>
        <w:t>To further enhance our liquidity position or to finance the construction and launch of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sale of our Link-16 tactical data link business that was completed in January 2023 for approximately $1.96 billion in cash, as well as divestitures of non-core assets or businesses.</w:t>
      </w:r>
    </w:p>
    <w:p>
      <w:pPr>
        <w:spacing w:after="0" w:line="126"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may, from time to time, seek to retire, prepay or repurchase our outstanding debt (including some or all of the Viasat's 5.625% Senior Notes due 2025 (the 2025 Notes))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 During the second quarter of fiscal year 2025, we repurchased $359.2 million in aggregate principal amount of our outstanding notes in open market transactions, consisting of approximately $101.7 million of Inmarsat's 6.750% Senior Secured Notes due 2026 (the Inmarsat 2026 Notes) and $ 257.5 million of 2025 Notes. During the third quarter of fiscal year 2025, we redeemed the remaining Inmarsat 2026 Notes in full. As a result, we recorded a net loss on extinguishment of debt of approximately $96.6 million and $99.8 million in (loss) gain on extinguishment of debt, net in the condensed consolidated statement of operations, for the three and nine months ended December 31, 2024, respectively, mainly related to the redemption of the Inmarsat 2026 Notes (attributable to the related unamortized fair value adjustment made in purchase accounting). If any of the 2025 Notes are not repurchased, we intend to repay the remaining 2025 Notes at maturity in September 2025. 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Cash provided by operating activities for the first nine months of fiscal year 2025 was $609.7 million compared to $456.2 million in the prior year period. This $153.5 million increase was driven by our operating results (net income (loss) adjusted for depreciation, amortization and other non-cash charges) which resulted in $165.4 million of higher cash provided by operating activities year-over-year, partially offset by a $11.9 million year-over-year increase in cash used to fund net operating assets. The increase in cash used to fund net operating assets during the first nine months of fiscal year 2025 when compared to the prior year period was primarily due to the timing of deferred revenue recognized under certain long-term contracts (including acquired through the Inmarsat Acquisition) in our communication services segment. Cash paid for income taxes, net, during the first nine months of fiscal year 2025 and 2024 were $174.6 million and $176.4 million, respectively. Cash paid for interest (net of amounts capitalized) during the first nine months of fiscal year 2025 and 2024 were $271.0 million and $179.9 million, respectively.</w:t>
      </w:r>
    </w:p>
    <w:p>
      <w:pPr>
        <w:spacing w:after="0" w:line="12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Cash used in investing activities for the first nine months of fiscal year 2025 was approximately $ 524.9 million compared to $1.5 billion in the prior year period. This $927.0 million decrease in cash used in investing activities year-over-year reflects decreases of $379.0 million in cash used for capital expenditures, $342.6 million in cash (net of cash acquired) used for the Inmarsat Acquisition in the first quarter of fiscal year 2024 and $240.0 million of cash receipts related to satellite insurance claim proceeds received during the first nine months of fiscal year 2025.</w:t>
      </w:r>
    </w:p>
    <w:p>
      <w:pPr>
        <w:spacing w:after="0" w:line="12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Cash used in financing activities for the first nine months of fiscal year 2025 was approximately $435.9 million compared to cash provided by financing activities of $1.2 billion for the prior year period. Cash used in financing activities in the first nine months of fiscal year 2025 was primarily comprised of debt repayments of $2.4 billion, partially offset by proceeds from debt borrowings of $2.0 billion (which primarily related to the repurchase and refinancing of the Inmarsat 2026 Notes). Cash provided by financing activities in the first nine months of fiscal year 2024 was primarily comprised of proceeds from debt borrowings of approximately $1.3 billion incurred in connection with the Inmarsat Acquisition. See Note 7 — Senior Notes and Other Long-Term Debt for further information.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complementary fleet of 21 in service or operational satellites spans the Ka-, L- and S- bands, with 11 Ka-band satellites, eight high-availability L-band satellites (three of which are contingency L-band satellites that are operational but not currently in commercial service), an S-band satellite that supports the European Aviation Network to provide IFC services to commercial airlines in Europe, and an I-6 class hybrid Ka-/L-band satellite (the I-6 F1 satellite). In late July 2024, the ViaSat-3 F1 satellite completed in-orbit testing and was integrated into our existing satellite fleet covering the Americas. In August 2024, we launched two Ka-band highly-elliptical earth orbit satellite payloads intended to provide polar coverage (the Inmarsat GX 10A and GX 10B satellites). Furthermore, we have eight additional GEO satellites under development: two additional high-capacity Ka-band GEO satellites (ViaSat-3 F2 and ViaSat-3 F3), three additional adaptive Ka-band GEO satellites (GX 7, GX 8 and GX 9) and three Inmarsat-8 L-band GEO safety service satellites. Our extensive satellite fleet enables us to provide a wide array of high-quality broadband and narrowband services with near global coverage (including strong oceanic coverage) with greater redundancy and resiliency.</w:t>
      </w:r>
    </w:p>
    <w:p>
      <w:pPr>
        <w:spacing w:after="0" w:line="31" w:lineRule="exact"/>
        <w:rPr>
          <w:sz w:val="20"/>
          <w:szCs w:val="20"/>
          <w:color w:val="auto"/>
        </w:rPr>
      </w:pPr>
    </w:p>
    <w:p>
      <w:pPr>
        <w:ind w:right="160" w:firstLine="559"/>
        <w:spacing w:after="0" w:line="244" w:lineRule="auto"/>
        <w:rPr>
          <w:sz w:val="20"/>
          <w:szCs w:val="20"/>
          <w:color w:val="auto"/>
        </w:rPr>
      </w:pPr>
      <w:r>
        <w:rPr>
          <w:rFonts w:ascii="Arial" w:cs="Arial" w:eastAsia="Arial" w:hAnsi="Arial"/>
          <w:sz w:val="18"/>
          <w:szCs w:val="18"/>
          <w:color w:val="auto"/>
        </w:rPr>
        <w:t>We launched the first of our third-generation ViaSat-3 class satellites, ViaSat-3 F1, into orbit on April 30, 2023. On July 12, 2023, we reported a reflector deployment issue that materially impacted the performance of the ViaSat-3 F1 satellite, and on August 24, 2023, we reported the I-6 F2 satellite suffered a power subsystem anomaly during its orbit raising phase, and concluded that the satellite would not operate as intended (see Note 1 — Basis of Presentation – Property, equipment and satellites to our condensed consolidated financial statements for more information).</w:t>
      </w:r>
    </w:p>
    <w:p>
      <w:pPr>
        <w:spacing w:after="0" w:line="41"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w:t>
      </w:r>
    </w:p>
    <w:p>
      <w:pPr>
        <w:spacing w:after="0" w:line="12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14 — Commitments to our consolidated financial statements included in our Annual Report on Form 10-K for the year ended March 31, 2024 for information regarding our future minimum payments under our satellite construction contracts and other satellite-related purchase commitments (including satellite performance incentive obligations) for the next five fiscal years and thereafter, as well as purchase commitments including satellite-related agreements under the contractual obligations table below.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spacing w:after="0" w:line="12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communication services segment, and any such gains may also be offset by investments in our global business. In addition, we may experience capacity constraints on our existing satellites in the lead-up to the commencement of commercial service on new satellites, such as the capacity constraints we have been experiencing since fiscal year 2023 pending our ViaSat-3 constellation entering commercial service.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6"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61"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As of December 31, 2024, the aggregate principal amount of our total outstanding indebtedness was $7.2 billion, which was comprised of (1) $442.6 million in aggregate principal amount of the 2025 Notes, $ 600.0 million in aggregate principal amount of Viasat's 5.625% Senior Secured Notes due 2027, $ 400.0 million in aggregate principal amount of Viasat's 6.500% Senior Notes due 2028, $1.975 billion in aggregate principal amount of Inmarsat's 9.000% Senior Secured Notes due 2029, $733.4 million in aggregate principal amount of Viasat's</w:t>
      </w:r>
    </w:p>
    <w:p>
      <w:pPr>
        <w:spacing w:after="0" w:line="237" w:lineRule="auto"/>
        <w:rPr>
          <w:sz w:val="20"/>
          <w:szCs w:val="20"/>
          <w:color w:val="auto"/>
        </w:rPr>
      </w:pPr>
      <w:r>
        <w:rPr>
          <w:rFonts w:ascii="Arial" w:cs="Arial" w:eastAsia="Arial" w:hAnsi="Arial"/>
          <w:sz w:val="18"/>
          <w:szCs w:val="18"/>
          <w:color w:val="auto"/>
        </w:rPr>
        <w:t>7.500% Senior Notes due 2031, (2) $682.5 million in principal amount of outstanding borrowings under Viasat's $700.0 million senior secured term loan facility (the 2022 Term Loan Facility), $610.5 million in principal amount of outstanding borrowings under Viasat's $616.7 million senior secured term loan facility (the 2023 Term Loan Facility), $1.6 billion in aggregate principal amount of outstanding borrowings under Inmarsat's $1.6 billion senior secured term loan facilities (the Inmarsat Term Loan Facilities), no outstanding borrowings under the Revolving Credit Facilities, and $19.7 million in principal amount of outstanding borrowings under Viasat's direct loan facility with the Export-Import Bank of the United States (the Ex-Im Credit Facility), and (3) $164.4 million of finance lease obligations. For information regarding our outstanding indebtedness, refer to Note 7 — Senior Notes and Other Long-Term Debt to our condensed consolidated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IR&amp;D Investments</w:t>
      </w:r>
    </w:p>
    <w:p>
      <w:pPr>
        <w:spacing w:after="0" w:line="61"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For a discussion of our capital expenditures and IR&amp;D investments, see Part II, Item 7, “Liquidity and Capital Resources — Capital Expenditures and IR&amp;D Investments” in our Annual Report on Form 10-K for the year ended March 31, 2024, as well as Note 4 — Acquisition, related to the Inmarsat Acquisition, and Note 1 — Basis of Presentation – Property, equipment and satellites, related to satellite impairment, to our condensed consolidated financial statements for more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certain material cash requirements for known contractual obligations and commitments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Next 12 months</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196"/>
        </w:trPr>
        <w:tc>
          <w:tcPr>
            <w:tcW w:w="74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3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93,556</w:t>
            </w:r>
          </w:p>
        </w:tc>
        <w:tc>
          <w:tcPr>
            <w:tcW w:w="5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584,703</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Senior notes and other long-term debt (1)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1,096,530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8,868,027</w:t>
            </w:r>
          </w:p>
        </w:tc>
        <w:tc>
          <w:tcPr>
            <w:tcW w:w="100" w:type="dxa"/>
            <w:vAlign w:val="bottom"/>
          </w:tcPr>
          <w:p>
            <w:pPr>
              <w:spacing w:after="0"/>
              <w:rPr>
                <w:sz w:val="17"/>
                <w:szCs w:val="17"/>
                <w:color w:val="auto"/>
              </w:rPr>
            </w:pPr>
          </w:p>
        </w:tc>
      </w:tr>
      <w:tr>
        <w:trPr>
          <w:trHeight w:val="203"/>
        </w:trPr>
        <w:tc>
          <w:tcPr>
            <w:tcW w:w="748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 commitments including satellite-related agreements</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1,090,360</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970,300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2,280,446</w:t>
            </w:r>
          </w:p>
        </w:tc>
        <w:tc>
          <w:tcPr>
            <w:tcW w:w="5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10,423,030</w:t>
            </w:r>
          </w:p>
        </w:tc>
        <w:tc>
          <w:tcPr>
            <w:tcW w:w="10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500" w:type="dxa"/>
            <w:vAlign w:val="bottom"/>
            <w:tcBorders>
              <w:bottom w:val="single" w:sz="8" w:color="auto"/>
            </w:tcBorders>
          </w:tcPr>
          <w:p>
            <w:pPr>
              <w:spacing w:after="0"/>
              <w:rPr>
                <w:sz w:val="6"/>
                <w:szCs w:val="6"/>
                <w:color w:val="auto"/>
              </w:rPr>
            </w:pPr>
          </w:p>
        </w:tc>
        <w:tc>
          <w:tcPr>
            <w:tcW w:w="5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-230505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left="520" w:right="100" w:hanging="512"/>
        <w:spacing w:after="0" w:line="24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the interest rate on any long-term debt is variable, amounts reflected represent estimated interest payments on the applicable current outstanding balance based on the interest rate at December 31, 2024 until the applicable maturity date, net of interest rate cap contracts (maturing at the end of February 2025) set up to hedge the variable interest rates under the Inmarsat Term Loan Facilities. The interest rate cap contracts provide protection from Compound SOFR rates over 2% and covered the total nominal amount of the Inmarsat Term Loan Facilities of $1.6 billion.</w:t>
      </w:r>
    </w:p>
    <w:p>
      <w:pPr>
        <w:spacing w:after="0" w:line="122"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We may also cancel, reschedule or adjust our requirements based on business needs after firm orders are placed at a cost, which may be material.</w:t>
      </w:r>
    </w:p>
    <w:p>
      <w:pPr>
        <w:spacing w:after="0" w:line="126" w:lineRule="exact"/>
        <w:rPr>
          <w:sz w:val="20"/>
          <w:szCs w:val="20"/>
          <w:color w:val="auto"/>
        </w:rPr>
      </w:pPr>
    </w:p>
    <w:p>
      <w:pPr>
        <w:jc w:val="both"/>
        <w:ind w:right="360" w:firstLine="509"/>
        <w:spacing w:after="0" w:line="253" w:lineRule="auto"/>
        <w:rPr>
          <w:sz w:val="20"/>
          <w:szCs w:val="20"/>
          <w:color w:val="auto"/>
        </w:rPr>
      </w:pPr>
      <w:r>
        <w:rPr>
          <w:rFonts w:ascii="Arial" w:cs="Arial" w:eastAsia="Arial" w:hAnsi="Arial"/>
          <w:sz w:val="18"/>
          <w:szCs w:val="18"/>
          <w:color w:val="auto"/>
        </w:rPr>
        <w:t>Our condensed consolidated balance sheets included $2.2 billion and $2.5 billion of “other liabilities” as of December 31, 2024 and March 31, 2024, respectively, which primarily consisted of deferred income taxes and the long-term portion of deferred revenues. These remaining liabilities have been excluded from the above table as the timing and/or the amount of any cash payment is uncertain.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had no material off-balance sheet arrangements at December 31, 2024 as defined in Regulation S-K Item 303(b) other than as discussed under “Contractual Obligations” above or disclosed in the notes to our condensed consolidated financial statements included in this report or in our Annual Report on Form 10-K for the year ended March 31,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63"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4" w:right="639" w:bottom="1440" w:gutter="0" w:footer="0" w:header="0"/>
        </w:sectPr>
      </w:pPr>
    </w:p>
    <w:bookmarkStart w:id="61" w:name="page62"/>
    <w:bookmarkEnd w:id="61"/>
    <w:p>
      <w:pPr>
        <w:ind w:right="5520"/>
        <w:spacing w:after="0" w:line="313"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60" w:firstLine="509"/>
        <w:spacing w:after="0" w:line="257" w:lineRule="auto"/>
        <w:rPr>
          <w:sz w:val="20"/>
          <w:szCs w:val="20"/>
          <w:color w:val="auto"/>
        </w:rPr>
      </w:pPr>
      <w:r>
        <w:rPr>
          <w:rFonts w:ascii="Arial" w:cs="Arial" w:eastAsia="Arial" w:hAnsi="Arial"/>
          <w:sz w:val="17"/>
          <w:szCs w:val="17"/>
          <w:color w:val="auto"/>
        </w:rPr>
        <w:t>Our financial instruments consist of cash and cash equivalents, restricted cash, accounts receivable, accounts payable and short-term and long-term obligations (including Viasat’s and Inmarsat’s senior secured credit facilities (collectively, the Credit Facilities) and our senior unsecured and senior secured notes (collectively, the Notes)), and interest rate cap contracts. We consider investments in highly liquid instruments purchased with a remaining maturity of three months or less at the date of purchase to be cash equivalents. Our indebtedness for borrowed money comprises borrowings under our Credit Facilities and the aggregate principal amount outstanding under our Notes. The Notes and borrowings under our Ex-Im Credit Facility bear interest at a fixed rate and therefore our exposure to market risk for changes in interest rates relates primarily to borrowings under our remaining Credit Facilities, cash equivalents and short-term obligations.</w:t>
      </w:r>
    </w:p>
    <w:p>
      <w:pPr>
        <w:spacing w:after="0" w:line="11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primary objectives of our investment activities are to preserve principal and maximize the income we receive from our investments without significantly increasing risk. To minimize this risk, we maintain a significant amount of our cash balance in money market accounts, with a significant portion held in U.S. government-backed securities and treasuries.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13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primary interest rate under our variable rate Credit Facilities is the forward-looking term SOFR rate plus an applicable margin. As of December 31, 2024, the effective interest rate on our outstanding borrowings under the 2022 Term Loan Facility was 9.51%, and under the 2023 Term Loan Facility was 10.05%. As of December 31, 2024, the weighted average effective interest rate under the Inmarsat Term Loan Facilities was approximately 9.31%. As of December 31, 2024, the effective interest rate that would have been applied to any new SOFR-based borrowings under the Viasat Revolving Credit Facility was approximately 7.53%, and under the Inmarsat Revolving Credit Facility was approximately 7.08%. As of December 31, 2024, we had no outstanding borrowings under our Revolving Credit Facilities. Accordingly, assuming the outstanding balance under the 2022 Term Loan Facility, the 2023 Term Loan Facility and the Inmarsat Term Loan Facilities remained constant over a year and we continued to have no outstanding borrowings under the Revolving Credit Facilities, a 10% increase in the interest rates would increase interest incurred, prior to effects of capitalized interest but taking into account Inmarsat's interest rate cap contracts with respect to the Inmarsat Term Loan Facilities (which mature at the end of February 2025), by approximately $23.7 million over a 12-month period.</w:t>
      </w:r>
    </w:p>
    <w:p>
      <w:pPr>
        <w:spacing w:after="0" w:line="132"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We have entered into interest rate cap contracts to hedge the variable interest rates under the Inmarsat Term Loan Facilities. The interest rate cap contracts provide protection from Compound SOFR rates over 2% and covered the total nominal amount of the Inmarsat Term Loan Facilities of $1.6 billion. As of December 31, 2024, a 100 basis point increase or decrease in interest rates would increase or decrease the carrying and fair values of the interest rate cap contract by approximately $2.5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each of the three and nine months ended December 31, 2024 and 2023.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6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2024, the end of the period covered by this report. Based upon the foregoing, our Chief Executive Officer and Chief Financial Officer concluded that our disclosure controls and procedures were effective at a reasonable assurance level as of December 31, 2024.</w:t>
      </w:r>
    </w:p>
    <w:p>
      <w:pPr>
        <w:spacing w:after="0" w:line="120"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6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2024.</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63"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2024, which factors could materially affect our business, financial condition, liquidity or future results. There have been no material changes to the risk factors described in the "Risk Factors" section in our Annual Report on Form 10-K for the fiscal year ended March 31, 2024. The risks described in our report on Forms 10-K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5. Other Information</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During the three months ended December 31, 2024, no director or officer, as defined in Rule 16a-1(f), adopted or terminated any contract, instruction or written plan for the purchase or sale of our securities that was intended to satisfy the affirmative defense conditions of Rule 10b5-1(c) or any “non Rule 10b5-1 trading arrangement” as defined in Item 408 of Regulation S-K.</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4" w:right="4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33"/>
        </w:trPr>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6"/>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4"/>
                <w:szCs w:val="14"/>
                <w:color w:val="auto"/>
              </w:rPr>
            </w:pP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4"/>
                <w:szCs w:val="14"/>
                <w:color w:val="auto"/>
              </w:rPr>
            </w:pPr>
          </w:p>
        </w:tc>
        <w:tc>
          <w:tcPr>
            <w:tcW w:w="1240" w:type="dxa"/>
            <w:vAlign w:val="bottom"/>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w:t>
            </w:r>
          </w:p>
        </w:tc>
        <w:tc>
          <w:tcPr>
            <w:tcW w:w="1240" w:type="dxa"/>
            <w:vAlign w:val="bottom"/>
          </w:tcPr>
          <w:p>
            <w:pPr>
              <w:ind w:left="26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63"/>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3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0000FF"/>
              </w:rPr>
              <w:t>Certification of Chief Executive Officer Pursuant to</w:t>
            </w:r>
          </w:p>
        </w:tc>
        <w:tc>
          <w:tcPr>
            <w:tcW w:w="10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Section 302 of the Sarbanes-Oxley Act of 2002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8"/>
          </w:tcPr>
          <w:p>
            <w:pPr>
              <w:spacing w:after="0"/>
              <w:rPr>
                <w:sz w:val="20"/>
                <w:szCs w:val="20"/>
                <w:color w:val="auto"/>
              </w:rPr>
            </w:pPr>
            <w:r>
              <w:rPr>
                <w:rFonts w:ascii="Arial" w:cs="Arial" w:eastAsia="Arial" w:hAnsi="Arial"/>
                <w:sz w:val="18"/>
                <w:szCs w:val="18"/>
                <w:color w:val="0000FF"/>
              </w:rPr>
              <w:t>Certification of Chief Financial Officer Pursuant to</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Section 302 of the Sarbanes-Oxley Act of 2002</w:t>
            </w:r>
          </w:p>
        </w:tc>
        <w:tc>
          <w:tcPr>
            <w:tcW w:w="4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8"/>
          </w:tcPr>
          <w:p>
            <w:pPr>
              <w:spacing w:after="0"/>
              <w:rPr>
                <w:sz w:val="20"/>
                <w:szCs w:val="20"/>
                <w:color w:val="auto"/>
              </w:rPr>
            </w:pPr>
            <w:r>
              <w:rPr>
                <w:rFonts w:ascii="Arial" w:cs="Arial" w:eastAsia="Arial" w:hAnsi="Arial"/>
                <w:sz w:val="18"/>
                <w:szCs w:val="18"/>
                <w:color w:val="0000FF"/>
              </w:rPr>
              <w:t>Certifications Pursuant to 18 U.S.C. Section 1350, as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Adopted Pursuant to Section 906 of the Sarbanes-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3"/>
          </w:tcPr>
          <w:p>
            <w:pPr>
              <w:spacing w:after="0"/>
              <w:rPr>
                <w:sz w:val="15"/>
                <w:szCs w:val="15"/>
                <w:color w:val="auto"/>
              </w:rPr>
            </w:pPr>
          </w:p>
        </w:tc>
        <w:tc>
          <w:tcPr>
            <w:tcW w:w="3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1080" w:type="dxa"/>
            <w:vAlign w:val="bottom"/>
          </w:tcPr>
          <w:p>
            <w:pPr>
              <w:jc w:val="center"/>
              <w:spacing w:after="0"/>
              <w:rPr>
                <w:sz w:val="20"/>
                <w:szCs w:val="20"/>
                <w:color w:val="auto"/>
              </w:rPr>
            </w:pPr>
            <w:r>
              <w:rPr>
                <w:rFonts w:ascii="Arial" w:cs="Arial" w:eastAsia="Arial" w:hAnsi="Arial"/>
                <w:sz w:val="18"/>
                <w:szCs w:val="18"/>
                <w:color w:val="auto"/>
                <w:w w:val="98"/>
              </w:rPr>
              <w:t>101.INS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8"/>
          </w:tcPr>
          <w:p>
            <w:pPr>
              <w:spacing w:after="0"/>
              <w:rPr>
                <w:sz w:val="20"/>
                <w:szCs w:val="20"/>
                <w:color w:val="auto"/>
              </w:rPr>
            </w:pPr>
            <w:r>
              <w:rPr>
                <w:rFonts w:ascii="Arial" w:cs="Arial" w:eastAsia="Arial" w:hAnsi="Arial"/>
                <w:sz w:val="18"/>
                <w:szCs w:val="18"/>
                <w:color w:val="auto"/>
              </w:rPr>
              <w:t>Inline XBRL Instance Document - the instance</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8"/>
          </w:tcPr>
          <w:p>
            <w:pPr>
              <w:spacing w:after="0" w:line="202" w:lineRule="exact"/>
              <w:rPr>
                <w:sz w:val="20"/>
                <w:szCs w:val="20"/>
                <w:color w:val="auto"/>
              </w:rPr>
            </w:pPr>
            <w:r>
              <w:rPr>
                <w:rFonts w:ascii="Arial" w:cs="Arial" w:eastAsia="Arial" w:hAnsi="Arial"/>
                <w:sz w:val="18"/>
                <w:szCs w:val="18"/>
                <w:color w:val="auto"/>
              </w:rPr>
              <w:t>document does not appear in the Interactive Data File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8"/>
          </w:tcPr>
          <w:p>
            <w:pPr>
              <w:spacing w:after="0" w:line="202" w:lineRule="exact"/>
              <w:rPr>
                <w:sz w:val="20"/>
                <w:szCs w:val="20"/>
                <w:color w:val="auto"/>
              </w:rPr>
            </w:pPr>
            <w:r>
              <w:rPr>
                <w:rFonts w:ascii="Arial" w:cs="Arial" w:eastAsia="Arial" w:hAnsi="Arial"/>
                <w:sz w:val="18"/>
                <w:szCs w:val="18"/>
                <w:color w:val="auto"/>
              </w:rPr>
              <w:t>as its XBRL tags are embedded within the inline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gridSpan w:val="8"/>
          </w:tcPr>
          <w:p>
            <w:pPr>
              <w:spacing w:after="0"/>
              <w:rPr>
                <w:sz w:val="20"/>
                <w:szCs w:val="20"/>
                <w:color w:val="auto"/>
              </w:rPr>
            </w:pPr>
            <w:r>
              <w:rPr>
                <w:rFonts w:ascii="Arial" w:cs="Arial" w:eastAsia="Arial" w:hAnsi="Arial"/>
                <w:sz w:val="18"/>
                <w:szCs w:val="18"/>
                <w:color w:val="auto"/>
              </w:rPr>
              <w:t>XBRL document.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080" w:type="dxa"/>
            <w:vAlign w:val="bottom"/>
          </w:tcPr>
          <w:p>
            <w:pPr>
              <w:jc w:val="center"/>
              <w:spacing w:after="0"/>
              <w:rPr>
                <w:sz w:val="20"/>
                <w:szCs w:val="20"/>
                <w:color w:val="auto"/>
              </w:rPr>
            </w:pPr>
            <w:r>
              <w:rPr>
                <w:rFonts w:ascii="Arial" w:cs="Arial" w:eastAsia="Arial" w:hAnsi="Arial"/>
                <w:sz w:val="18"/>
                <w:szCs w:val="18"/>
                <w:color w:val="auto"/>
                <w:w w:val="98"/>
              </w:rPr>
              <w:t>101.SCH</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with</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gridSpan w:val="8"/>
          </w:tcPr>
          <w:p>
            <w:pPr>
              <w:spacing w:after="0"/>
              <w:rPr>
                <w:sz w:val="20"/>
                <w:szCs w:val="20"/>
                <w:color w:val="auto"/>
              </w:rPr>
            </w:pPr>
            <w:r>
              <w:rPr>
                <w:rFonts w:ascii="Arial" w:cs="Arial" w:eastAsia="Arial" w:hAnsi="Arial"/>
                <w:sz w:val="18"/>
                <w:szCs w:val="18"/>
                <w:color w:val="auto"/>
              </w:rPr>
              <w:t>Embedded Linkbases Document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20" w:type="dxa"/>
            <w:vAlign w:val="bottom"/>
            <w:gridSpan w:val="8"/>
          </w:tcPr>
          <w:p>
            <w:pPr>
              <w:spacing w:after="0"/>
              <w:rPr>
                <w:sz w:val="20"/>
                <w:szCs w:val="20"/>
                <w:color w:val="auto"/>
              </w:rPr>
            </w:pPr>
            <w:r>
              <w:rPr>
                <w:rFonts w:ascii="Arial" w:cs="Arial" w:eastAsia="Arial" w:hAnsi="Arial"/>
                <w:sz w:val="18"/>
                <w:szCs w:val="18"/>
                <w:color w:val="auto"/>
              </w:rPr>
              <w:t>Cover Page (formatted as inline XBRL and contained</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gridSpan w:val="8"/>
          </w:tcPr>
          <w:p>
            <w:pPr>
              <w:spacing w:after="0"/>
              <w:rPr>
                <w:sz w:val="20"/>
                <w:szCs w:val="20"/>
                <w:color w:val="auto"/>
              </w:rPr>
            </w:pPr>
            <w:r>
              <w:rPr>
                <w:rFonts w:ascii="Arial" w:cs="Arial" w:eastAsia="Arial" w:hAnsi="Arial"/>
                <w:sz w:val="18"/>
                <w:szCs w:val="18"/>
                <w:color w:val="auto"/>
              </w:rPr>
              <w:t>in Exhibit 101)</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80" w:firstLine="8"/>
        <w:spacing w:after="0" w:line="247" w:lineRule="auto"/>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deemed furnished and not filed with the SEC and are not to be incorporated by reference into any filing of Viasat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65" w:name="page66"/>
    <w:bookmarkEnd w:id="65"/>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February 10, 2025</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8890</wp:posOffset>
            </wp:positionV>
            <wp:extent cx="3488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Mark Dankberg</w:t>
      </w:r>
    </w:p>
    <w:p>
      <w:pPr>
        <w:ind w:left="5760"/>
        <w:spacing w:after="0" w:line="234" w:lineRule="auto"/>
        <w:rPr>
          <w:sz w:val="20"/>
          <w:szCs w:val="20"/>
          <w:color w:val="auto"/>
        </w:rPr>
      </w:pPr>
      <w:r>
        <w:rPr>
          <w:rFonts w:ascii="Arial" w:cs="Arial" w:eastAsia="Arial" w:hAnsi="Arial"/>
          <w:sz w:val="18"/>
          <w:szCs w:val="18"/>
          <w:color w:val="auto"/>
        </w:rPr>
        <w:t>Chairman of the Board and Chief Executive Officer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ARRETT</w:t>
      </w:r>
      <w:r>
        <w:rPr>
          <w:rFonts w:ascii="Arial" w:cs="Arial" w:eastAsia="Arial" w:hAnsi="Arial"/>
          <w:sz w:val="18"/>
          <w:szCs w:val="18"/>
          <w:color w:val="auto"/>
        </w:rPr>
        <w:t xml:space="preserve"> C</w:t>
      </w:r>
      <w:r>
        <w:rPr>
          <w:rFonts w:ascii="Arial" w:cs="Arial" w:eastAsia="Arial" w:hAnsi="Arial"/>
          <w:sz w:val="14"/>
          <w:szCs w:val="14"/>
          <w:color w:val="auto"/>
        </w:rPr>
        <w:t>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8890</wp:posOffset>
            </wp:positionV>
            <wp:extent cx="3488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Garrett Chase</w:t>
      </w:r>
    </w:p>
    <w:p>
      <w:pPr>
        <w:ind w:left="576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w:t>
      </w:r>
    </w:p>
    <w:p>
      <w:pPr>
        <w:spacing w:after="0" w:line="18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8890</wp:posOffset>
            </wp:positionV>
            <wp:extent cx="34886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Shawn Duffy</w:t>
      </w:r>
    </w:p>
    <w:p>
      <w:pPr>
        <w:ind w:left="5760"/>
        <w:spacing w:after="0" w:line="234" w:lineRule="auto"/>
        <w:rPr>
          <w:sz w:val="20"/>
          <w:szCs w:val="20"/>
          <w:color w:val="auto"/>
        </w:rPr>
      </w:pPr>
      <w:r>
        <w:rPr>
          <w:rFonts w:ascii="Arial" w:cs="Arial" w:eastAsia="Arial" w:hAnsi="Arial"/>
          <w:sz w:val="18"/>
          <w:szCs w:val="18"/>
          <w:color w:val="auto"/>
        </w:rPr>
        <w:t>Senior Vice President and Chief Accounting Officer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58" w:right="739" w:bottom="1440" w:gutter="0" w:footer="0" w:header="0"/>
        </w:sectPr>
      </w:pPr>
    </w:p>
    <w:bookmarkStart w:id="66" w:name="page67"/>
    <w:bookmarkEnd w:id="66"/>
    <w:p>
      <w:pPr>
        <w:ind w:left="10200"/>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OF CHIEF EXECUTIVE OFFICER PURSUANT</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40" w:hanging="512"/>
        <w:spacing w:after="0" w:line="25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180" w:hanging="503"/>
        <w:spacing w:after="0" w:line="25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hanging="503"/>
        <w:spacing w:after="0" w:line="25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180" w:hanging="503"/>
        <w:spacing w:after="0" w:line="25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00" w:hanging="503"/>
        <w:spacing w:after="0" w:line="271"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February 10, 2025</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27774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67" w:name="page68"/>
    <w:bookmarkEnd w:id="67"/>
    <w:p>
      <w:pPr>
        <w:ind w:left="10200"/>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CERTIFICATION OF CHIEF FINANCIAL OFFICER PURSUANT</w:t>
      </w:r>
    </w:p>
    <w:p>
      <w:pPr>
        <w:spacing w:after="0" w:line="1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Garrett Chase,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4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18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18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00" w:hanging="503"/>
        <w:spacing w:after="0" w:line="271"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February 10, 2025</w:t>
      </w:r>
      <w:r>
        <w:rPr>
          <w:sz w:val="20"/>
          <w:szCs w:val="20"/>
          <w:color w:val="auto"/>
        </w:rPr>
        <w:tab/>
      </w:r>
      <w:r>
        <w:rPr>
          <w:rFonts w:ascii="Arial" w:cs="Arial" w:eastAsia="Arial" w:hAnsi="Arial"/>
          <w:sz w:val="18"/>
          <w:szCs w:val="18"/>
          <w:color w:val="auto"/>
        </w:rPr>
        <w:t>/s/ G</w:t>
      </w:r>
      <w:r>
        <w:rPr>
          <w:rFonts w:ascii="Arial" w:cs="Arial" w:eastAsia="Arial" w:hAnsi="Arial"/>
          <w:sz w:val="14"/>
          <w:szCs w:val="14"/>
          <w:color w:val="auto"/>
        </w:rPr>
        <w:t>ARRETT</w:t>
      </w:r>
      <w:r>
        <w:rPr>
          <w:rFonts w:ascii="Arial" w:cs="Arial" w:eastAsia="Arial" w:hAnsi="Arial"/>
          <w:sz w:val="18"/>
          <w:szCs w:val="18"/>
          <w:color w:val="auto"/>
        </w:rPr>
        <w:t xml:space="preserve"> C</w:t>
      </w:r>
      <w:r>
        <w:rPr>
          <w:rFonts w:ascii="Arial" w:cs="Arial" w:eastAsia="Arial" w:hAnsi="Arial"/>
          <w:sz w:val="14"/>
          <w:szCs w:val="14"/>
          <w:color w:val="auto"/>
        </w:rPr>
        <w:t>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27774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Garrett Chase</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68" w:name="page69"/>
    <w:bookmarkEnd w:id="68"/>
    <w:p>
      <w:pPr>
        <w:ind w:left="10200"/>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6" w:lineRule="exact"/>
        <w:rPr>
          <w:sz w:val="20"/>
          <w:szCs w:val="20"/>
          <w:color w:val="auto"/>
        </w:rPr>
      </w:pPr>
    </w:p>
    <w:p>
      <w:pPr>
        <w:ind w:left="1020" w:right="40" w:hanging="503"/>
        <w:spacing w:after="0" w:line="25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2024 (the “Report”) fully complies with the requirements of Section 13(a) or Section 15(d), as applicable, of the Securities Exchange Act of 1934, as amended;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February 10, 2025</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27774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6" w:lineRule="exact"/>
        <w:rPr>
          <w:sz w:val="20"/>
          <w:szCs w:val="20"/>
          <w:color w:val="auto"/>
        </w:rPr>
      </w:pPr>
    </w:p>
    <w:p>
      <w:pPr>
        <w:ind w:left="1020" w:right="40" w:hanging="503"/>
        <w:spacing w:after="0" w:line="25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2024 (the “Report”) fully complies with the requirements of Section 13(a) or Section 15(d), as applicable, of the Securities Exchange Act of 1934, as amended;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February 10, 2025</w:t>
      </w:r>
      <w:r>
        <w:rPr>
          <w:sz w:val="20"/>
          <w:szCs w:val="20"/>
          <w:color w:val="auto"/>
        </w:rPr>
        <w:tab/>
      </w:r>
      <w:r>
        <w:rPr>
          <w:rFonts w:ascii="Arial" w:cs="Arial" w:eastAsia="Arial" w:hAnsi="Arial"/>
          <w:sz w:val="18"/>
          <w:szCs w:val="18"/>
          <w:color w:val="auto"/>
        </w:rPr>
        <w:t>/s/ G</w:t>
      </w:r>
      <w:r>
        <w:rPr>
          <w:rFonts w:ascii="Arial" w:cs="Arial" w:eastAsia="Arial" w:hAnsi="Arial"/>
          <w:sz w:val="14"/>
          <w:szCs w:val="14"/>
          <w:color w:val="auto"/>
        </w:rPr>
        <w:t>ARRETT</w:t>
      </w:r>
      <w:r>
        <w:rPr>
          <w:rFonts w:ascii="Arial" w:cs="Arial" w:eastAsia="Arial" w:hAnsi="Arial"/>
          <w:sz w:val="18"/>
          <w:szCs w:val="18"/>
          <w:color w:val="auto"/>
        </w:rPr>
        <w:t xml:space="preserve"> C</w:t>
      </w:r>
      <w:r>
        <w:rPr>
          <w:rFonts w:ascii="Arial" w:cs="Arial" w:eastAsia="Arial" w:hAnsi="Arial"/>
          <w:sz w:val="14"/>
          <w:szCs w:val="14"/>
          <w:color w:val="auto"/>
        </w:rPr>
        <w:t>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27774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Garrett Chase</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2025-02-10T15:00:00Z</dcterms:created>
  <dcterms:modified xsi:type="dcterms:W3CDTF">2025-02-10T15:00:00Z</dcterms:modified>
</cp:coreProperties>
</file>