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Chase Garrett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VIASAT INC</w:t>
              </w:r>
            </w:hyperlink>
            <w:r>
              <w:rPr/>
              <w:t xml:space="preserve"> [ </w:t>
            </w:r>
            <w:r>
              <w:rPr>
                <w:rFonts w:ascii="Times;serif" w:hAnsi="Times;serif"/>
                <w:color w:val="0000FF"/>
                <w:sz w:val="24"/>
                <w:shd w:fill="FFFFFF" w:val="clear"/>
              </w:rPr>
              <w:t>VSAT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4"/>
        <w:gridCol w:w="916"/>
        <w:gridCol w:w="785"/>
        <w:gridCol w:w="608"/>
        <w:gridCol w:w="348"/>
        <w:gridCol w:w="839"/>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74.4451</w:t>
            </w:r>
            <w:r>
              <w:rPr>
                <w:rFonts w:ascii="Times;serif" w:hAnsi="Times;serif"/>
                <w:color w:val="008000"/>
                <w:position w:val="7"/>
                <w:sz w:val="16"/>
                <w:sz w:val="20"/>
                <w:shd w:fill="FFFFFF" w:val="clear"/>
              </w:rPr>
              <w:t>(2)</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28,279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75.3451</w:t>
            </w:r>
            <w:r>
              <w:rPr>
                <w:rFonts w:ascii="Times;serif" w:hAnsi="Times;serif"/>
                <w:color w:val="008000"/>
                <w:position w:val="7"/>
                <w:sz w:val="16"/>
                <w:sz w:val="20"/>
                <w:shd w:fill="FFFFFF" w:val="clear"/>
              </w:rPr>
              <w:t>(3)</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26,239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pursuant to Rule 10b5-1 Plan adopted on February 25,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$74.03 to $74.925.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$75.03 to $75.855.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2377" TargetMode="External"/><Relationship Id="rId5" Type="http://schemas.openxmlformats.org/officeDocument/2006/relationships/hyperlink" Target="http://www.sec.gov/cgi-bin/browse-edgar?action=getcompany&amp;CIK=0000797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741</Words>
  <Characters>3976</Characters>
  <CharactersWithSpaces>4636</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