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right="5280" w:firstLine="8"/>
        <w:spacing w:after="0" w:line="217" w:lineRule="exact"/>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VIASAT, INC.</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0"/>
          <w:szCs w:val="20"/>
          <w:color w:val="auto"/>
        </w:rPr>
      </w:pP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-130175</wp:posOffset>
            </wp:positionV>
            <wp:extent cx="3302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702945</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October 1, 2009</w:t>
      </w:r>
    </w:p>
    <w:p>
      <w:pPr>
        <w:spacing w:after="0" w:line="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Stockholder:</w:t>
      </w:r>
    </w:p>
    <w:p>
      <w:pPr>
        <w:spacing w:after="0" w:line="131"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You are cordially invited to attend our 2009 annual meeting of stockholders, which will be held at the corporate offices of ViaSat, located at 6155 El Camino Real, Carlsbad, California on October 1, 2009 at 8:30 a.m. Pacific Time. We are holding the annual meeting for the following purposes:</w:t>
      </w:r>
    </w:p>
    <w:p>
      <w:pPr>
        <w:spacing w:after="0" w:line="87" w:lineRule="exact"/>
        <w:rPr>
          <w:sz w:val="20"/>
          <w:szCs w:val="20"/>
          <w:color w:val="auto"/>
        </w:rPr>
      </w:pPr>
    </w:p>
    <w:p>
      <w:pPr>
        <w:ind w:left="1080" w:right="46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Robert W. Johnson and John P. Stenbit to serve as Class I Directors for a three-year term to expire at the 2012 annual meeting of stockholders.</w:t>
      </w:r>
    </w:p>
    <w:p>
      <w:pPr>
        <w:spacing w:after="0" w:line="75" w:lineRule="exact"/>
        <w:rPr>
          <w:rFonts w:ascii="Arial" w:cs="Arial" w:eastAsia="Arial" w:hAnsi="Arial"/>
          <w:sz w:val="18"/>
          <w:szCs w:val="18"/>
          <w:color w:val="auto"/>
        </w:rPr>
      </w:pPr>
    </w:p>
    <w:p>
      <w:pPr>
        <w:ind w:left="1080" w:right="4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ViaSat’s independent registered public accounting firm for the fiscal year ending April 2, 2010.</w:t>
      </w:r>
    </w:p>
    <w:p>
      <w:pPr>
        <w:spacing w:after="0" w:line="75" w:lineRule="exact"/>
        <w:rPr>
          <w:rFonts w:ascii="Arial" w:cs="Arial" w:eastAsia="Arial" w:hAnsi="Arial"/>
          <w:sz w:val="18"/>
          <w:szCs w:val="18"/>
          <w:color w:val="auto"/>
        </w:rPr>
      </w:pPr>
    </w:p>
    <w:p>
      <w:pPr>
        <w:ind w:left="1640" w:hanging="169"/>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Employee Stock Purchase Plan.</w:t>
      </w:r>
    </w:p>
    <w:p>
      <w:pPr>
        <w:spacing w:after="0" w:line="130" w:lineRule="exact"/>
        <w:rPr>
          <w:rFonts w:ascii="Arial" w:cs="Arial" w:eastAsia="Arial" w:hAnsi="Arial"/>
          <w:sz w:val="18"/>
          <w:szCs w:val="18"/>
          <w:color w:val="auto"/>
        </w:rPr>
      </w:pPr>
    </w:p>
    <w:p>
      <w:pPr>
        <w:ind w:left="1080" w:right="120" w:firstLine="391"/>
        <w:spacing w:after="0" w:line="277" w:lineRule="auto"/>
        <w:tabs>
          <w:tab w:leader="none" w:pos="1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 or any adjournments or postponements of the meeting.</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All stockholders of record at the close of business on August 10, 2009, the record date, are entitled to vote at the annual meeting.</w:t>
      </w:r>
    </w:p>
    <w:p>
      <w:pPr>
        <w:spacing w:after="0" w:line="46"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b w:val="1"/>
          <w:bCs w:val="1"/>
          <w:color w:val="auto"/>
        </w:rPr>
        <w:t xml:space="preserve">Your vote is very important. Whether or not you expect to attend the annual meeting in person, please complete, sign, date and return the enclosed proxy card as soon as possible to ensure that your shares are represented at the annual meeting. </w:t>
      </w:r>
      <w:r>
        <w:rPr>
          <w:rFonts w:ascii="Arial" w:cs="Arial" w:eastAsia="Arial" w:hAnsi="Arial"/>
          <w:sz w:val="18"/>
          <w:szCs w:val="18"/>
          <w:color w:val="auto"/>
        </w:rPr>
        <w:t>If your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held in “street name,” which means your shares are held of record by a broker, bank or other nominee, you must provide your broker, bank or nominee with instructions on how to vote your shares.</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Mark D. Dankberg</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329565</wp:posOffset>
            </wp:positionV>
            <wp:extent cx="6598920" cy="707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8920" cy="70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PLEASE SIGN, DATE AND RETURN THE ACCOMPANYING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647065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419"/>
        </w:trPr>
        <w:tc>
          <w:tcPr>
            <w:tcW w:w="700" w:type="dxa"/>
            <w:vAlign w:val="bottom"/>
          </w:tcPr>
          <w:p>
            <w:pPr>
              <w:spacing w:after="0"/>
              <w:rPr>
                <w:sz w:val="24"/>
                <w:szCs w:val="24"/>
                <w:color w:val="auto"/>
              </w:rPr>
            </w:pPr>
          </w:p>
        </w:tc>
        <w:tc>
          <w:tcPr>
            <w:tcW w:w="9340" w:type="dxa"/>
            <w:vAlign w:val="bottom"/>
            <w:gridSpan w:val="4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ABOUT THE ANNUAL MEETING AND VOTING</w:t>
              </w:r>
            </w:hyperlink>
          </w:p>
        </w:tc>
        <w:tc>
          <w:tcPr>
            <w:tcW w:w="1380" w:type="dxa"/>
            <w:vAlign w:val="bottom"/>
          </w:tcPr>
          <w:p>
            <w:pPr>
              <w:jc w:val="right"/>
              <w:ind w:right="770"/>
              <w:spacing w:after="0"/>
              <w:rPr>
                <w:sz w:val="20"/>
                <w:szCs w:val="20"/>
                <w:color w:val="auto"/>
              </w:rPr>
            </w:pPr>
            <w:r>
              <w:rPr>
                <w:rFonts w:ascii="Arial" w:cs="Arial" w:eastAsia="Arial" w:hAnsi="Arial"/>
                <w:sz w:val="18"/>
                <w:szCs w:val="18"/>
                <w:b w:val="1"/>
                <w:bCs w:val="1"/>
                <w:color w:val="auto"/>
              </w:rPr>
              <w:t>1</w:t>
            </w:r>
          </w:p>
        </w:tc>
      </w:tr>
      <w:tr>
        <w:trPr>
          <w:trHeight w:val="196"/>
        </w:trPr>
        <w:tc>
          <w:tcPr>
            <w:tcW w:w="700" w:type="dxa"/>
            <w:vAlign w:val="bottom"/>
          </w:tcPr>
          <w:p>
            <w:pPr>
              <w:spacing w:after="0"/>
              <w:rPr>
                <w:sz w:val="17"/>
                <w:szCs w:val="17"/>
                <w:color w:val="auto"/>
              </w:rPr>
            </w:pPr>
          </w:p>
        </w:tc>
        <w:tc>
          <w:tcPr>
            <w:tcW w:w="6300" w:type="dxa"/>
            <w:vAlign w:val="bottom"/>
            <w:tcBorders>
              <w:top w:val="single" w:sz="8" w:color="0000EE"/>
            </w:tcBorders>
            <w:gridSpan w:val="37"/>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CORPORATE GOVERNANCE PRINCIPLES AND BOARD MATTERS</w:t>
              </w:r>
            </w:hyperlink>
          </w:p>
        </w:tc>
        <w:tc>
          <w:tcPr>
            <w:tcW w:w="3040" w:type="dxa"/>
            <w:vAlign w:val="bottom"/>
            <w:gridSpan w:val="3"/>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Board Independence</w:t>
              </w:r>
            </w:hyperlink>
          </w:p>
        </w:tc>
        <w:tc>
          <w:tcPr>
            <w:tcW w:w="4000" w:type="dxa"/>
            <w:vAlign w:val="bottom"/>
            <w:tcBorders>
              <w:top w:val="single" w:sz="8" w:color="0000EE"/>
            </w:tcBorders>
            <w:gridSpan w:val="29"/>
          </w:tcPr>
          <w:p>
            <w:pPr>
              <w:spacing w:after="0"/>
              <w:rPr>
                <w:sz w:val="17"/>
                <w:szCs w:val="17"/>
                <w:color w:val="auto"/>
              </w:rPr>
            </w:pPr>
          </w:p>
        </w:tc>
        <w:tc>
          <w:tcPr>
            <w:tcW w:w="3680" w:type="dxa"/>
            <w:vAlign w:val="bottom"/>
            <w:gridSpan w:val="4"/>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Board Structure and Committee Composition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Director Nomination Process</w:t>
              </w:r>
            </w:hyperlink>
          </w:p>
        </w:tc>
        <w:tc>
          <w:tcPr>
            <w:tcW w:w="1160" w:type="dxa"/>
            <w:vAlign w:val="bottom"/>
            <w:tcBorders>
              <w:top w:val="single" w:sz="8" w:color="0000EE"/>
            </w:tcBorders>
            <w:gridSpan w:val="14"/>
          </w:tcPr>
          <w:p>
            <w:pPr>
              <w:spacing w:after="0"/>
              <w:rPr>
                <w:sz w:val="17"/>
                <w:szCs w:val="17"/>
                <w:color w:val="auto"/>
              </w:rPr>
            </w:pPr>
          </w:p>
        </w:tc>
        <w:tc>
          <w:tcPr>
            <w:tcW w:w="5900" w:type="dxa"/>
            <w:vAlign w:val="bottom"/>
            <w:gridSpan w:val="15"/>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Communications with the Board</w:t>
              </w:r>
            </w:hyperlink>
          </w:p>
        </w:tc>
        <w:tc>
          <w:tcPr>
            <w:tcW w:w="6820" w:type="dxa"/>
            <w:vAlign w:val="bottom"/>
            <w:gridSpan w:val="26"/>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1: ELECTION OF DIRECTORS</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3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Overview</w:t>
              </w:r>
            </w:hyperlink>
          </w:p>
        </w:tc>
        <w:tc>
          <w:tcPr>
            <w:tcW w:w="5780" w:type="dxa"/>
            <w:vAlign w:val="bottom"/>
            <w:gridSpan w:val="14"/>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Class I Directors with Terms Expiring at this Annual Meeting</w:t>
              </w:r>
            </w:hyperlink>
          </w:p>
        </w:tc>
        <w:tc>
          <w:tcPr>
            <w:tcW w:w="4720" w:type="dxa"/>
            <w:vAlign w:val="bottom"/>
            <w:gridSpan w:val="8"/>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Class II Directors with Terms Expiring in 2010</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Class III Directors with Terms Expiring in 2011</w:t>
              </w:r>
            </w:hyperlink>
          </w:p>
        </w:tc>
        <w:tc>
          <w:tcPr>
            <w:tcW w:w="5720" w:type="dxa"/>
            <w:vAlign w:val="bottom"/>
            <w:gridSpan w:val="13"/>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Recommendation of the Board</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12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2: RATIFICATION OF APPOINTMENT OF INDEPENDENT REGISTERED PUBLIC ACCOUNTING</w:t>
              </w:r>
            </w:hyperlink>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FIRM</w:t>
              </w:r>
            </w:hyperlink>
          </w:p>
        </w:tc>
        <w:tc>
          <w:tcPr>
            <w:tcW w:w="8680" w:type="dxa"/>
            <w:vAlign w:val="bottom"/>
            <w:gridSpan w:val="38"/>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Overview</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Principal Accountant Fees and Services</w:t>
              </w:r>
            </w:hyperlink>
          </w:p>
        </w:tc>
        <w:tc>
          <w:tcPr>
            <w:tcW w:w="6300" w:type="dxa"/>
            <w:vAlign w:val="bottom"/>
            <w:gridSpan w:val="18"/>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Pre-Approval Policy of the Audit Committee</w:t>
              </w:r>
            </w:hyperlink>
          </w:p>
        </w:tc>
        <w:tc>
          <w:tcPr>
            <w:tcW w:w="5920" w:type="dxa"/>
            <w:vAlign w:val="bottom"/>
            <w:gridSpan w:val="16"/>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12</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the Board</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3: AMENDMENT TO THE EMPLOYEE STOCK PURCHASE PLAN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Overview</w:t>
              </w:r>
            </w:hyperlink>
          </w:p>
        </w:tc>
        <w:tc>
          <w:tcPr>
            <w:tcW w:w="2880" w:type="dxa"/>
            <w:vAlign w:val="bottom"/>
            <w:gridSpan w:val="2"/>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Purpose of the Purchase Plan</w:t>
              </w:r>
            </w:hyperlink>
          </w:p>
        </w:tc>
        <w:tc>
          <w:tcPr>
            <w:tcW w:w="7060" w:type="dxa"/>
            <w:vAlign w:val="bottom"/>
            <w:gridSpan w:val="29"/>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Summary of the Purchase Plan</w:t>
              </w:r>
            </w:hyperlink>
          </w:p>
        </w:tc>
        <w:tc>
          <w:tcPr>
            <w:tcW w:w="6940" w:type="dxa"/>
            <w:vAlign w:val="bottom"/>
            <w:gridSpan w:val="27"/>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 Federal Income Tax Consequences</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15</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New Plan Benefits</w:t>
              </w:r>
            </w:hyperlink>
          </w:p>
        </w:tc>
        <w:tc>
          <w:tcPr>
            <w:tcW w:w="6300" w:type="dxa"/>
            <w:vAlign w:val="bottom"/>
            <w:gridSpan w:val="18"/>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Recommendation of the Board</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OWNERSHIP OF SECURITIES</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Beneficial Ownership Table</w:t>
              </w:r>
            </w:hyperlink>
          </w:p>
        </w:tc>
        <w:tc>
          <w:tcPr>
            <w:tcW w:w="340" w:type="dxa"/>
            <w:vAlign w:val="bottom"/>
            <w:tcBorders>
              <w:top w:val="single" w:sz="8" w:color="0000EE"/>
            </w:tcBorders>
            <w:gridSpan w:val="5"/>
          </w:tcPr>
          <w:p>
            <w:pPr>
              <w:spacing w:after="0"/>
              <w:rPr>
                <w:sz w:val="17"/>
                <w:szCs w:val="17"/>
                <w:color w:val="auto"/>
              </w:rPr>
            </w:pPr>
          </w:p>
        </w:tc>
        <w:tc>
          <w:tcPr>
            <w:tcW w:w="6800" w:type="dxa"/>
            <w:vAlign w:val="bottom"/>
            <w:gridSpan w:val="25"/>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17</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Section 16(a) Beneficial Ownership Reporting Compliance</w:t>
              </w:r>
            </w:hyperlink>
          </w:p>
        </w:tc>
        <w:tc>
          <w:tcPr>
            <w:tcW w:w="4900" w:type="dxa"/>
            <w:vAlign w:val="bottom"/>
            <w:gridSpan w:val="9"/>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18</w:t>
            </w: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COMPENSATION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19</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19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4"/>
          </w:tcPr>
          <w:p>
            <w:pPr>
              <w:spacing w:after="0"/>
              <w:rPr>
                <w:sz w:val="17"/>
                <w:szCs w:val="17"/>
                <w:color w:val="auto"/>
              </w:rPr>
            </w:pPr>
          </w:p>
        </w:tc>
        <w:tc>
          <w:tcPr>
            <w:tcW w:w="6320" w:type="dxa"/>
            <w:vAlign w:val="bottom"/>
            <w:gridSpan w:val="19"/>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26</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Summary Compensation Table</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Grants of Plan-Based Awards in Fiscal 2009</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Outstanding Equity Awards at 2009 Fiscal Year-End</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29</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Option Exercises and Stock Vested in Fiscal 2009</w:t>
              </w:r>
            </w:hyperlink>
          </w:p>
        </w:tc>
        <w:tc>
          <w:tcPr>
            <w:tcW w:w="180" w:type="dxa"/>
            <w:vAlign w:val="bottom"/>
            <w:tcBorders>
              <w:top w:val="single" w:sz="8" w:color="0000EE"/>
            </w:tcBorders>
            <w:gridSpan w:val="2"/>
          </w:tcPr>
          <w:p>
            <w:pPr>
              <w:spacing w:after="0"/>
              <w:rPr>
                <w:sz w:val="17"/>
                <w:szCs w:val="17"/>
                <w:color w:val="auto"/>
              </w:rPr>
            </w:pPr>
          </w:p>
        </w:tc>
        <w:tc>
          <w:tcPr>
            <w:tcW w:w="5400" w:type="dxa"/>
            <w:vAlign w:val="bottom"/>
            <w:gridSpan w:val="10"/>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Equity Compensation Plan Information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30</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Pension Benefits</w:t>
              </w:r>
            </w:hyperlink>
          </w:p>
        </w:tc>
        <w:tc>
          <w:tcPr>
            <w:tcW w:w="6340" w:type="dxa"/>
            <w:vAlign w:val="bottom"/>
            <w:gridSpan w:val="20"/>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Nonqualified Deferred Compensation</w:t>
              </w:r>
            </w:hyperlink>
          </w:p>
        </w:tc>
        <w:tc>
          <w:tcPr>
            <w:tcW w:w="6440" w:type="dxa"/>
            <w:vAlign w:val="bottom"/>
            <w:gridSpan w:val="22"/>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Potential Payments Upon Termination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Director Compensation</w:t>
              </w:r>
            </w:hyperlink>
          </w:p>
        </w:tc>
        <w:tc>
          <w:tcPr>
            <w:tcW w:w="1060" w:type="dxa"/>
            <w:vAlign w:val="bottom"/>
            <w:tcBorders>
              <w:top w:val="single" w:sz="8" w:color="0000EE"/>
            </w:tcBorders>
            <w:gridSpan w:val="11"/>
          </w:tcPr>
          <w:p>
            <w:pPr>
              <w:spacing w:after="0"/>
              <w:rPr>
                <w:sz w:val="17"/>
                <w:szCs w:val="17"/>
                <w:color w:val="auto"/>
              </w:rPr>
            </w:pPr>
          </w:p>
        </w:tc>
        <w:tc>
          <w:tcPr>
            <w:tcW w:w="6420" w:type="dxa"/>
            <w:vAlign w:val="bottom"/>
            <w:gridSpan w:val="21"/>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31</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Compensation Committee Interlocks and Insider Participation</w:t>
              </w:r>
            </w:hyperlink>
          </w:p>
        </w:tc>
        <w:tc>
          <w:tcPr>
            <w:tcW w:w="4700" w:type="dxa"/>
            <w:vAlign w:val="bottom"/>
            <w:gridSpan w:val="7"/>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32</w:t>
            </w: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CERTAIN RELATIONSHIPS AND RELATED TRANSACTIONS</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9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Review and Approval of Related Party Transactions</w:t>
              </w:r>
            </w:hyperlink>
          </w:p>
        </w:tc>
        <w:tc>
          <w:tcPr>
            <w:tcW w:w="4220" w:type="dxa"/>
            <w:vAlign w:val="bottom"/>
            <w:gridSpan w:val="6"/>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33</w:t>
            </w: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Related Party Transactions</w:t>
              </w:r>
            </w:hyperlink>
          </w:p>
        </w:tc>
        <w:tc>
          <w:tcPr>
            <w:tcW w:w="5420" w:type="dxa"/>
            <w:vAlign w:val="bottom"/>
            <w:gridSpan w:val="11"/>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AUDIT COMMITTEE REPORT</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700" w:type="dxa"/>
            <w:vAlign w:val="bottom"/>
          </w:tcPr>
          <w:p>
            <w:pPr>
              <w:spacing w:after="0"/>
              <w:rPr>
                <w:sz w:val="17"/>
                <w:szCs w:val="17"/>
                <w:color w:val="auto"/>
              </w:rPr>
            </w:pPr>
          </w:p>
        </w:tc>
        <w:tc>
          <w:tcPr>
            <w:tcW w:w="258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MATTERS</w:t>
              </w:r>
            </w:hyperlink>
          </w:p>
        </w:tc>
        <w:tc>
          <w:tcPr>
            <w:tcW w:w="6760" w:type="dxa"/>
            <w:vAlign w:val="bottom"/>
            <w:gridSpan w:val="24"/>
          </w:tcPr>
          <w:p>
            <w:pPr>
              <w:spacing w:after="0"/>
              <w:rPr>
                <w:sz w:val="17"/>
                <w:szCs w:val="17"/>
                <w:color w:val="auto"/>
              </w:rPr>
            </w:pPr>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35</w:t>
            </w:r>
          </w:p>
        </w:tc>
      </w:tr>
      <w:tr>
        <w:trPr>
          <w:trHeight w:val="20"/>
        </w:trPr>
        <w:tc>
          <w:tcPr>
            <w:tcW w:w="70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4060" w:type="dxa"/>
            <w:vAlign w:val="bottom"/>
            <w:gridSpan w:val="29"/>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340" w:type="dxa"/>
            <w:vAlign w:val="bottom"/>
            <w:gridSpan w:val="4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APPENDIX A: VIASAT, INC. EMPLOYEE STOCK PURCHASE PLAN</w:t>
              </w:r>
            </w:hyperlink>
          </w:p>
        </w:tc>
        <w:tc>
          <w:tcPr>
            <w:tcW w:w="1380" w:type="dxa"/>
            <w:vAlign w:val="bottom"/>
          </w:tcPr>
          <w:p>
            <w:pPr>
              <w:jc w:val="right"/>
              <w:ind w:right="770"/>
              <w:spacing w:after="0" w:line="196" w:lineRule="exact"/>
              <w:rPr>
                <w:sz w:val="20"/>
                <w:szCs w:val="20"/>
                <w:color w:val="auto"/>
              </w:rPr>
            </w:pPr>
            <w:r>
              <w:rPr>
                <w:rFonts w:ascii="Arial" w:cs="Arial" w:eastAsia="Arial" w:hAnsi="Arial"/>
                <w:sz w:val="18"/>
                <w:szCs w:val="18"/>
                <w:b w:val="1"/>
                <w:bCs w:val="1"/>
                <w:color w:val="auto"/>
              </w:rPr>
              <w:t>A-1</w:t>
            </w:r>
          </w:p>
        </w:tc>
      </w:tr>
      <w:tr>
        <w:trPr>
          <w:trHeight w:val="247"/>
        </w:trPr>
        <w:tc>
          <w:tcPr>
            <w:tcW w:w="700" w:type="dxa"/>
            <w:vAlign w:val="bottom"/>
            <w:tcBorders>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50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24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3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500" w:type="dxa"/>
            <w:vAlign w:val="bottom"/>
            <w:tcBorders>
              <w:top w:val="single" w:sz="8" w:color="0000EE"/>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80" w:type="dxa"/>
            <w:vAlign w:val="bottom"/>
            <w:tcBorders>
              <w:top w:val="single" w:sz="8" w:color="0000EE"/>
              <w:bottom w:val="single" w:sz="8" w:color="808080"/>
            </w:tcBorders>
          </w:tcPr>
          <w:p>
            <w:pPr>
              <w:spacing w:after="0"/>
              <w:rPr>
                <w:sz w:val="21"/>
                <w:szCs w:val="21"/>
                <w:color w:val="auto"/>
              </w:rPr>
            </w:pPr>
          </w:p>
        </w:tc>
        <w:tc>
          <w:tcPr>
            <w:tcW w:w="500" w:type="dxa"/>
            <w:vAlign w:val="bottom"/>
            <w:tcBorders>
              <w:top w:val="single" w:sz="8" w:color="0000EE"/>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6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100330</wp:posOffset>
            </wp:positionV>
            <wp:extent cx="1132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97155</wp:posOffset>
            </wp:positionV>
            <wp:extent cx="1132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6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October 1, 2009 at 8:30 a.m. Pacific Time at the corporate offices of ViaSat, located at 6155 El Camino Real, Carlsbad, California, and at any adjournments or postponements of the meeting, for the purposes set forth in the “Notice of Annual Meeting of Stockholders.”</w:t>
      </w:r>
    </w:p>
    <w:p>
      <w:pPr>
        <w:spacing w:after="0" w:line="2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We sent you this proxy statement and the enclosed proxy card because ViaSat’s Board of Directors is soliciting your proxy to vote at the 2009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60"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intend to begin mailing this proxy statement, the attached notice of annual meeting and the enclosed proxy card on or about August 21, 2009 to all stockholders of record entitled to vote at the annual meeting. Only stockholders who owned ViaSat common stock at the close of business on the record date, August 10, 2009, are entitled to vote at the annual meeting. On this record date, there were 31,610,466 shares of ViaSat common stock outstanding. Common stock is our only class of stock entitled to vote. We are also sending along with this proxy statement our 2009 fiscal year annual report, which includes our financial statements.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am I voting 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131" w:lineRule="exact"/>
        <w:rPr>
          <w:sz w:val="20"/>
          <w:szCs w:val="20"/>
          <w:color w:val="auto"/>
        </w:rPr>
      </w:pPr>
    </w:p>
    <w:p>
      <w:pPr>
        <w:ind w:left="130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Robert W. Johnson and John P. Stenbit to serve as Class I Directors for a three-year term to expire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2012 annual meeting of stockholders.</w:t>
      </w:r>
    </w:p>
    <w:p>
      <w:pPr>
        <w:spacing w:after="0" w:line="62" w:lineRule="exact"/>
        <w:rPr>
          <w:rFonts w:ascii="Arial" w:cs="Arial" w:eastAsia="Arial" w:hAnsi="Arial"/>
          <w:sz w:val="18"/>
          <w:szCs w:val="18"/>
          <w:color w:val="auto"/>
        </w:rPr>
      </w:pPr>
    </w:p>
    <w:p>
      <w:pPr>
        <w:ind w:left="1300" w:right="80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2010 fiscal year.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amendment to the Employee Stock Purchase Plan.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31"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7"/>
          <w:szCs w:val="17"/>
          <w:color w:val="auto"/>
        </w:rPr>
        <w:t xml:space="preserve">Our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director nominees listed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appointment of PricewaterhouseCoopers as ViaSat’s independent registered public accounting firm (Proposal 2),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amendment to the Employee Stock Purchase Plan (Proposal 3).</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 are entitled to one vote for every share of ViaSat common stock that you own as of the close of business on August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by proxy?</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complete, sign, date and return the enclosed proxy card as soon as possible to ensure that your vote is recorded promptly. Returning the proxy card will not affect your right to attend the annual meeting or vote your shares in person.</w:t>
      </w:r>
    </w:p>
    <w:p>
      <w:pPr>
        <w:spacing w:after="0" w:line="87" w:lineRule="exact"/>
        <w:rPr>
          <w:sz w:val="20"/>
          <w:szCs w:val="20"/>
          <w:color w:val="auto"/>
        </w:rPr>
      </w:pPr>
    </w:p>
    <w:p>
      <w:pPr>
        <w:ind w:left="700" w:right="720" w:firstLine="397"/>
        <w:spacing w:after="0" w:line="264" w:lineRule="auto"/>
        <w:rPr>
          <w:sz w:val="20"/>
          <w:szCs w:val="20"/>
          <w:color w:val="auto"/>
        </w:rPr>
      </w:pPr>
      <w:r>
        <w:rPr>
          <w:rFonts w:ascii="Arial" w:cs="Arial" w:eastAsia="Arial" w:hAnsi="Arial"/>
          <w:sz w:val="18"/>
          <w:szCs w:val="18"/>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7" w:lineRule="exact"/>
        <w:rPr>
          <w:sz w:val="20"/>
          <w:szCs w:val="20"/>
          <w:color w:val="auto"/>
        </w:rPr>
      </w:pPr>
    </w:p>
    <w:p>
      <w:pPr>
        <w:jc w:val="both"/>
        <w:ind w:left="700" w:right="180" w:firstLine="397"/>
        <w:spacing w:after="0" w:line="259" w:lineRule="auto"/>
        <w:rPr>
          <w:sz w:val="20"/>
          <w:szCs w:val="20"/>
          <w:color w:val="auto"/>
        </w:rPr>
      </w:pPr>
      <w:r>
        <w:rPr>
          <w:rFonts w:ascii="Arial" w:cs="Arial" w:eastAsia="Arial" w:hAnsi="Arial"/>
          <w:sz w:val="18"/>
          <w:szCs w:val="18"/>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May I revoke my proxy?</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76"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in another signed proxy bearing a later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nominee, you must contact your broker, bank or nominee to revoke any prior instructions.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in person?</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you plan to attend the annual meeting and wish vote in person, we will give you a ballot when you arrive. However, if your shares are held in street name and you wish to vote at the annual meeting, you must bring to the annual meeting a “legal proxy” from the broker, bank or nominee that holds your shares. The legal proxy will give you the right to vote the shares. Even if you plan to attend the annual meeting, we recommend that you also vote by proxy as described above so that your vote will be counted if you later decide not to attend the meeting.</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135"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or voting instruction card in the self-addressed, postage-paid envelope provided.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can I attend the annual meeting?</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You are entitled to attend the annual meeting only if you were a ViaSat stockholder or joint holder as of the close of business on the record date, August 10, 2009,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August 10, 2009. If you do not</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provide photo identification or comply with the other procedures outlined above, you will not be admitted to the annual meeting.</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A quorum is present when at least a majority of the outstanding shares entitled to vote are represented at the annual meeting either in person or by proxy. This year, approximately 15,805,234 shares must be represented to constitute a quorum at the meeting and permit us to conduct our business.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 the election of directors, the two nominees for director who receive the most votes will be elected. All other proposals require the favorable vote of a majority of those shares present, in person or by proxy, and entitled to vote on that proposal. Voting results will be tabulated and certified by our transfer agent, Computershare.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135"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 Because directors are elected by a plurality of votes cast, abstentions will have no effect on the election of directors. With respect to all other proposals, abstentions have the same effect as a vote “AGAINST” the proposal.</w:t>
      </w:r>
    </w:p>
    <w:p>
      <w:pPr>
        <w:spacing w:after="0" w:line="92"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Shares represented by proxies that reflect a “broker non-vote” will be counted for purposes of determining whether a quorum exists. A broker non-vote occurs when a nominee holding shares for a beneficial owner has not received instructions from the beneficial owner and does not have discretionary authority to vote the shares for a particular proposal. In tabulating the voting results for any such proposal, shares that constitute broker non-votes are not considered entitled to vote on that proposal. Thus, broker non-votes will not affect the outcome of any matter being voted on at the meeting, assuming that a quorum is obtained.</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68"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71" w:lineRule="exact"/>
        <w:rPr>
          <w:sz w:val="20"/>
          <w:szCs w:val="20"/>
          <w:color w:val="auto"/>
        </w:rPr>
      </w:pPr>
    </w:p>
    <w:p>
      <w:pPr>
        <w:ind w:left="700" w:right="60" w:firstLine="397"/>
        <w:spacing w:after="0" w:line="283"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 permit companies, brokers, banks or other intermediaries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intermediary,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other intermediary.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w:t>
      </w:r>
    </w:p>
    <w:p>
      <w:pPr>
        <w:spacing w:after="0" w:line="6" w:lineRule="exact"/>
        <w:rPr>
          <w:sz w:val="20"/>
          <w:szCs w:val="20"/>
          <w:color w:val="auto"/>
        </w:rPr>
      </w:pPr>
    </w:p>
    <w:p>
      <w:pPr>
        <w:jc w:val="center"/>
        <w:ind w:left="5620" w:right="820" w:hanging="4927"/>
        <w:spacing w:after="0" w:line="730" w:lineRule="auto"/>
        <w:tabs>
          <w:tab w:leader="none" w:pos="1136" w:val="left"/>
        </w:tabs>
        <w:numPr>
          <w:ilvl w:val="0"/>
          <w:numId w:val="7"/>
        </w:numPr>
        <w:rPr>
          <w:rFonts w:ascii="Arial" w:cs="Arial" w:eastAsia="Arial" w:hAnsi="Arial"/>
          <w:sz w:val="18"/>
          <w:szCs w:val="18"/>
          <w:color w:val="auto"/>
        </w:rPr>
      </w:pPr>
      <w:r>
        <w:rPr>
          <w:rFonts w:ascii="Arial" w:cs="Arial" w:eastAsia="Arial" w:hAnsi="Arial"/>
          <w:sz w:val="18"/>
          <w:szCs w:val="18"/>
          <w:color w:val="auto"/>
        </w:rPr>
        <w:t>476-2633. We will promptly send additional copies of the annual report or proxy statement upon receipt of such request.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4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ViaSat annual meeting of stockholders to be held on October 1, 2009</w:t>
      </w:r>
    </w:p>
    <w:p>
      <w:pPr>
        <w:spacing w:after="0" w:line="7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 xml:space="preserve">Under rules recently adopted by the SEC, we are also furnishing proxy materials to our stockholders via the internet. This new process is designed to expedite stockholders’ receipt of proxy materials, lower the cost of the annual meeting and help conserve natural resources. </w:t>
      </w:r>
      <w:r>
        <w:rPr>
          <w:rFonts w:ascii="Arial" w:cs="Arial" w:eastAsia="Arial" w:hAnsi="Arial"/>
          <w:sz w:val="17"/>
          <w:szCs w:val="17"/>
          <w:b w:val="1"/>
          <w:bCs w:val="1"/>
          <w:color w:val="auto"/>
        </w:rPr>
        <w:t>This proxy statement and our annual report to stockholders are available on the “Investor Relations” section of our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website at </w:t>
      </w:r>
      <w:r>
        <w:rPr>
          <w:rFonts w:ascii="Arial" w:cs="Arial" w:eastAsia="Arial" w:hAnsi="Arial"/>
          <w:sz w:val="17"/>
          <w:szCs w:val="17"/>
          <w:b w:val="1"/>
          <w:bCs w:val="1"/>
          <w:i w:val="1"/>
          <w:iCs w:val="1"/>
          <w:color w:val="auto"/>
        </w:rPr>
        <w:t>investors.viasat.com.</w:t>
      </w:r>
      <w:r>
        <w:rPr>
          <w:rFonts w:ascii="Arial" w:cs="Arial" w:eastAsia="Arial" w:hAnsi="Arial"/>
          <w:sz w:val="17"/>
          <w:szCs w:val="17"/>
          <w:b w:val="1"/>
          <w:bCs w:val="1"/>
          <w:color w:val="auto"/>
        </w:rPr>
        <w:t xml:space="preserve"> </w:t>
      </w:r>
      <w:r>
        <w:rPr>
          <w:rFonts w:ascii="Arial" w:cs="Arial" w:eastAsia="Arial" w:hAnsi="Arial"/>
          <w:sz w:val="17"/>
          <w:szCs w:val="17"/>
          <w:color w:val="auto"/>
        </w:rPr>
        <w:t>If you are a stockholder of record, you can elect to access future proxy statements and annual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nominee for instructions on how to elect this option.</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419"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8"/>
          <w:szCs w:val="18"/>
          <w:i w:val="1"/>
          <w:iCs w:val="1"/>
          <w:color w:val="auto"/>
        </w:rPr>
        <w:t>investors.viasat.com</w:t>
      </w:r>
      <w:r>
        <w:rPr>
          <w:rFonts w:ascii="Arial" w:cs="Arial" w:eastAsia="Arial" w:hAnsi="Arial"/>
          <w:sz w:val="18"/>
          <w:szCs w:val="18"/>
          <w:color w:val="auto"/>
        </w:rPr>
        <w: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Independence</w:t>
      </w:r>
    </w:p>
    <w:p>
      <w:pPr>
        <w:spacing w:after="0" w:line="135"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The criteria established by The Nasdaq Stock Market, or Nasdaq, for director independence include various objective standards and a subjective test. A member of the Board of Directors is not considered independent under the objective standards if, for example, he or she is (1) an employee of ViaSat, or (2) a partner in, or an executive officer of, an entity to which ViaSat made, or from which ViaSat received, payments in the current or any of the past three fiscal years that exceed 5% of the recipient’s consolidated gross revenues for that year. The subjective test requires that each independent director not have a relationship which, in the opinion of the Board, would interfere with the exercise of independent judgment in carrying out the responsibilities of a director.</w:t>
      </w:r>
    </w:p>
    <w:p>
      <w:pPr>
        <w:spacing w:after="0" w:line="7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None of the directors was disqualified from independent status under the objective standards, other than Mr. Dankberg, who does not qualify as independent because he is a ViaSat employee, and Mr. Targoff, who currently serves as the Chief Executive Officer and as a member of the board of directors of Loral Space &amp; Communications Inc. (Loral), a company to which we have made payments related to the construction of our high-capacity ViaSat-1 satellite in an amount that exceeds 5% of Loral’s consolidated gross revenues during the relevant period.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In conducting this evaluation, the Board considered the following relationship that did not exceed Nasdaq objective standards but was identified by the Nomination and Evaluation Committee for further consideration by the Board under the subjective standard: Mr. Stenbit is a non-employee director of Loral, a company with which we do business, as described above. The nature of these relationships and transactions are described in greater detail in “Certain Relationships and Related Transactions.” Based on all of the foregoing, the Board made a subjective determination that Mr. Stenbit maintains the ability to exercise independent judgment in carrying out the responsibilities of a director.</w:t>
      </w:r>
    </w:p>
    <w:p>
      <w:pPr>
        <w:spacing w:after="0" w:line="80"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As a result, the Board of Directors affirmatively determined that each member of the Board other than Messrs. Dankberg and Targoff is independent under the criteria established by Nasdaq for director independence. In addition to the Board level standards for director independence, all members of the Audit Committee, Compensation and Human Resources Committee, and Nomination and Evaluation Committee are independent directors.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 xml:space="preserve">As of the date of this proxy statement, our Board of Directors has seven directors and the following five committees: (1) Audit Committee, (2) Compensation and Human Resources Committee, (3) Nomination and Evaluation Committee, (4) Corporate Governance Committee, and (5) Banking/Finance Committee. The membership during the last year and the function of each of the committees are described below. Each of the committees operates under a written charter which can be found on the “Investor Relations” section of our website at </w:t>
      </w:r>
      <w:r>
        <w:rPr>
          <w:rFonts w:ascii="Arial" w:cs="Arial" w:eastAsia="Arial" w:hAnsi="Arial"/>
          <w:sz w:val="17"/>
          <w:szCs w:val="17"/>
          <w:i w:val="1"/>
          <w:iCs w:val="1"/>
          <w:color w:val="auto"/>
        </w:rPr>
        <w:t>investors.viasat.com</w:t>
      </w:r>
      <w:r>
        <w:rPr>
          <w:rFonts w:ascii="Arial" w:cs="Arial" w:eastAsia="Arial" w:hAnsi="Arial"/>
          <w:sz w:val="17"/>
          <w:szCs w:val="17"/>
          <w:color w:val="auto"/>
        </w:rPr>
        <w:t>. During our fiscal year ended April 3, 2009, the Board held five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Six of our directors attended last year’s annual meeting of stockholders.</w:t>
      </w: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and</w:t>
            </w: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Nomination and</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Banking/Finance</w:t>
            </w:r>
          </w:p>
        </w:tc>
        <w:tc>
          <w:tcPr>
            <w:tcW w:w="0" w:type="dxa"/>
            <w:vAlign w:val="bottom"/>
          </w:tcPr>
          <w:p>
            <w:pPr>
              <w:spacing w:after="0"/>
              <w:rPr>
                <w:sz w:val="1"/>
                <w:szCs w:val="1"/>
                <w:color w:val="auto"/>
              </w:rPr>
            </w:pPr>
          </w:p>
        </w:tc>
      </w:tr>
      <w:tr>
        <w:trPr>
          <w:trHeight w:val="162"/>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Human Resources</w:t>
            </w: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Evaluation</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Robert W. Johnson</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Jeffrey M. Nash</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Michael B. Targoff</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Number of Meetings in Fiscal 2009</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w:t>
            </w:r>
          </w:p>
        </w:tc>
        <w:tc>
          <w:tcPr>
            <w:tcW w:w="14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w:t>
            </w:r>
          </w:p>
        </w:tc>
        <w:tc>
          <w:tcPr>
            <w:tcW w:w="12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w:t>
            </w:r>
          </w:p>
        </w:tc>
        <w:tc>
          <w:tcPr>
            <w:tcW w:w="14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-1151890</wp:posOffset>
            </wp:positionV>
            <wp:extent cx="17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69"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reviews the professional services provided by our independent registered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four members of our Audit Committee is an “audit committee financial expert” as defined by the rules of the SEC. The responsibilities and activities of the Audit Committee are described in greater detail in the “Audit Committee Report.”</w:t>
      </w:r>
    </w:p>
    <w:p>
      <w:pPr>
        <w:spacing w:after="0" w:line="70" w:lineRule="exact"/>
        <w:rPr>
          <w:sz w:val="20"/>
          <w:szCs w:val="20"/>
          <w:color w:val="auto"/>
        </w:rPr>
      </w:pPr>
    </w:p>
    <w:p>
      <w:pPr>
        <w:ind w:left="700" w:right="100" w:firstLine="397"/>
        <w:spacing w:after="0" w:line="270" w:lineRule="auto"/>
        <w:rPr>
          <w:sz w:val="20"/>
          <w:szCs w:val="20"/>
          <w:color w:val="auto"/>
        </w:rPr>
      </w:pPr>
      <w:r>
        <w:rPr>
          <w:rFonts w:ascii="Arial" w:cs="Arial" w:eastAsia="Arial" w:hAnsi="Arial"/>
          <w:sz w:val="17"/>
          <w:szCs w:val="17"/>
          <w:i w:val="1"/>
          <w:iCs w:val="1"/>
          <w:color w:val="auto"/>
        </w:rPr>
        <w:t xml:space="preserve">Compensation and Human Resources Committee. </w:t>
      </w:r>
      <w:r>
        <w:rPr>
          <w:rFonts w:ascii="Arial" w:cs="Arial" w:eastAsia="Arial" w:hAnsi="Arial"/>
          <w:sz w:val="17"/>
          <w:szCs w:val="17"/>
          <w:color w:val="auto"/>
        </w:rPr>
        <w:t>The Compensation and Human Resources Committee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establishing and monitoring policies governing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and the establishment and administration of our employee benefit plans.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“Executive Compensation — Compensation Discussion and Analysis.”</w:t>
      </w:r>
    </w:p>
    <w:p>
      <w:pPr>
        <w:spacing w:after="0" w:line="87"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i w:val="1"/>
          <w:iCs w:val="1"/>
          <w:color w:val="auto"/>
        </w:rPr>
        <w:t xml:space="preserve">Nomination and Evaluation Committee. </w:t>
      </w:r>
      <w:r>
        <w:rPr>
          <w:rFonts w:ascii="Arial" w:cs="Arial" w:eastAsia="Arial" w:hAnsi="Arial"/>
          <w:sz w:val="18"/>
          <w:szCs w:val="18"/>
          <w:color w:val="auto"/>
        </w:rPr>
        <w:t>The Nomination and Evaluation Committee reviews and recommends nominees for</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as directors and committee members, conducts the evaluation of our Chief Executive Officer, and advises the Board with respect to Board and committee composition.</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i w:val="1"/>
          <w:iCs w:val="1"/>
          <w:color w:val="auto"/>
        </w:rPr>
        <w:t xml:space="preserve">Corporate Governance Committee. </w:t>
      </w:r>
      <w:r>
        <w:rPr>
          <w:rFonts w:ascii="Arial" w:cs="Arial" w:eastAsia="Arial" w:hAnsi="Arial"/>
          <w:sz w:val="18"/>
          <w:szCs w:val="18"/>
          <w:color w:val="auto"/>
        </w:rPr>
        <w:t>The Corporate Governance Committee is responsible for the development and recommendation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Board of a set of corporate governance guidelines and principles, and provides oversight of the process for the self-assessment by the Board and each of its committees.</w:t>
      </w:r>
    </w:p>
    <w:p>
      <w:pPr>
        <w:spacing w:after="0" w:line="87"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i w:val="1"/>
          <w:iCs w:val="1"/>
          <w:color w:val="auto"/>
        </w:rPr>
        <w:t xml:space="preserve">Banking/Finance Committee. </w:t>
      </w:r>
      <w:r>
        <w:rPr>
          <w:rFonts w:ascii="Arial" w:cs="Arial" w:eastAsia="Arial" w:hAnsi="Arial"/>
          <w:sz w:val="17"/>
          <w:szCs w:val="17"/>
          <w:color w:val="auto"/>
        </w:rPr>
        <w:t>The Banking/Finance Committee oversees certain aspects of corporate finance for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reviews and makes recommendations to the Board about the company’s financial affairs and policies, including short and long-term financing plans, objectives and principles, borrowings or the issuance of debt and equity securities.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 Process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31"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In evaluating director nominees, the Nomination and Evaluation Committee will consider, among other things, the following factors:</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personal and professional integrity, ethics and values;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in our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as a board member of another publicly-held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diversity of expertise and experience in substantive matters pertaining to our business relative to other board members;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practical and mature business judgment;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current directors, performance on the ViaSat Board.</w:t>
      </w:r>
    </w:p>
    <w:p>
      <w:pPr>
        <w:spacing w:after="0" w:line="131"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Other than the foregoing, there are no stated minimum criteria for director nominees, although the Nomination and Evaluation Committee may also consider such other factors as it may deem are in the best interests of ViaSat and its stockholders. The Nomination and Evaluation Committee does, however, believe it appropriate for at least one, and preferably several, members of our Board of Directors to meet the criteria for an “audit committee financial expert” as defined by SEC rules, and that a majority of the members of our Board be independent as required by the Nasdaq qualification standards.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Nomination and Evaluation Committee identifies nominees for director by first evaluating the current members of our Board of Directors willing to continue in service. Current members with qualifications and skills that are consistent with the Nomination and Evaluation Committee’s criteria for Board service and who are willing to continue in service are considered for re-nomination, balancing the value of continuity of service by existing members of our Board with that of obtaining a new perspective. If any member of our Board does not wish to continue in service or if our Board decides not to re-nominate a member for re-election, the Nomination and Evaluation Committee identifies the desired skills and experience of a new nominee in light of the criteria above. The Nomination and Evaluation Committee may also poll our Board and members of management for their recommendations. The Nomination and Evaluation Committee may also review the composition and qualification of the boards of directors of our competitors, and may seek input from industry experts or analysts. The Nomination and Evaluation Committee reviews the qualifications, experience and background of the candidates. Final candidates are interviewed by the members of the Nomination and Evaluation Committee and by certain of our other independent directors and executive management. In making its determinations, the Nomination and Evaluation Committee evaluates each individual in the context of our Board as a whole, with the objective of assembling a group that can best perpetuate the success of ViaSat and represent stockholder interests through the exercise of sound judgment. After review and deliberation of all feedback and data, the Nomination and Evaluation Committee makes its recommendation to our Board. To date, the Nomination and Evaluation Committee has not relied on third-party search firms to identify candidates for the Board. The Nomination and Evaluation Committee may in the future choose to do so in those situations where particular qualifications are required or where existing contacts are not sufficient to identify an appropriate candidate.</w:t>
      </w:r>
    </w:p>
    <w:p>
      <w:pPr>
        <w:spacing w:after="0" w:line="299"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The Nomination and Evaluation Committee will consider candidates recommended by any stockholder who has held our common stock for at least one year and who holds a minimum of 1% of our outstanding shares. The recommending stockholder must submit the following in connection with recommending a candidate during the time periods indicated in the section titled “Other Matters”:</w:t>
      </w:r>
    </w:p>
    <w:p>
      <w:pPr>
        <w:spacing w:after="0" w:line="52"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detailed resumé of the recommended candidate;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explanation of the reasons why the stockholder believes the recommended candidate is qualified for service on our Board;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information that would be required by the rules of the SEC to be included in a proxy statement;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written consent of the recommended candidate;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52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any arrangements or undertakings between the stockholder and the recommended candidate regarding the nomination;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proof of the recommending stockholder’s stock holdings in ViaSat.</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Recommendations submitted by stockholders will be processed and subject to the same criteria as other candidates recommended to the Nomination and Evaluation Committee.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the Board</w:t>
      </w:r>
    </w:p>
    <w:p>
      <w:pPr>
        <w:spacing w:after="0" w:line="135"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ELECTION OF DIRECTORS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authorized number of directors is presently seven. In accordance with our certificate of incorporation, we divide our Board of Directors into three classes, with Class I and Class II consisting of two members, and Class III consisting of three members. We elect one class of directors to serve a three-year term at each annual meeting of stockholders. At this year’s annual meeting of stockholders, we will elect two Class I Directors to hold office until the 2012 annual meeting. At next year’s annual meeting of stockholders, we will elect two Class II directors to hold office until the 2013 annual meeting, and the following year, we will elect three Class III directors to hold office until the 2014 annual meeting. Thereafter, elections will continue in a similar manner at subsequent annual meetings. Each elected director will continue to serve until his successor is duly elected or appointed.</w:t>
      </w:r>
    </w:p>
    <w:p>
      <w:pPr>
        <w:spacing w:after="0" w:line="83"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 xml:space="preserve">The Board of Directors unanimously nominated Robert W. Johnson and John P. Stenbit as Class I nominees for election to the Board. Unless proxy cards are otherwise marked, the persons named as proxies will vote all proxies received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Mr. Johnson and Mr. Stenbit.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84"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the company, the year in which each nominee’s or director’s current term will expire, and the class of director of each nominee or director.</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4320" w:type="dxa"/>
            <w:vAlign w:val="bottom"/>
          </w:tcPr>
          <w:p>
            <w:pPr>
              <w:ind w:left="2180"/>
              <w:spacing w:after="0"/>
              <w:rPr>
                <w:sz w:val="20"/>
                <w:szCs w:val="20"/>
                <w:color w:val="auto"/>
              </w:rPr>
            </w:pPr>
            <w:r>
              <w:rPr>
                <w:rFonts w:ascii="Arial" w:cs="Arial" w:eastAsia="Arial" w:hAnsi="Arial"/>
                <w:sz w:val="14"/>
                <w:szCs w:val="14"/>
                <w:b w:val="1"/>
                <w:bCs w:val="1"/>
                <w:color w:val="auto"/>
              </w:rPr>
              <w:t>Position with ViaSat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Term Expires</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3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Chairman and Chief Executive Officer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Robert W. Johnson</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tcPr>
          <w:p>
            <w:pPr>
              <w:jc w:val="right"/>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Jeffrey M. Nash</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Michael B. Targoff</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tcPr>
          <w:p>
            <w:pPr>
              <w:jc w:val="right"/>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-1002665</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-1002665</wp:posOffset>
            </wp:positionV>
            <wp:extent cx="26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 Directors with Terms Expiring at this Annual Meeting</w:t>
      </w:r>
    </w:p>
    <w:p>
      <w:pPr>
        <w:spacing w:after="0" w:line="135" w:lineRule="exact"/>
        <w:rPr>
          <w:sz w:val="20"/>
          <w:szCs w:val="20"/>
          <w:color w:val="auto"/>
        </w:rPr>
      </w:pPr>
    </w:p>
    <w:p>
      <w:pPr>
        <w:jc w:val="both"/>
        <w:ind w:left="700" w:right="20" w:firstLine="397"/>
        <w:spacing w:after="0" w:line="291" w:lineRule="auto"/>
        <w:rPr>
          <w:sz w:val="20"/>
          <w:szCs w:val="20"/>
          <w:color w:val="auto"/>
        </w:rPr>
      </w:pPr>
      <w:r>
        <w:rPr>
          <w:rFonts w:ascii="Arial" w:cs="Arial" w:eastAsia="Arial" w:hAnsi="Arial"/>
          <w:sz w:val="16"/>
          <w:szCs w:val="16"/>
          <w:i w:val="1"/>
          <w:iCs w:val="1"/>
          <w:color w:val="auto"/>
        </w:rPr>
        <w:t xml:space="preserve">Robert W. Johnson </w:t>
      </w:r>
      <w:r>
        <w:rPr>
          <w:rFonts w:ascii="Arial" w:cs="Arial" w:eastAsia="Arial" w:hAnsi="Arial"/>
          <w:sz w:val="16"/>
          <w:szCs w:val="16"/>
          <w:color w:val="auto"/>
        </w:rPr>
        <w:t>has been a director of ViaSat since 1986. Mr. Johnson has worked in the venture capital industry since 1980,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acted as an independent investor and served on the board of directors of a number of entrepreneurial companies since 1988.</w:t>
      </w:r>
    </w:p>
    <w:p>
      <w:pPr>
        <w:ind w:left="700" w:right="500"/>
        <w:spacing w:after="0" w:line="261" w:lineRule="auto"/>
        <w:rPr>
          <w:sz w:val="20"/>
          <w:szCs w:val="20"/>
          <w:color w:val="auto"/>
        </w:rPr>
      </w:pPr>
      <w:r>
        <w:rPr>
          <w:rFonts w:ascii="Arial" w:cs="Arial" w:eastAsia="Arial" w:hAnsi="Arial"/>
          <w:sz w:val="18"/>
          <w:szCs w:val="18"/>
          <w:color w:val="auto"/>
        </w:rPr>
        <w:t>Mr. Johnson holds B.S. and M.S. degrees in Electrical Engineering from Stanford University and M.B.A. and D.B.A. degrees from Harvard Business School.</w:t>
      </w:r>
    </w:p>
    <w:p>
      <w:pPr>
        <w:spacing w:after="0" w:line="89"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i w:val="1"/>
          <w:iCs w:val="1"/>
          <w:color w:val="auto"/>
        </w:rPr>
        <w:t xml:space="preserve">John P. Stenbit </w:t>
      </w:r>
      <w:r>
        <w:rPr>
          <w:rFonts w:ascii="Arial" w:cs="Arial" w:eastAsia="Arial" w:hAnsi="Arial"/>
          <w:sz w:val="17"/>
          <w:szCs w:val="17"/>
          <w:color w:val="auto"/>
        </w:rPr>
        <w:t>has been a director of ViaSat since August 2004. From 2001 to his retirement in March 2004, Mr. Stenbit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Assistant Secretary of Defense for Command, Control, Communications, and Intelligence (C3I) and later as Assistant Secretary of Defense of Networks and Information Integration / Department of Defense Chief Information Officer, the C3I successor organization. From 1977 to 2001, Mr. Stenbit worked for TRW, retiring as Executive Vice President. Mr. Stenbit was a Fulbright Fellow and Aerospace Corporation Fellow at the Technische Hogeschool, Einhoven, Netherlands. Mr. Stenbit has chaired the Science Advisory Panel to the Director for the Administrator of the Federal Aviation Administration. Mr. Stenbit currently serves on the board of directors of the following publicly-held companies: Cogent, Inc. and Loral Space &amp; Communications Inc. He is also on the board of trustees of The Mitre Corp. a private, not-for-profit corporation. Mr. Stenbit also serves on the Defense Science Board, the Advisory Board of the National Security Agency, the Science Advisory Group of the U.S. Strategic Command and the Naval Studies Board. He also does consulting for various government and commercial clients.</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 Directors with Terms Expiring in 2010</w:t>
      </w:r>
    </w:p>
    <w:p>
      <w:pPr>
        <w:spacing w:after="0" w:line="135" w:lineRule="exact"/>
        <w:rPr>
          <w:sz w:val="20"/>
          <w:szCs w:val="20"/>
          <w:color w:val="auto"/>
        </w:rPr>
      </w:pPr>
    </w:p>
    <w:p>
      <w:pPr>
        <w:ind w:left="700" w:right="320" w:firstLine="397"/>
        <w:spacing w:after="0" w:line="279" w:lineRule="auto"/>
        <w:rPr>
          <w:sz w:val="20"/>
          <w:szCs w:val="20"/>
          <w:color w:val="auto"/>
        </w:rPr>
      </w:pPr>
      <w:r>
        <w:rPr>
          <w:rFonts w:ascii="Arial" w:cs="Arial" w:eastAsia="Arial" w:hAnsi="Arial"/>
          <w:sz w:val="17"/>
          <w:szCs w:val="17"/>
          <w:i w:val="1"/>
          <w:iCs w:val="1"/>
          <w:color w:val="auto"/>
        </w:rPr>
        <w:t xml:space="preserve">B. Allen Lay </w:t>
      </w:r>
      <w:r>
        <w:rPr>
          <w:rFonts w:ascii="Arial" w:cs="Arial" w:eastAsia="Arial" w:hAnsi="Arial"/>
          <w:sz w:val="17"/>
          <w:szCs w:val="17"/>
          <w:color w:val="auto"/>
        </w:rPr>
        <w:t>has been a director of ViaSat since 1996. From 1983 to 2001, he was a General Partner of Southern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a venture capital company. From 2001 to the present he has acted as a consultant to the venture capital industry. Mr. Lay is currently a director of NPI, LLC, a privately-held developer and supplier of proprietary and patentable ingredients for dietary supplements, and Carley Lamps, LLC, a privately-held manufacturer of specialty light bulbs.</w:t>
      </w:r>
    </w:p>
    <w:p>
      <w:pPr>
        <w:spacing w:after="0" w:line="7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Dr. Jeffrey M. Nash </w:t>
      </w:r>
      <w:r>
        <w:rPr>
          <w:rFonts w:ascii="Arial" w:cs="Arial" w:eastAsia="Arial" w:hAnsi="Arial"/>
          <w:sz w:val="18"/>
          <w:szCs w:val="18"/>
          <w:color w:val="auto"/>
        </w:rPr>
        <w:t>has been a director of ViaSat since 1987. From 1994 until 2003, he served as President of Digital Perceptions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 a privately-held consulting and software development firm serving the defense, remote sensing, communications, aviation and commercial computer industries. Since September 2003, he has been President and Chairman of Inclined Plane Inc., a privately-held consulting and intellectual property development company serving the defense, communications and media industries. In addition to his role at ViaSat, Dr. Nash serves as a director of two San Diego-based companies: Pepperball Technologies, Inc., a publicly-held manufacturer of non-lethal personal defense equipment for law enforcement, security and personal defense applications, and REMEC, Inc., which is now in dissolution.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Class III Directors with Terms Expiring in 2011</w:t>
      </w:r>
    </w:p>
    <w:p>
      <w:pPr>
        <w:spacing w:after="0" w:line="1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i w:val="1"/>
          <w:iCs w:val="1"/>
          <w:color w:val="auto"/>
        </w:rPr>
        <w:t xml:space="preserve">Mark D. Dankberg </w:t>
      </w:r>
      <w:r>
        <w:rPr>
          <w:rFonts w:ascii="Arial" w:cs="Arial" w:eastAsia="Arial" w:hAnsi="Arial"/>
          <w:sz w:val="16"/>
          <w:szCs w:val="16"/>
          <w:color w:val="auto"/>
        </w:rPr>
        <w:t>is a founder of ViaSat and has served as Chairman of the Board and Chief Executive Officer of ViaSat since its</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in May 1986. 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7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Michael B. Targoff </w:t>
      </w:r>
      <w:r>
        <w:rPr>
          <w:rFonts w:ascii="Arial" w:cs="Arial" w:eastAsia="Arial" w:hAnsi="Arial"/>
          <w:sz w:val="16"/>
          <w:szCs w:val="16"/>
          <w:color w:val="auto"/>
        </w:rPr>
        <w:t>has been a director of ViaSat since February 2003. In February 2006, Mr. Targoff was elected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Loral Space &amp; Communications Inc. (Loral). Since November 2005, he has served as the vice chairman of Loral’s board of directors and serves on the executive and compensation committees. Mr. Targoff originally joined Loral Space &amp; Communications Limited in 1981 and served as Senior Vice President and General Counsel until January 1996, when he was elected President and Chief Operating Officer of the newly formed Loral. In 1998, he founded Michael B. Targoff &amp; Co., which invests in telecommunications and related industry early stage companies. Mr. Targoff is chairman of the board and chairman of the audit committee of CPI International, Inc., a publicly-held company, and a director and chairman of the audit committee of Leap Wireless International, Inc., a publicly-held company. Mr. Targoff also serves on the board of directors of five private telecommunications companies. Prior to joining Loral Space &amp; Communications Limited in 1981, Mr. Targoff was a partner in the New York City law firm, Willkie Farr &amp; Gallagher. Mr. Targoff holds a B.A. degree from Brown University and a J.D. degree from the Columbia University School of Law, where he was a Hamilton Fisk Scholar and editor of the Columbia Journal of Law and Social Problems.</w:t>
      </w:r>
    </w:p>
    <w:p>
      <w:pPr>
        <w:spacing w:after="0" w:line="78"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i w:val="1"/>
          <w:iCs w:val="1"/>
          <w:color w:val="auto"/>
        </w:rPr>
        <w:t xml:space="preserve">Harvey P. White </w:t>
      </w:r>
      <w:r>
        <w:rPr>
          <w:rFonts w:ascii="Arial" w:cs="Arial" w:eastAsia="Arial" w:hAnsi="Arial"/>
          <w:sz w:val="17"/>
          <w:szCs w:val="17"/>
          <w:color w:val="auto"/>
        </w:rPr>
        <w:t>has been a director of ViaSat since May 2005. Since June 2004, Mr. White has served as Chairman of (SHW)2</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a business development and consulting firm. From September 1998 through June 2004, Mr. White served as Chairman and Chief Executive Officer of Leap Wireless International, Inc. Prior to that, Mr. White was a co-founder of QUALCOMM Incorporated where he held various positions including director, President and Chief Operating Officer. Mr. White is the chairman of the board of Quanlight, Inc. and serves on the board of directors of the San Diego Padres. Mr. White attended West Virginia Wesleyan College and Marshall University where he received a B.A. degree in Economics.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Johnson and Mr. Stenbit.</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Audit Committee has selected PricewaterhouseCoopers LLP as ViaSat’s independent registered public accounting firm for our fiscal year ending April 2, 2010.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77"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The following is a summary of the fees billed by PricewaterhouseCoopers for professional services rendered for the fiscal years ended April 3, 2009 and March 28, 2008:</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ee Category</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Fiscal 2009</w:t>
            </w:r>
          </w:p>
        </w:tc>
        <w:tc>
          <w:tcPr>
            <w:tcW w:w="3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Fiscal 2008</w:t>
            </w: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Fees ($)</w:t>
            </w:r>
          </w:p>
        </w:tc>
        <w:tc>
          <w:tcPr>
            <w:tcW w:w="3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1,638,602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Audit-Related Fees</w:t>
            </w:r>
          </w:p>
        </w:tc>
        <w:tc>
          <w:tcPr>
            <w:tcW w:w="840" w:type="dxa"/>
            <w:vAlign w:val="bottom"/>
          </w:tcPr>
          <w:p>
            <w:pPr>
              <w:jc w:val="right"/>
              <w:spacing w:after="0"/>
              <w:rPr>
                <w:sz w:val="20"/>
                <w:szCs w:val="20"/>
                <w:color w:val="auto"/>
              </w:rPr>
            </w:pPr>
            <w:r>
              <w:rPr>
                <w:rFonts w:ascii="Arial" w:cs="Arial" w:eastAsia="Arial" w:hAnsi="Arial"/>
                <w:sz w:val="18"/>
                <w:szCs w:val="18"/>
                <w:color w:val="auto"/>
              </w:rPr>
              <w:t>145,826</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All Other Fees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1,838,547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This category includes the audit of our annual consolidated financial statements and the audit of our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review of financial statements included in our Form 10-Q quarterly reports, and services that are normally provided by the independent registered public accounting firm in connection with statutory and regulatory filings or engagements.</w:t>
      </w:r>
    </w:p>
    <w:p>
      <w:pPr>
        <w:spacing w:after="0" w:line="52"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consists of assurance and related services provided by PricewaterhouseCoopers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related to the 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92" w:lineRule="exact"/>
        <w:rPr>
          <w:sz w:val="20"/>
          <w:szCs w:val="20"/>
          <w:color w:val="auto"/>
        </w:rPr>
      </w:pPr>
    </w:p>
    <w:p>
      <w:pPr>
        <w:ind w:left="700" w:right="280" w:firstLine="397"/>
        <w:spacing w:after="0" w:line="286"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This category consists of professional services rendered by PricewaterhouseCoopers, primarily in connection with tax</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tax planning and tax advice activities. These services include assistance with the preparation of tax returns, claims for refunds, value added tax compliance, and consultations on state, local and international tax matters.</w:t>
      </w:r>
    </w:p>
    <w:p>
      <w:pPr>
        <w:spacing w:after="0" w:line="7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PricewaterhouseCoopers’ on-line research tool.</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the 2009 fiscal year, the fees paid to PricewaterhouseCoopers shown in the table above were pre-approved in accordance with this policy.</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700" w:right="1520" w:firstLine="397"/>
        <w:spacing w:after="0" w:line="282" w:lineRule="auto"/>
        <w:rPr>
          <w:sz w:val="20"/>
          <w:szCs w:val="20"/>
          <w:color w:val="auto"/>
        </w:rPr>
      </w:pPr>
      <w:r>
        <w:rPr>
          <w:rFonts w:ascii="Arial" w:cs="Arial" w:eastAsia="Arial" w:hAnsi="Arial"/>
          <w:sz w:val="18"/>
          <w:szCs w:val="18"/>
          <w:color w:val="auto"/>
        </w:rPr>
        <w:t xml:space="preserve">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as ViaSat’s independent registered public accounting firm.</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AMENDMENT TO THE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EMPLOYEE STOCK PURCHASE PLAN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We are requesting that our stockholders approve an amendment to our Employee Stock Purchase Plan. In this proxy statement, we sometimes call this plan the Purchase Plan. On May 4, 2009, our Board of Directors approved the amendment to the Purchase Plan, effective as of July 1, 2009. The amendment to the Purchase Plan implements the following changes:</w:t>
      </w:r>
    </w:p>
    <w:p>
      <w:pPr>
        <w:spacing w:after="0" w:line="71" w:lineRule="exact"/>
        <w:rPr>
          <w:sz w:val="20"/>
          <w:szCs w:val="20"/>
          <w:color w:val="auto"/>
        </w:rPr>
      </w:pPr>
    </w:p>
    <w:p>
      <w:pPr>
        <w:ind w:left="1300" w:hanging="202"/>
        <w:spacing w:after="0" w:line="297"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issued under the Purchase Plan was increased by 750,000 shares. Prior to the amendment, the Purchase Plan was authorized to issue up to an aggregate of 1,500,000 shares of ViaSat common stock. As of July 1, 2009, a total of 1,467,477 of these shares had been issued and sold, and accordingly, only 32,523 shares remained available for purchase under the Purchase Plan. If the amended Purchase Plan is approved by the stockholders, the total number of shares remaining available for purchase under the Purchase Plan will be approximately 782,523.</w:t>
      </w:r>
    </w:p>
    <w:p>
      <w:pPr>
        <w:spacing w:after="0" w:line="50" w:lineRule="exact"/>
        <w:rPr>
          <w:rFonts w:ascii="Arial" w:cs="Arial" w:eastAsia="Arial" w:hAnsi="Arial"/>
          <w:sz w:val="16"/>
          <w:szCs w:val="16"/>
          <w:color w:val="auto"/>
        </w:rPr>
      </w:pPr>
    </w:p>
    <w:p>
      <w:pPr>
        <w:ind w:left="1300" w:right="48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eligibility provisions of the Purchase Plan were clarified to provide that only eligible employees of ViaSat and those majority-owned subsidiaries designated by the Board of Directors as participating companies under the Purchase Plan may participate in the Purchase Plan.</w:t>
      </w:r>
    </w:p>
    <w:p>
      <w:pPr>
        <w:spacing w:after="0" w:line="73" w:lineRule="exact"/>
        <w:rPr>
          <w:rFonts w:ascii="Arial" w:cs="Arial" w:eastAsia="Arial" w:hAnsi="Arial"/>
          <w:sz w:val="18"/>
          <w:szCs w:val="18"/>
          <w:color w:val="auto"/>
        </w:rPr>
      </w:pPr>
    </w:p>
    <w:p>
      <w:pPr>
        <w:ind w:left="1300" w:right="580" w:hanging="202"/>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changes were made to the Purchase Plan in order to bring it into compliance with proposed regulations governing employee stock purchase plans, as issued by the Department of the Treasury during 2008.</w:t>
      </w:r>
    </w:p>
    <w:p>
      <w:pPr>
        <w:spacing w:after="0" w:line="52"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While the amendment to the Purchase Plan became effective as of July 1, 2009, unless it is approved by our stockholders, no purchase rights granted under the amended Purchase Plan may be exercised. The 32,523 shares that remained available for purchase under the Purchase Plan as of July 1, 2009 will be insufficient to meet the anticipated demand for shares under the Purchase Plan during the offering period that commenced on July 1, 2009. Thus, the increase in the shares available for issuance under the Purchase Plan pursuant to the amendment is necessary to achieve the purposes of the Purchase Plan during the current offering period and over the term of the Purchase Plan. We firmly believe that the Purchase Plan is a necessary and powerful incentive and retention tool that benefits all of our stockholders. Specifically, the amended Purchase Plan will enable us to continue to: (1) provide eligible employees with a convenient means of acquiring an equity interest in ViaSat through payroll deductions, (2) enhance such employees’ sense of participation in the affairs of ViaSat, and (3) provide an incentive for continued employment. The Purchase Plan will also continue to align the interests of employees with those of stockholders through increased stock ownership.</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 of the Purchase Plan</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primary purpose of the Purchase Plan is to provide employees an opportunity to participate in the ownership of the company by purchasing common stock of ViaSat through payroll deductions. The Purchase Plan is intended to benefit ViaSat as well as its stockholders and employees. The Purchase Plan gives employees an opportunity to purchase shares of common stock at a discounted price. We believe that our stockholders correspondingly benefit from the increased interest on the part of participating employees in the profitability of the company. Finally, ViaSat benefits from the periodic investments of equity capital provided by participants in the Purchase Plan.</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the Purchase Plan</w:t>
      </w:r>
    </w:p>
    <w:p>
      <w:pPr>
        <w:spacing w:after="0" w:line="135" w:lineRule="exact"/>
        <w:rPr>
          <w:sz w:val="20"/>
          <w:szCs w:val="20"/>
          <w:color w:val="auto"/>
        </w:rPr>
      </w:pPr>
    </w:p>
    <w:p>
      <w:pPr>
        <w:ind w:left="700" w:right="480" w:firstLine="397"/>
        <w:spacing w:after="0" w:line="312" w:lineRule="auto"/>
        <w:rPr>
          <w:sz w:val="20"/>
          <w:szCs w:val="20"/>
          <w:color w:val="auto"/>
        </w:rPr>
      </w:pPr>
      <w:r>
        <w:rPr>
          <w:rFonts w:ascii="Arial" w:cs="Arial" w:eastAsia="Arial" w:hAnsi="Arial"/>
          <w:sz w:val="16"/>
          <w:szCs w:val="16"/>
          <w:color w:val="auto"/>
        </w:rPr>
        <w:t>The following is a summary of the Purchase Plan, as amended pursuant to this proposal. This summary does not purport to be complete, and is qualified in its entirety by reference to the full text of the Purchase Plan, as amended and restated to reflect the amendments pursuant to this proposal, a copy of which is attached as Appendix A to this proxy statement.</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380" w:firstLine="397"/>
        <w:spacing w:after="0" w:line="312" w:lineRule="auto"/>
        <w:rPr>
          <w:sz w:val="20"/>
          <w:szCs w:val="20"/>
          <w:color w:val="auto"/>
        </w:rPr>
      </w:pPr>
      <w:r>
        <w:rPr>
          <w:rFonts w:ascii="Arial" w:cs="Arial" w:eastAsia="Arial" w:hAnsi="Arial"/>
          <w:sz w:val="16"/>
          <w:szCs w:val="16"/>
          <w:i w:val="1"/>
          <w:iCs w:val="1"/>
          <w:color w:val="auto"/>
        </w:rPr>
        <w:t xml:space="preserve">General Nature. </w:t>
      </w:r>
      <w:r>
        <w:rPr>
          <w:rFonts w:ascii="Arial" w:cs="Arial" w:eastAsia="Arial" w:hAnsi="Arial"/>
          <w:sz w:val="16"/>
          <w:szCs w:val="16"/>
          <w:color w:val="auto"/>
        </w:rPr>
        <w:t>The Purchase Plan was adopted to provide a means by which our employees could be given an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ViaSat stock and to assist our employees to provide for their future security and to encourage them to remain employees of ViaSat. Employees make such purchases by participation in the regular offering periods under the Purchase Plan.</w:t>
      </w:r>
    </w:p>
    <w:p>
      <w:pPr>
        <w:spacing w:after="0" w:line="52"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Purchase Plan is administered by the Compensation and Human Resources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76"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Only employees may participate in the Purchase Plan. For this purpose, an “employee” is any person who is regularly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at least 20 hours per week and five months per calendar year by ViaSat or any of its majority-owned subsidiaries which have been designated by the Board of Directors as participating companies under the Purchase Plan. No employee will be permitted to subscribe for shares under the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Purchase Plan in any calendar year (valued at the time such purchase right is granted) for each calendar year during which such purchase right is outstanding at any time. An employee may purchase up to 100,000 shares during an offering period under the Purchase Plan. Any payroll deductions not applied to the purchase of shares due to the application of this limitation will be refunded to the participant.</w:t>
      </w:r>
    </w:p>
    <w:p>
      <w:pPr>
        <w:spacing w:after="0" w:line="83"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If the grant of a purchase right under the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Purchase Plan to violate the requirements of Section 423 of the Internal Revenue Code, as determined by the Compensation and Human Resources Committee in its sole discretion, such employee will not be permitted to participate in the Purchase Plan.</w:t>
      </w:r>
    </w:p>
    <w:p>
      <w:pPr>
        <w:spacing w:after="0" w:line="94"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As of July 1, 2009 (the last enrollment date), there were 1,602 employees eligible to participate in the Purchase Plan, of whom 837 were participants.</w:t>
      </w:r>
    </w:p>
    <w:p>
      <w:pPr>
        <w:spacing w:after="0" w:line="76"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There is generally one offering period under the Purchase Plan during each six-month period commencing</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and July 1 of each year of the Purchase Plan. The current offering period will end on December 31, 2009. The first day of an offering period is referred to as the “Date of Grant.” The last day of an offering period is referred to as the “Date of Exercise.”</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The purchase price per share at which shares will be sold in an offering under the Purchase Plan is the lower of</w:t>
      </w:r>
    </w:p>
    <w:p>
      <w:pPr>
        <w:spacing w:after="0" w:line="46" w:lineRule="exact"/>
        <w:rPr>
          <w:sz w:val="20"/>
          <w:szCs w:val="20"/>
          <w:color w:val="auto"/>
        </w:rPr>
      </w:pPr>
    </w:p>
    <w:p>
      <w:pPr>
        <w:ind w:left="700" w:right="340" w:hanging="7"/>
        <w:spacing w:after="0" w:line="255"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Date of Exercise or (2) 85% of the fair market value of a share of common stock on the Date of Grant. The fair market value of the common stock on a given date is the closing price as reported by Nasdaq.</w:t>
      </w:r>
    </w:p>
    <w:p>
      <w:pPr>
        <w:spacing w:after="0" w:line="96"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i w:val="1"/>
          <w:iCs w:val="1"/>
          <w:color w:val="auto"/>
        </w:rPr>
        <w:t xml:space="preserve">Payment of Purchase Price; Payroll Deductions. </w:t>
      </w:r>
      <w:r>
        <w:rPr>
          <w:rFonts w:ascii="Arial" w:cs="Arial" w:eastAsia="Arial" w:hAnsi="Arial"/>
          <w:sz w:val="18"/>
          <w:szCs w:val="18"/>
          <w:color w:val="auto"/>
        </w:rPr>
        <w:t>The purchase price of the shares is accumulated by payroll deductions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 Each participant may authorize automatic payroll deductions in any multiple of 1% (up to a maximum of 5%) of his or her eligible compensation during the offering period. All payroll deductions made for a participant are credited to the participant’s account under the Purchase Plan and are included with the general funds of ViaSat. Funds received upon sales of stock under the Purchase Plan are used for general corporate purposes. An employee may purchase up to 100,000 shares during an offering period under the Purchase Plan. Any payroll deductions not applied to the purchase of shares due to the application of this limitation will be refunded to the participant.</w:t>
      </w:r>
    </w:p>
    <w:p>
      <w:pPr>
        <w:spacing w:after="0" w:line="95"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Withdrawal. </w:t>
      </w:r>
      <w:r>
        <w:rPr>
          <w:rFonts w:ascii="Arial" w:cs="Arial" w:eastAsia="Arial" w:hAnsi="Arial"/>
          <w:sz w:val="18"/>
          <w:szCs w:val="18"/>
          <w:color w:val="auto"/>
        </w:rPr>
        <w:t>A participant may terminate his or her interest in a given offering by signing and delivering a notice of withdrawal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Purchase Plan at least ten days prior to the Date of Exercise of the applicable offering period.</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Termination of a participant’s employment for any reason, including retirement, cancels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spacing w:after="0" w:line="257" w:lineRule="auto"/>
        <w:rPr>
          <w:sz w:val="20"/>
          <w:szCs w:val="20"/>
          <w:color w:val="auto"/>
        </w:rPr>
      </w:pPr>
      <w:r>
        <w:rPr>
          <w:rFonts w:ascii="Arial" w:cs="Arial" w:eastAsia="Arial" w:hAnsi="Arial"/>
          <w:sz w:val="18"/>
          <w:szCs w:val="18"/>
          <w:color w:val="auto"/>
        </w:rPr>
        <w:t>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Date of Exercise, the participant’s right to purchase shares under the Purchase Plan will be deemed to have been exercised on the Date of Exercise.</w:t>
      </w:r>
    </w:p>
    <w:p>
      <w:pPr>
        <w:spacing w:after="0" w:line="94" w:lineRule="exact"/>
        <w:rPr>
          <w:sz w:val="20"/>
          <w:szCs w:val="20"/>
          <w:color w:val="auto"/>
        </w:rPr>
      </w:pPr>
    </w:p>
    <w:p>
      <w:pPr>
        <w:jc w:val="both"/>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Share Proration. </w:t>
      </w:r>
      <w:r>
        <w:rPr>
          <w:rFonts w:ascii="Arial" w:cs="Arial" w:eastAsia="Arial" w:hAnsi="Arial"/>
          <w:sz w:val="18"/>
          <w:szCs w:val="18"/>
          <w:color w:val="auto"/>
        </w:rPr>
        <w:t>Should the total number of shares of common stock which are to be purchased under outstanding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on any Date of Exercise exceed (1) the number of shares then available for issuance under the Purchase Plan or (2) the number of shares available for issuance under the Purchase Plan as of the commencement of that offering period, the Compensation and Human Resources Committee will make a pro rata allocation of the available shares in as nearly a uniform manner as possible, and the payroll deductions of each participant, to the extent in excess of the aggregate purchase price payable for the common stock prorated to such individual, will be refunded to such participant.</w:t>
      </w:r>
    </w:p>
    <w:p>
      <w:pPr>
        <w:spacing w:after="0" w:line="99"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i w:val="1"/>
          <w:iCs w:val="1"/>
          <w:color w:val="auto"/>
        </w:rPr>
        <w:t xml:space="preserve">Capital Changes. </w:t>
      </w:r>
      <w:r>
        <w:rPr>
          <w:rFonts w:ascii="Arial" w:cs="Arial" w:eastAsia="Arial" w:hAnsi="Arial"/>
          <w:sz w:val="17"/>
          <w:szCs w:val="17"/>
          <w:color w:val="auto"/>
        </w:rPr>
        <w:t>In the event of any changes in our capitalization, such as stock splits, stock dividends, recapitalizations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resulting in an increase or decrease in the number of outstanding shares of common stock, appropriate adjustments will be made in the shares subject to purchase and in the price per share under the Purchase Plan.</w:t>
      </w:r>
    </w:p>
    <w:p>
      <w:pPr>
        <w:spacing w:after="0" w:line="71"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Effect of Liquidation, Dissolution, Sale of Assets or Merger. </w:t>
      </w:r>
      <w:r>
        <w:rPr>
          <w:rFonts w:ascii="Arial" w:cs="Arial" w:eastAsia="Arial" w:hAnsi="Arial"/>
          <w:sz w:val="16"/>
          <w:szCs w:val="16"/>
          <w:color w:val="auto"/>
        </w:rPr>
        <w:t>In the event of liquidation, dissolution, merger, consolidation or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or substantially all of the assets of ViaSat or 50% or more of ViaSat’s then outstanding voting stock, the Date of Exercise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Purchase Plan.</w:t>
      </w:r>
    </w:p>
    <w:p>
      <w:pPr>
        <w:spacing w:after="0" w:line="6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i w:val="1"/>
          <w:iCs w:val="1"/>
          <w:color w:val="auto"/>
        </w:rPr>
        <w:t xml:space="preserve">Amendment and Termination of the Purchase Plan. </w:t>
      </w:r>
      <w:r>
        <w:rPr>
          <w:rFonts w:ascii="Arial" w:cs="Arial" w:eastAsia="Arial" w:hAnsi="Arial"/>
          <w:sz w:val="17"/>
          <w:szCs w:val="17"/>
          <w:color w:val="auto"/>
        </w:rPr>
        <w:t>The Purchase Plan may be wholly or partially amended or otherwise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suspended or terminated at any time or from time to time by our Board of Directors. However, without approval of our stockholders, the Purchase Plan may not be amended to (1) change the number or type of shares of common stock reserved for issuance under the Purchase Plan, (2) decrease the purchase price of common stock issued under the Purchase Plan below a price computed in accordance with the applicable provisions of the Purchase Plan, (3) alter the requirements for eligibility to participate in the Purchase Plan, or (4) amend the Purchase Plan in any manner which would cause the Purchase Plan to no longer be an “employee stock purchase plan” within the meaning of the Internal Revenue Code.</w:t>
      </w:r>
    </w:p>
    <w:p>
      <w:pPr>
        <w:spacing w:after="0" w:line="83"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No purchase rights granted under the amended Purchase Plan will be exercised, and no shares of ViaSat stock will be issued under the Purchase Plan until the amended Purchase Plan has been approved by our stockholders. In the event that the amended Purchase Plan has not been approved by our stockholders prior to December 31, 2009, all purchase rights granted under the amended Purchase Plan will be canceled and become null and void.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 Consequences</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 xml:space="preserve">The following is a general summary under current law of the material federal income tax consequences to an employee who participates in the Purchase Plan. This summary deals with the general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summary does not discuss all aspects of federal income taxation that may be relevant in light of a participant’s personal circumstances. This summarized tax information is not tax advice and a participant of an award should rely on the advice of his or her legal and tax advisors.</w:t>
      </w:r>
    </w:p>
    <w:p>
      <w:pPr>
        <w:spacing w:after="0" w:line="95" w:lineRule="exact"/>
        <w:rPr>
          <w:sz w:val="20"/>
          <w:szCs w:val="20"/>
          <w:color w:val="auto"/>
        </w:rPr>
      </w:pPr>
    </w:p>
    <w:p>
      <w:pPr>
        <w:ind w:left="700" w:right="560" w:firstLine="397"/>
        <w:spacing w:after="0" w:line="259" w:lineRule="auto"/>
        <w:rPr>
          <w:sz w:val="20"/>
          <w:szCs w:val="20"/>
          <w:color w:val="auto"/>
        </w:rPr>
      </w:pPr>
      <w:r>
        <w:rPr>
          <w:rFonts w:ascii="Arial" w:cs="Arial" w:eastAsia="Arial" w:hAnsi="Arial"/>
          <w:sz w:val="18"/>
          <w:szCs w:val="18"/>
          <w:color w:val="auto"/>
        </w:rPr>
        <w:t>The Purchase Plan, and the right of participants to make purchases thereunder, is intended to qualify under the provisions of Section 423 of the Internal Revenue Code. Under the applicable Internal Revenue Code provisions, no income will be taxable to a participant until the sale or other disposition of the shares purchased under the Purchase Plan. Upon such sale or disposition, the participant will generally be subject to tax in an amount that depends upon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20"/>
        <w:spacing w:after="0" w:line="288" w:lineRule="auto"/>
        <w:rPr>
          <w:sz w:val="20"/>
          <w:szCs w:val="20"/>
          <w:color w:val="auto"/>
        </w:rPr>
      </w:pPr>
      <w:r>
        <w:rPr>
          <w:rFonts w:ascii="Arial" w:cs="Arial" w:eastAsia="Arial" w:hAnsi="Arial"/>
          <w:sz w:val="16"/>
          <w:szCs w:val="16"/>
          <w:color w:val="auto"/>
        </w:rPr>
        <w:t>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w:t>
      </w:r>
    </w:p>
    <w:p>
      <w:pPr>
        <w:ind w:left="700" w:right="120" w:hanging="7"/>
        <w:spacing w:after="0" w:line="253"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97"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w:t>
      </w:r>
    </w:p>
    <w:p>
      <w:pPr>
        <w:spacing w:after="0" w:line="60" w:lineRule="exact"/>
        <w:rPr>
          <w:sz w:val="20"/>
          <w:szCs w:val="20"/>
          <w:color w:val="auto"/>
        </w:rPr>
      </w:pPr>
    </w:p>
    <w:p>
      <w:pPr>
        <w:ind w:left="700" w:right="500" w:firstLine="397"/>
        <w:spacing w:after="0" w:line="342" w:lineRule="auto"/>
        <w:rPr>
          <w:sz w:val="20"/>
          <w:szCs w:val="20"/>
          <w:color w:val="auto"/>
        </w:rPr>
      </w:pPr>
      <w:r>
        <w:rPr>
          <w:rFonts w:ascii="Arial" w:cs="Arial" w:eastAsia="Arial" w:hAnsi="Arial"/>
          <w:sz w:val="16"/>
          <w:szCs w:val="16"/>
          <w:color w:val="auto"/>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Plan Benefits</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Because the number of shares that may be purchased under the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750,000 share increase for which stockholder approval is sought under this proposal. For illustrative purposes only, the following table sets forth (1) the number of shares of ViaSat common stock that were purchased under the Purchase Plan during the 2009 fiscal year, and (2) the aggregate purchase price paid, for the individuals and groups identified below.</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or Group</w:t>
            </w:r>
          </w:p>
        </w:tc>
        <w:tc>
          <w:tcPr>
            <w:tcW w:w="138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400" w:type="dxa"/>
            <w:vAlign w:val="bottom"/>
          </w:tcPr>
          <w:p>
            <w:pPr>
              <w:spacing w:after="0"/>
              <w:rPr>
                <w:sz w:val="14"/>
                <w:szCs w:val="14"/>
                <w:color w:val="auto"/>
              </w:rPr>
            </w:pPr>
          </w:p>
        </w:tc>
        <w:tc>
          <w:tcPr>
            <w:tcW w:w="2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Aggregate Purchase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Purchased (#)</w:t>
            </w:r>
          </w:p>
        </w:tc>
        <w:tc>
          <w:tcPr>
            <w:tcW w:w="400" w:type="dxa"/>
            <w:vAlign w:val="bottom"/>
          </w:tcPr>
          <w:p>
            <w:pPr>
              <w:spacing w:after="0"/>
              <w:rPr>
                <w:sz w:val="14"/>
                <w:szCs w:val="14"/>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Richard A. Baldridge</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Steven R. Hart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 current executive officers, as a group (3 persons)</w:t>
            </w:r>
          </w:p>
        </w:tc>
        <w:tc>
          <w:tcPr>
            <w:tcW w:w="1380" w:type="dxa"/>
            <w:vAlign w:val="bottom"/>
          </w:tcPr>
          <w:p>
            <w:pPr>
              <w:jc w:val="right"/>
              <w:spacing w:after="0"/>
              <w:rPr>
                <w:sz w:val="20"/>
                <w:szCs w:val="20"/>
                <w:color w:val="auto"/>
              </w:rPr>
            </w:pPr>
            <w:r>
              <w:rPr>
                <w:rFonts w:ascii="Arial" w:cs="Arial" w:eastAsia="Arial" w:hAnsi="Arial"/>
                <w:sz w:val="18"/>
                <w:szCs w:val="18"/>
                <w:color w:val="auto"/>
              </w:rPr>
              <w:t>1,426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24,481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8"/>
              </w:rPr>
              <w:t>All current directors who are not executive officers, as a group (0 persons)(1)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 other employees, as a group (735 persons)</w:t>
            </w:r>
          </w:p>
        </w:tc>
        <w:tc>
          <w:tcPr>
            <w:tcW w:w="1380" w:type="dxa"/>
            <w:vAlign w:val="bottom"/>
          </w:tcPr>
          <w:p>
            <w:pPr>
              <w:jc w:val="right"/>
              <w:spacing w:after="0"/>
              <w:rPr>
                <w:sz w:val="20"/>
                <w:szCs w:val="20"/>
                <w:color w:val="auto"/>
              </w:rPr>
            </w:pPr>
            <w:r>
              <w:rPr>
                <w:rFonts w:ascii="Arial" w:cs="Arial" w:eastAsia="Arial" w:hAnsi="Arial"/>
                <w:sz w:val="18"/>
                <w:szCs w:val="18"/>
                <w:color w:val="auto"/>
              </w:rPr>
              <w:t>180,598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3,099,338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Directors who are not ViaSat employees are not eligible to participate in the Purchase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 xml:space="preserve">The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amendment to the Employee Stock Purchase Plan.</w:t>
      </w: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OWNERSHIP OF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Table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information known to us regarding the ownership of ViaSat common stock as of July 1, 2009 by:</w:t>
      </w:r>
    </w:p>
    <w:p>
      <w:pPr>
        <w:spacing w:after="0" w:line="35" w:lineRule="exact"/>
        <w:rPr>
          <w:sz w:val="20"/>
          <w:szCs w:val="20"/>
          <w:color w:val="auto"/>
        </w:rPr>
      </w:pPr>
    </w:p>
    <w:p>
      <w:pPr>
        <w:ind w:left="700" w:right="300" w:hanging="7"/>
        <w:spacing w:after="0" w:line="255"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Owner(1)</w:t>
            </w:r>
          </w:p>
        </w:tc>
        <w:tc>
          <w:tcPr>
            <w:tcW w:w="186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 and Nature of</w:t>
            </w:r>
          </w:p>
        </w:tc>
        <w:tc>
          <w:tcPr>
            <w:tcW w:w="6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 Beneficial</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60" w:type="dxa"/>
            <w:vAlign w:val="bottom"/>
          </w:tcPr>
          <w:p>
            <w:pPr>
              <w:jc w:val="right"/>
              <w:ind w:right="112"/>
              <w:spacing w:after="0"/>
              <w:rPr>
                <w:sz w:val="20"/>
                <w:szCs w:val="20"/>
                <w:color w:val="auto"/>
              </w:rPr>
            </w:pPr>
            <w:r>
              <w:rPr>
                <w:rFonts w:ascii="Arial" w:cs="Arial" w:eastAsia="Arial" w:hAnsi="Arial"/>
                <w:sz w:val="14"/>
                <w:szCs w:val="14"/>
                <w:b w:val="1"/>
                <w:bCs w:val="1"/>
                <w:color w:val="auto"/>
              </w:rPr>
              <w:t>Beneficial Ownership(2)</w:t>
            </w:r>
          </w:p>
        </w:tc>
        <w:tc>
          <w:tcPr>
            <w:tcW w:w="6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Ownership (%)(3)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20" w:type="dxa"/>
            <w:vAlign w:val="bottom"/>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Mark D. Dankberg</w:t>
            </w:r>
          </w:p>
        </w:tc>
        <w:tc>
          <w:tcPr>
            <w:tcW w:w="1860" w:type="dxa"/>
            <w:vAlign w:val="bottom"/>
          </w:tcPr>
          <w:p>
            <w:pPr>
              <w:jc w:val="right"/>
              <w:spacing w:after="0"/>
              <w:rPr>
                <w:sz w:val="20"/>
                <w:szCs w:val="20"/>
                <w:color w:val="auto"/>
              </w:rPr>
            </w:pPr>
            <w:r>
              <w:rPr>
                <w:rFonts w:ascii="Arial" w:cs="Arial" w:eastAsia="Arial" w:hAnsi="Arial"/>
                <w:sz w:val="18"/>
                <w:szCs w:val="18"/>
                <w:color w:val="auto"/>
              </w:rPr>
              <w:t>1,892,002</w:t>
            </w:r>
          </w:p>
        </w:tc>
        <w:tc>
          <w:tcPr>
            <w:tcW w:w="640" w:type="dxa"/>
            <w:vAlign w:val="bottom"/>
          </w:tcPr>
          <w:p>
            <w:pPr>
              <w:ind w:left="40"/>
              <w:spacing w:after="0"/>
              <w:rPr>
                <w:sz w:val="20"/>
                <w:szCs w:val="20"/>
                <w:color w:val="auto"/>
              </w:rPr>
            </w:pPr>
            <w:r>
              <w:rPr>
                <w:rFonts w:ascii="Arial" w:cs="Arial" w:eastAsia="Arial" w:hAnsi="Arial"/>
                <w:sz w:val="18"/>
                <w:szCs w:val="18"/>
                <w:color w:val="auto"/>
              </w:rPr>
              <w:t>(4)</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818,590</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Robert W. Johnson</w:t>
            </w:r>
          </w:p>
        </w:tc>
        <w:tc>
          <w:tcPr>
            <w:tcW w:w="1860" w:type="dxa"/>
            <w:vAlign w:val="bottom"/>
          </w:tcPr>
          <w:p>
            <w:pPr>
              <w:jc w:val="right"/>
              <w:spacing w:after="0"/>
              <w:rPr>
                <w:sz w:val="20"/>
                <w:szCs w:val="20"/>
                <w:color w:val="auto"/>
              </w:rPr>
            </w:pPr>
            <w:r>
              <w:rPr>
                <w:rFonts w:ascii="Arial" w:cs="Arial" w:eastAsia="Arial" w:hAnsi="Arial"/>
                <w:sz w:val="18"/>
                <w:szCs w:val="18"/>
                <w:color w:val="auto"/>
              </w:rPr>
              <w:t>642,496</w:t>
            </w:r>
          </w:p>
        </w:tc>
        <w:tc>
          <w:tcPr>
            <w:tcW w:w="640" w:type="dxa"/>
            <w:vAlign w:val="bottom"/>
          </w:tcPr>
          <w:p>
            <w:pPr>
              <w:ind w:left="40"/>
              <w:spacing w:after="0"/>
              <w:rPr>
                <w:sz w:val="20"/>
                <w:szCs w:val="20"/>
                <w:color w:val="auto"/>
              </w:rPr>
            </w:pPr>
            <w:r>
              <w:rPr>
                <w:rFonts w:ascii="Arial" w:cs="Arial" w:eastAsia="Arial" w:hAnsi="Arial"/>
                <w:sz w:val="18"/>
                <w:szCs w:val="18"/>
                <w:color w:val="auto"/>
              </w:rPr>
              <w:t>(6)</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393,164</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 Allen Lay</w:t>
            </w:r>
          </w:p>
        </w:tc>
        <w:tc>
          <w:tcPr>
            <w:tcW w:w="1860" w:type="dxa"/>
            <w:vAlign w:val="bottom"/>
          </w:tcPr>
          <w:p>
            <w:pPr>
              <w:jc w:val="right"/>
              <w:spacing w:after="0"/>
              <w:rPr>
                <w:sz w:val="20"/>
                <w:szCs w:val="20"/>
                <w:color w:val="auto"/>
              </w:rPr>
            </w:pPr>
            <w:r>
              <w:rPr>
                <w:rFonts w:ascii="Arial" w:cs="Arial" w:eastAsia="Arial" w:hAnsi="Arial"/>
                <w:sz w:val="18"/>
                <w:szCs w:val="18"/>
                <w:color w:val="auto"/>
              </w:rPr>
              <w:t>378,678</w:t>
            </w:r>
          </w:p>
        </w:tc>
        <w:tc>
          <w:tcPr>
            <w:tcW w:w="640" w:type="dxa"/>
            <w:vAlign w:val="bottom"/>
          </w:tcPr>
          <w:p>
            <w:pPr>
              <w:ind w:left="40"/>
              <w:spacing w:after="0"/>
              <w:rPr>
                <w:sz w:val="20"/>
                <w:szCs w:val="20"/>
                <w:color w:val="auto"/>
              </w:rPr>
            </w:pPr>
            <w:r>
              <w:rPr>
                <w:rFonts w:ascii="Arial" w:cs="Arial" w:eastAsia="Arial" w:hAnsi="Arial"/>
                <w:sz w:val="18"/>
                <w:szCs w:val="18"/>
                <w:color w:val="auto"/>
              </w:rPr>
              <w:t>(8)</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Jeffrey M. Nash</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370,090</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Richard A. Baldridge</w:t>
            </w:r>
          </w:p>
        </w:tc>
        <w:tc>
          <w:tcPr>
            <w:tcW w:w="1860" w:type="dxa"/>
            <w:vAlign w:val="bottom"/>
          </w:tcPr>
          <w:p>
            <w:pPr>
              <w:jc w:val="right"/>
              <w:spacing w:after="0"/>
              <w:rPr>
                <w:sz w:val="20"/>
                <w:szCs w:val="20"/>
                <w:color w:val="auto"/>
              </w:rPr>
            </w:pPr>
            <w:r>
              <w:rPr>
                <w:rFonts w:ascii="Arial" w:cs="Arial" w:eastAsia="Arial" w:hAnsi="Arial"/>
                <w:sz w:val="18"/>
                <w:szCs w:val="18"/>
                <w:color w:val="auto"/>
              </w:rPr>
              <w:t>278,800</w:t>
            </w:r>
          </w:p>
        </w:tc>
        <w:tc>
          <w:tcPr>
            <w:tcW w:w="640" w:type="dxa"/>
            <w:vAlign w:val="bottom"/>
          </w:tcPr>
          <w:p>
            <w:pPr>
              <w:ind w:left="40"/>
              <w:spacing w:after="0"/>
              <w:rPr>
                <w:sz w:val="20"/>
                <w:szCs w:val="20"/>
                <w:color w:val="auto"/>
              </w:rPr>
            </w:pPr>
            <w:r>
              <w:rPr>
                <w:rFonts w:ascii="Arial" w:cs="Arial" w:eastAsia="Arial" w:hAnsi="Arial"/>
                <w:sz w:val="18"/>
                <w:szCs w:val="18"/>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Michael B. Targoff</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Ronald G. Wangerin</w:t>
            </w:r>
          </w:p>
        </w:tc>
        <w:tc>
          <w:tcPr>
            <w:tcW w:w="1860" w:type="dxa"/>
            <w:vAlign w:val="bottom"/>
          </w:tcPr>
          <w:p>
            <w:pPr>
              <w:jc w:val="right"/>
              <w:spacing w:after="0"/>
              <w:rPr>
                <w:sz w:val="20"/>
                <w:szCs w:val="20"/>
                <w:color w:val="auto"/>
              </w:rPr>
            </w:pPr>
            <w:r>
              <w:rPr>
                <w:rFonts w:ascii="Arial" w:cs="Arial" w:eastAsia="Arial" w:hAnsi="Arial"/>
                <w:sz w:val="18"/>
                <w:szCs w:val="18"/>
                <w:color w:val="auto"/>
              </w:rPr>
              <w:t>83,075</w:t>
            </w:r>
          </w:p>
        </w:tc>
        <w:tc>
          <w:tcPr>
            <w:tcW w:w="640" w:type="dxa"/>
            <w:vAlign w:val="bottom"/>
          </w:tcPr>
          <w:p>
            <w:pPr>
              <w:ind w:left="40"/>
              <w:spacing w:after="0"/>
              <w:rPr>
                <w:sz w:val="20"/>
                <w:szCs w:val="20"/>
                <w:color w:val="auto"/>
              </w:rPr>
            </w:pPr>
            <w:r>
              <w:rPr>
                <w:rFonts w:ascii="Arial" w:cs="Arial" w:eastAsia="Arial" w:hAnsi="Arial"/>
                <w:sz w:val="18"/>
                <w:szCs w:val="18"/>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Harvey P. White</w:t>
            </w:r>
          </w:p>
        </w:tc>
        <w:tc>
          <w:tcPr>
            <w:tcW w:w="1860" w:type="dxa"/>
            <w:vAlign w:val="bottom"/>
          </w:tcPr>
          <w:p>
            <w:pPr>
              <w:jc w:val="right"/>
              <w:spacing w:after="0"/>
              <w:rPr>
                <w:sz w:val="20"/>
                <w:szCs w:val="20"/>
                <w:color w:val="auto"/>
              </w:rPr>
            </w:pPr>
            <w:r>
              <w:rPr>
                <w:rFonts w:ascii="Arial" w:cs="Arial" w:eastAsia="Arial" w:hAnsi="Arial"/>
                <w:sz w:val="18"/>
                <w:szCs w:val="18"/>
                <w:color w:val="auto"/>
              </w:rPr>
              <w:t>45,000</w:t>
            </w:r>
          </w:p>
        </w:tc>
        <w:tc>
          <w:tcPr>
            <w:tcW w:w="640" w:type="dxa"/>
            <w:vAlign w:val="bottom"/>
          </w:tcPr>
          <w:p>
            <w:pPr>
              <w:ind w:left="40"/>
              <w:spacing w:after="0"/>
              <w:rPr>
                <w:sz w:val="20"/>
                <w:szCs w:val="20"/>
                <w:color w:val="auto"/>
              </w:rPr>
            </w:pPr>
            <w:r>
              <w:rPr>
                <w:rFonts w:ascii="Arial" w:cs="Arial" w:eastAsia="Arial" w:hAnsi="Arial"/>
                <w:sz w:val="18"/>
                <w:szCs w:val="18"/>
                <w:color w:val="auto"/>
              </w:rPr>
              <w:t>(14)</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(14 persons)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5,151,196</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5% Stockholders:</w:t>
            </w:r>
          </w:p>
        </w:tc>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FMR LLC</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4,051,572</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Barclays Global entities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1,846,602</w:t>
            </w:r>
          </w:p>
        </w:tc>
        <w:tc>
          <w:tcPr>
            <w:tcW w:w="640" w:type="dxa"/>
            <w:vAlign w:val="bottom"/>
          </w:tcPr>
          <w:p>
            <w:pPr>
              <w:ind w:left="40"/>
              <w:spacing w:after="0"/>
              <w:rPr>
                <w:sz w:val="20"/>
                <w:szCs w:val="20"/>
                <w:color w:val="auto"/>
              </w:rPr>
            </w:pPr>
            <w:r>
              <w:rPr>
                <w:rFonts w:ascii="Arial" w:cs="Arial" w:eastAsia="Arial" w:hAnsi="Arial"/>
                <w:sz w:val="18"/>
                <w:szCs w:val="18"/>
                <w:color w:val="auto"/>
              </w:rPr>
              <w:t>(16)</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860"/>
        <w:spacing w:after="0"/>
        <w:tabs>
          <w:tab w:leader="none" w:pos="1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63" w:lineRule="exact"/>
        <w:rPr>
          <w:sz w:val="20"/>
          <w:szCs w:val="20"/>
          <w:color w:val="auto"/>
        </w:rPr>
      </w:pPr>
    </w:p>
    <w:p>
      <w:pPr>
        <w:ind w:left="1100" w:right="160" w:hanging="307"/>
        <w:spacing w:after="0" w:line="305" w:lineRule="auto"/>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rules of the SEC, a person is the beneficial owner of securities if that person has sole or shared voting or investment power. Except as indicated in the footnotes to this table and subject to applicable community property laws, to our knowledge, the persons named in the table have sole voting and investment power with respect to all shares of common stock beneficially owned.</w:t>
      </w:r>
    </w:p>
    <w:p>
      <w:pPr>
        <w:ind w:left="1100" w:right="80" w:hanging="307"/>
        <w:spacing w:after="0" w:line="25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July 1, 2009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on or within 60 days after July 1, 2009 and references to restricted stock units in the footnotes of the table include only restricted stock units that would vest and settle on or within 60 days after July 1, 2009.</w:t>
      </w:r>
    </w:p>
    <w:p>
      <w:pPr>
        <w:spacing w:after="0" w:line="27" w:lineRule="exact"/>
        <w:rPr>
          <w:rFonts w:ascii="Arial" w:cs="Arial" w:eastAsia="Arial" w:hAnsi="Arial"/>
          <w:sz w:val="18"/>
          <w:szCs w:val="18"/>
          <w:color w:val="auto"/>
        </w:rPr>
      </w:pPr>
    </w:p>
    <w:p>
      <w:pPr>
        <w:ind w:left="1100" w:right="200" w:hanging="307"/>
        <w:spacing w:after="0" w:line="286"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each person included in the table, percentage ownership is calculated by dividing the number of shares beneficially owned by such person by the sum of (a) 31,587,938 shares of common stock outstanding on July 1, 2009 plus (b) the number of shares of common stock that such person had the right to acquire within 60 days after July 1, 2009.</w:t>
      </w:r>
    </w:p>
    <w:p>
      <w:pPr>
        <w:spacing w:after="0" w:line="3" w:lineRule="exact"/>
        <w:rPr>
          <w:rFonts w:ascii="Arial" w:cs="Arial" w:eastAsia="Arial" w:hAnsi="Arial"/>
          <w:sz w:val="17"/>
          <w:szCs w:val="17"/>
          <w:color w:val="auto"/>
        </w:rPr>
      </w:pPr>
    </w:p>
    <w:p>
      <w:pPr>
        <w:ind w:left="1100" w:right="780" w:hanging="307"/>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360,626 shares subject to options exercisable by Mr. Dankberg within 60 days after July 1, 2009. The address of Mr. Dankberg is 6155 El Camino Real, Carlsbad, California 92009.</w:t>
      </w:r>
    </w:p>
    <w:p>
      <w:pPr>
        <w:spacing w:after="0" w:line="8" w:lineRule="exact"/>
        <w:rPr>
          <w:rFonts w:ascii="Arial" w:cs="Arial" w:eastAsia="Arial" w:hAnsi="Arial"/>
          <w:sz w:val="18"/>
          <w:szCs w:val="18"/>
          <w:color w:val="auto"/>
        </w:rPr>
      </w:pPr>
    </w:p>
    <w:p>
      <w:pPr>
        <w:jc w:val="both"/>
        <w:ind w:left="1100" w:right="420" w:hanging="307"/>
        <w:spacing w:after="0" w:line="264"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99,126 shares subject to options exercisable by Mr. Hart within 60 days after July 1, 2009 and 3,000 shares subject to restricted stock units granted to Mr. Hart. These restricted stock units have vested, but the underlying shares have not yet been delivered or acquired.</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hanging="3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82,000 shares subject to options exercisable by Mr. Johnson within 60 days after July 1, 2009.</w:t>
      </w:r>
    </w:p>
    <w:p>
      <w:pPr>
        <w:spacing w:after="0" w:line="63" w:lineRule="exact"/>
        <w:rPr>
          <w:rFonts w:ascii="Arial" w:cs="Arial" w:eastAsia="Arial" w:hAnsi="Arial"/>
          <w:sz w:val="18"/>
          <w:szCs w:val="18"/>
          <w:color w:val="auto"/>
        </w:rPr>
      </w:pPr>
    </w:p>
    <w:p>
      <w:pPr>
        <w:jc w:val="both"/>
        <w:ind w:left="1100" w:right="260" w:hanging="307"/>
        <w:spacing w:after="0" w:line="26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84,876 shares subject to options exercisable by Mr. Miller within 60 days after July 1, 2009 and 4,042 shares subject to restricted stock units granted to Mr. Miller. These restricted stock units have vested, but the underlying shares have not yet been delivered or acquired.</w:t>
      </w:r>
    </w:p>
    <w:p>
      <w:pPr>
        <w:spacing w:after="0" w:line="19" w:lineRule="exact"/>
        <w:rPr>
          <w:rFonts w:ascii="Arial" w:cs="Arial" w:eastAsia="Arial" w:hAnsi="Arial"/>
          <w:sz w:val="18"/>
          <w:szCs w:val="18"/>
          <w:color w:val="auto"/>
        </w:rPr>
      </w:pPr>
    </w:p>
    <w:p>
      <w:pPr>
        <w:ind w:left="1100" w:hanging="307"/>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(a) 30,400 shares held by the Lay Charitable Remainder Unitrust, (b) 114,442 shares held by the Lay Living Trust,</w:t>
      </w:r>
    </w:p>
    <w:p>
      <w:pPr>
        <w:spacing w:after="0" w:line="34" w:lineRule="exact"/>
        <w:rPr>
          <w:rFonts w:ascii="Arial" w:cs="Arial" w:eastAsia="Arial" w:hAnsi="Arial"/>
          <w:sz w:val="17"/>
          <w:szCs w:val="17"/>
          <w:color w:val="auto"/>
        </w:rPr>
      </w:pPr>
    </w:p>
    <w:p>
      <w:pPr>
        <w:ind w:left="1100" w:right="460"/>
        <w:spacing w:after="0" w:line="261" w:lineRule="auto"/>
        <w:rPr>
          <w:rFonts w:ascii="Arial" w:cs="Arial" w:eastAsia="Arial" w:hAnsi="Arial"/>
          <w:sz w:val="17"/>
          <w:szCs w:val="17"/>
          <w:color w:val="auto"/>
        </w:rPr>
      </w:pPr>
      <w:r>
        <w:rPr>
          <w:rFonts w:ascii="Arial" w:cs="Arial" w:eastAsia="Arial" w:hAnsi="Arial"/>
          <w:sz w:val="18"/>
          <w:szCs w:val="18"/>
          <w:color w:val="auto"/>
        </w:rPr>
        <w:t>(c) 151,836 shares held by Lay Ventures, and (d) 82,000 shares subject to options exercisable by Mr. Lay within 60 days after July 1, 2009.</w:t>
      </w:r>
    </w:p>
    <w:p>
      <w:pPr>
        <w:spacing w:after="0" w:line="21" w:lineRule="exact"/>
        <w:rPr>
          <w:rFonts w:ascii="Arial" w:cs="Arial" w:eastAsia="Arial" w:hAnsi="Arial"/>
          <w:sz w:val="17"/>
          <w:szCs w:val="17"/>
          <w:color w:val="auto"/>
        </w:rPr>
      </w:pPr>
    </w:p>
    <w:p>
      <w:pPr>
        <w:ind w:left="1100" w:hanging="3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72,800 shares subject to options exercisable by Mr. Nash within 60 days after July 1, 2009.</w:t>
      </w:r>
    </w:p>
    <w:p>
      <w:pPr>
        <w:spacing w:after="0" w:line="63" w:lineRule="exact"/>
        <w:rPr>
          <w:rFonts w:ascii="Arial" w:cs="Arial" w:eastAsia="Arial" w:hAnsi="Arial"/>
          <w:sz w:val="18"/>
          <w:szCs w:val="18"/>
          <w:color w:val="auto"/>
        </w:rPr>
      </w:pPr>
    </w:p>
    <w:p>
      <w:pPr>
        <w:ind w:left="1100" w:hanging="39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263,125 shares subject to options exercisable by Mr. Baldridge within 60 days after July 1, 2009.</w:t>
      </w:r>
    </w:p>
    <w:p>
      <w:pPr>
        <w:spacing w:after="0" w:line="63" w:lineRule="exact"/>
        <w:rPr>
          <w:rFonts w:ascii="Arial" w:cs="Arial" w:eastAsia="Arial" w:hAnsi="Arial"/>
          <w:sz w:val="18"/>
          <w:szCs w:val="18"/>
          <w:color w:val="auto"/>
        </w:rPr>
      </w:pPr>
    </w:p>
    <w:p>
      <w:pPr>
        <w:ind w:left="1100" w:hanging="390"/>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65,000 shares subject to options exercisable by Mr. Targoff within 60 days after July 1, 2009.</w:t>
      </w:r>
    </w:p>
    <w:p>
      <w:pPr>
        <w:spacing w:after="0" w:line="63" w:lineRule="exact"/>
        <w:rPr>
          <w:rFonts w:ascii="Arial" w:cs="Arial" w:eastAsia="Arial" w:hAnsi="Arial"/>
          <w:sz w:val="18"/>
          <w:szCs w:val="18"/>
          <w:color w:val="auto"/>
        </w:rPr>
      </w:pPr>
    </w:p>
    <w:p>
      <w:pPr>
        <w:ind w:left="1100" w:hanging="39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79,250 shares subject to options exercisable by Mr. Wangerin within 60 days after July 1, 2009.</w:t>
      </w:r>
    </w:p>
    <w:p>
      <w:pPr>
        <w:spacing w:after="0" w:line="63" w:lineRule="exact"/>
        <w:rPr>
          <w:rFonts w:ascii="Arial" w:cs="Arial" w:eastAsia="Arial" w:hAnsi="Arial"/>
          <w:sz w:val="18"/>
          <w:szCs w:val="18"/>
          <w:color w:val="auto"/>
        </w:rPr>
      </w:pPr>
    </w:p>
    <w:p>
      <w:pPr>
        <w:ind w:left="1100" w:hanging="39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55,000 shares subject to options exercisable by Mr. Stenbit within 60 days after July 1, 2009.</w:t>
      </w:r>
    </w:p>
    <w:p>
      <w:pPr>
        <w:spacing w:after="0" w:line="63" w:lineRule="exact"/>
        <w:rPr>
          <w:rFonts w:ascii="Arial" w:cs="Arial" w:eastAsia="Arial" w:hAnsi="Arial"/>
          <w:sz w:val="18"/>
          <w:szCs w:val="18"/>
          <w:color w:val="auto"/>
        </w:rPr>
      </w:pPr>
    </w:p>
    <w:p>
      <w:pPr>
        <w:ind w:left="1100" w:hanging="39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45,000 shares subject to options exercisable by Mr. White within 60 days after July 1, 2009.</w:t>
      </w:r>
    </w:p>
    <w:p>
      <w:pPr>
        <w:spacing w:after="0" w:line="63" w:lineRule="exact"/>
        <w:rPr>
          <w:rFonts w:ascii="Arial" w:cs="Arial" w:eastAsia="Arial" w:hAnsi="Arial"/>
          <w:sz w:val="18"/>
          <w:szCs w:val="18"/>
          <w:color w:val="auto"/>
        </w:rPr>
      </w:pPr>
    </w:p>
    <w:p>
      <w:pPr>
        <w:ind w:left="1100" w:right="200" w:hanging="397"/>
        <w:spacing w:after="0" w:line="277"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17, 2009 by FMR LLC. The address of FMR LLC is 82 Devonshire Street, Boston, Massachusetts 02109.</w:t>
      </w:r>
    </w:p>
    <w:p>
      <w:pPr>
        <w:spacing w:after="0" w:line="8" w:lineRule="exact"/>
        <w:rPr>
          <w:rFonts w:ascii="Arial" w:cs="Arial" w:eastAsia="Arial" w:hAnsi="Arial"/>
          <w:sz w:val="18"/>
          <w:szCs w:val="18"/>
          <w:color w:val="auto"/>
        </w:rPr>
      </w:pPr>
    </w:p>
    <w:p>
      <w:pPr>
        <w:ind w:left="1100" w:hanging="397"/>
        <w:spacing w:after="0" w:line="288"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filed with the SEC on February 5, 2009 by Barclays Global Investors, NA, Barclays Global Fund Advisors and Barclays Global Investors, LTD. The Schedule 13G reports that Barclays Global Investors, NA, Barclays Global Fund Advisors and Barclays Global Investors, LTD have sole power to vote or to direct the vote of</w:t>
      </w:r>
    </w:p>
    <w:p>
      <w:pPr>
        <w:ind w:left="1100" w:right="120"/>
        <w:spacing w:after="0" w:line="302" w:lineRule="auto"/>
        <w:rPr>
          <w:rFonts w:ascii="Arial" w:cs="Arial" w:eastAsia="Arial" w:hAnsi="Arial"/>
          <w:sz w:val="16"/>
          <w:szCs w:val="16"/>
          <w:color w:val="auto"/>
        </w:rPr>
      </w:pPr>
      <w:r>
        <w:rPr>
          <w:rFonts w:ascii="Arial" w:cs="Arial" w:eastAsia="Arial" w:hAnsi="Arial"/>
          <w:sz w:val="16"/>
          <w:szCs w:val="16"/>
          <w:color w:val="auto"/>
        </w:rPr>
        <w:t>628,706 shares, 794,967 shares and 925 shares, respectively. Barclays Global Investors, NA, Barclays Global Fund Advisors and Barclays Global Investors, LTD have sole power to dispose or to direct the disposition of 724,421 shares, 1,103,877 shares and 18,304 shares, respectively. The address of Barclays Global Investors, NA is 400 Howard Street, San Francisco, California 94105.</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April 3, 2009, with the exceptions noted herein. A late report was filed on behalf of Mr. Stenbit with respect to a single transaction involving the annual equity grant of stock options. A late report was filed on behalf of each of Mr. Dankberg and Mr. Hart relating to the settlement of restricted stock units and the withholding of shares to satisfy the tax withholding obligations resulting therefrom.</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The following Compensation Discussion and Analysis provides information regarding the compensation program in place for our executive officers, including the Named Executive Officers identified in the Summary Compensation Table, during our 2009 fiscal year. In particular, this Compensation Discussion and Analysis provides information related to each of the following aspects of our executive compensation program:</w:t>
      </w:r>
    </w:p>
    <w:p>
      <w:pPr>
        <w:spacing w:after="0" w:line="92"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131"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31"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Our executive compensation program incorporates these components because our Compensation and Human Resources Committee considers a blend of these components to be necessary and effective in order to provide a competitive total compensation package to our executive officers while meeting the principal objectives of our executive compensation program. In addition, the Compensation and Human Resources Committee believes that our use of base salary, annual cash bonuses and long-term equity awards as the primary components of our executive compensation program is consistent with the executive compensation programs employed by technology companies of similar size and stage of growth.</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overall compensation objectives are premised on the following three fundamental principles, each of which is discussed below:</w:t>
      </w:r>
    </w:p>
    <w:p>
      <w:pPr>
        <w:spacing w:after="0" w:line="46" w:lineRule="exact"/>
        <w:rPr>
          <w:sz w:val="20"/>
          <w:szCs w:val="20"/>
          <w:color w:val="auto"/>
        </w:rPr>
      </w:pPr>
    </w:p>
    <w:p>
      <w:pPr>
        <w:ind w:left="700" w:right="60" w:hanging="7"/>
        <w:spacing w:after="0" w:line="281" w:lineRule="auto"/>
        <w:tabs>
          <w:tab w:leader="none" w:pos="9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significant portion of executive compensation should be performance-based, linking the achievement of company financial objectives and individual objectives; (2) the financial interests of our executive management and our stockholders should be aligned; and</w:t>
      </w:r>
    </w:p>
    <w:p>
      <w:pPr>
        <w:spacing w:after="0" w:line="1" w:lineRule="exact"/>
        <w:rPr>
          <w:rFonts w:ascii="Arial" w:cs="Arial" w:eastAsia="Arial" w:hAnsi="Arial"/>
          <w:sz w:val="16"/>
          <w:szCs w:val="16"/>
          <w:color w:val="auto"/>
        </w:rPr>
      </w:pPr>
    </w:p>
    <w:p>
      <w:pPr>
        <w:ind w:left="700" w:right="100" w:hanging="7"/>
        <w:spacing w:after="0" w:line="261" w:lineRule="auto"/>
        <w:tabs>
          <w:tab w:leader="none" w:pos="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 compensation program should be structured so that we can compete in the marketplace in hiring and retaining top level executives in our industry with compensation that is competitive and fair.</w:t>
      </w:r>
    </w:p>
    <w:p>
      <w:pPr>
        <w:spacing w:after="0" w:line="89"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Performance-Based Compensation. </w:t>
      </w:r>
      <w:r>
        <w:rPr>
          <w:rFonts w:ascii="Arial" w:cs="Arial" w:eastAsia="Arial" w:hAnsi="Arial"/>
          <w:sz w:val="17"/>
          <w:szCs w:val="17"/>
          <w:color w:val="auto"/>
        </w:rPr>
        <w:t>We strongly believe that a significant amount of executive compensation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In other words, our compensation program is designed to reward superior performance, and we believe that our executive officers should feel accountable for the overall performance of our business and their individual performance. In order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w:t>
      </w:r>
    </w:p>
    <w:p>
      <w:pPr>
        <w:spacing w:after="0" w:line="8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Alignment with Stockholder Interests. </w:t>
      </w:r>
      <w:r>
        <w:rPr>
          <w:rFonts w:ascii="Arial" w:cs="Arial" w:eastAsia="Arial" w:hAnsi="Arial"/>
          <w:sz w:val="18"/>
          <w:szCs w:val="18"/>
          <w:color w:val="auto"/>
        </w:rPr>
        <w:t>We believe that executive compensation and stockholder interests should be linked,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is designed so that the financial interests of our executive officers are aligned with the interests of our stockholders. We accomplish this objective in a couple of ways. First, as noted above, payments of annual cash bonuses are based on, among other things, pre-determined financial performance metrics and operational targets that, if achieved, we believe enhance the value of our common stock.</w:t>
      </w:r>
    </w:p>
    <w:p>
      <w:pPr>
        <w:spacing w:after="0" w:line="94"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Second, a significant portion of the total compensation paid to our executive officers is paid in the form of equity to further align the interests of our executive officers and our stockholders. In this regard, our executive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officers are subject to the downside risk of a decrease in the value of their compensation in the event that the price of our common stock declines. We believe that a combination of restricted stock units and stock option awards, which each vest with the passage of time, provide meaningful long-term awards that are directly related to the enhancement of stockholder value. Equity awards are intended to reward our executive officers upon achieving operational and financial goals that we believe ultimately will be reflected in the value of our common stock. In addition, the time-vesting schedule of restricted stock units and stock option awards furthers the goal of executive retention.</w:t>
      </w:r>
    </w:p>
    <w:p>
      <w:pPr>
        <w:spacing w:after="0" w:line="99"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Structure Allows Competitive and Fair Compensation Packages. </w:t>
      </w:r>
      <w:r>
        <w:rPr>
          <w:rFonts w:ascii="Arial" w:cs="Arial" w:eastAsia="Arial" w:hAnsi="Arial"/>
          <w:sz w:val="16"/>
          <w:szCs w:val="16"/>
          <w:color w:val="auto"/>
        </w:rPr>
        <w:t>We develop and manufacture innovative satellite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communications and networking systems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131"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(including base salary, annual cash bonuses and long-term equity awards)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Three outside directors currently serve on the Compensation and Human Resources Committee. Each member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72"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financial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Industry Compensation Data. </w:t>
      </w:r>
      <w:r>
        <w:rPr>
          <w:rFonts w:ascii="Arial" w:cs="Arial" w:eastAsia="Arial" w:hAnsi="Arial"/>
          <w:sz w:val="17"/>
          <w:szCs w:val="17"/>
          <w:color w:val="auto"/>
        </w:rPr>
        <w:t>The Compensation and Human Resources Committee reviews the executive compensation data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technology companies and other companies which are otherwise relevant as part of the process of determining executive compensation. In fiscal 2009, the Compensation and Human Resources Committee engaged Compensia, independent compensation consultant to the Compensation and Human Resources Committee, to provide insight and advice on matters regarding trends in executive officer compensation and benefits practices. With the assistance of Compensia, the Compensation and Human Resources Committee reviewed the compensation practices of a peer group of companies consisting of a broad range of companies in the high technology industry. In 2009, our peer group consisted of the following companies: Arris Group, Ciena, Comtech Telecommunications, Cubic, Cymer, FLIR Systems, Harmonic, Harris Stratex Networks, Infinera, Loral Space &amp; Communications, Orbital Sciences, PMC-Sierra, Polycom, RF Micro Devices, Skyworks Solutions,</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85" w:lineRule="auto"/>
        <w:rPr>
          <w:sz w:val="20"/>
          <w:szCs w:val="20"/>
          <w:color w:val="auto"/>
        </w:rPr>
      </w:pPr>
      <w:r>
        <w:rPr>
          <w:rFonts w:ascii="Arial" w:cs="Arial" w:eastAsia="Arial" w:hAnsi="Arial"/>
          <w:sz w:val="16"/>
          <w:szCs w:val="16"/>
          <w:color w:val="auto"/>
        </w:rPr>
        <w:t>Tekelec, Trimble Navigation and 3Com. The peer group was selected based on industry, net income, revenues, earnings per share and market capitalization. The Compensation and Human Resources Committee believes that this group of companies provides an appropriate peer group because they consist of similar organizations against whom we compete to obtain and retain top quality talent. In addition to peer group data, the Compensation and Human Resources Committee also analyzed and incorporated market information from the Radford Executive Compensation Survey, a nationally recognized compensation survey containing market information of companies in the high technology industry. This survey was not compiled specifically for ViaSat but rather represents a database containing comparative compensation data and information for hundreds of other high technology companies, thereby permitting the Compensation and Human Resources Committee to review pooled compensation data for positions similar to those held by each executive officer. Unlike peer group compensation data, which is limited to publicly available information and does not provide precise comparisons by position,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and includes a wide range of other organizations in the communications sector outside ViaSat’s traditional competitors, which range is represented by such surveys. As a result, the primary role of peer group compensation data historically has been to serve as verification that the industry survey data is consistent with ViaSat’s direct publicly-traded peers in the United States, and the Compensation and Human Resources Committee continues to primarily rely on industry survey data in determining actual executive compensation.</w:t>
      </w:r>
    </w:p>
    <w:p>
      <w:pPr>
        <w:spacing w:after="0" w:line="83" w:lineRule="exact"/>
        <w:rPr>
          <w:sz w:val="20"/>
          <w:szCs w:val="20"/>
          <w:color w:val="auto"/>
        </w:rPr>
      </w:pPr>
    </w:p>
    <w:p>
      <w:pPr>
        <w:ind w:left="700" w:right="100" w:firstLine="397"/>
        <w:spacing w:after="0" w:line="290"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The Compensation and Human Resources Committee makes an assessment of individual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individual executive performance and contributions. With respect to assessing the individual performance of our Chief Executive Officer, the Compensation and Human Resources Committee relies on an annual assessment completed by our Nomination and Evaluation Committee. The Compensation and Human Resources Committee believes input from management and outside advisors is valuable; however, the Compensation and Human Resources Committee makes its recommendations and decisions based on its independent analysis and assessment.</w:t>
      </w:r>
    </w:p>
    <w:p>
      <w:pPr>
        <w:spacing w:after="0" w:line="72"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Company Financial Performance. </w:t>
      </w:r>
      <w:r>
        <w:rPr>
          <w:rFonts w:ascii="Arial" w:cs="Arial" w:eastAsia="Arial" w:hAnsi="Arial"/>
          <w:sz w:val="17"/>
          <w:szCs w:val="17"/>
          <w:color w:val="auto"/>
        </w:rPr>
        <w:t>As previously discussed, a major component of our executive compensation program is the</w:t>
      </w:r>
      <w:r>
        <w:rPr>
          <w:rFonts w:ascii="Arial" w:cs="Arial" w:eastAsia="Arial" w:hAnsi="Arial"/>
          <w:sz w:val="17"/>
          <w:szCs w:val="17"/>
          <w:i w:val="1"/>
          <w:iCs w:val="1"/>
          <w:color w:val="auto"/>
        </w:rPr>
        <w:t xml:space="preserve"> </w:t>
      </w:r>
      <w:r>
        <w:rPr>
          <w:rFonts w:ascii="Arial" w:cs="Arial" w:eastAsia="Arial" w:hAnsi="Arial"/>
          <w:sz w:val="17"/>
          <w:szCs w:val="17"/>
          <w:color w:val="auto"/>
        </w:rPr>
        <w:t>belief that a significant amount of executive compensation should be based on performance, including company financial performance. Although the Compensation and Human Resources Committee uses financial performance metrics as a basis for determining annual cash bonus compensation, company financial performance is also an important factor considered by the Compensation and Human Resources Committee in determining both base salary and equity awards.</w:t>
      </w:r>
    </w:p>
    <w:p>
      <w:pPr>
        <w:spacing w:after="0" w:line="78"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i w:val="1"/>
          <w:iCs w:val="1"/>
          <w:color w:val="auto"/>
        </w:rPr>
        <w:t xml:space="preserve">Total Executive Compensation. </w:t>
      </w:r>
      <w:r>
        <w:rPr>
          <w:rFonts w:ascii="Arial" w:cs="Arial" w:eastAsia="Arial" w:hAnsi="Arial"/>
          <w:sz w:val="18"/>
          <w:szCs w:val="18"/>
          <w:color w:val="auto"/>
        </w:rPr>
        <w:t>As part of reviewing each component of executive officer compensation, the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92"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i w:val="1"/>
          <w:iCs w:val="1"/>
          <w:color w:val="auto"/>
        </w:rPr>
        <w:t xml:space="preserve">Affordability. </w:t>
      </w:r>
      <w:r>
        <w:rPr>
          <w:rFonts w:ascii="Arial" w:cs="Arial" w:eastAsia="Arial" w:hAnsi="Arial"/>
          <w:sz w:val="18"/>
          <w:szCs w:val="18"/>
          <w:color w:val="auto"/>
        </w:rPr>
        <w:t>Prior to completing the executive cash compensation (base salary and annual cash bonuses) process,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Human 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 of Directors.</w:t>
      </w:r>
    </w:p>
    <w:p>
      <w:pPr>
        <w:spacing w:after="0" w:line="9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i w:val="1"/>
          <w:iCs w:val="1"/>
          <w:color w:val="auto"/>
        </w:rPr>
        <w:t xml:space="preserve">Determination of Compensation. </w:t>
      </w:r>
      <w:r>
        <w:rPr>
          <w:rFonts w:ascii="Arial" w:cs="Arial" w:eastAsia="Arial" w:hAnsi="Arial"/>
          <w:sz w:val="18"/>
          <w:szCs w:val="18"/>
          <w:color w:val="auto"/>
        </w:rPr>
        <w:t>The Compensation and Human Resources Committee and the Board hold several meetings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for the review, discussion and determination of executive compensation. After reviewing, analyzing and discussing each of the factors for executive compensation described above,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Compensation and Human Resources Committee determines (or makes a recommendation to the Board of Directors) regarding the appropriate compensation for each individual executive officer. However, the Compensation and Human Resources Committee does not believe that it is appropriate to establish compensation levels based solely on benchmarking. The Compensation and Human Resources Committee relies upon the judgment of its members in making compensation decisions, after reviewing the company’s recent performance and carefully evaluating an executive officer’s performance during the year against established goals, leadership qualities, operational results, business responsibilities, experience, career with the company, current compensation arrangements and long-term potential to enhance stockholder value. While competitive market compensation paid by other companies is one of the many factors that the Compensation and Human Resources Committee considers in assessing suitable levels of compensation, it does not attempt to maintain a certain target percentile within a peer group or otherwise rely entirely on that data to determine executive officer compensation. Instead, the Compensation and Human Resources Committee incorporates flexibility into our compensation programs and in the assessment process to respond to and adjust for the evolving business environment.</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strive to achieve an appropriate mix between equity incentive awards and cash payments in order to meet our objectives. Any apportionment goal is not applied rigidly and does not control our compensation decisions. Our mix of compensation elements is designed to reward recent results, align compensation with stockholder interests and fairly compensate executives through a combination of cash and equity incentive awards.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131"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52"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determining base salary, the Compensation and Human Resources Committee primarily considers (1)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survey 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considers to what extent the executive:</w:t>
      </w:r>
    </w:p>
    <w:p>
      <w:pPr>
        <w:spacing w:after="0" w:line="94"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demonstrates success in contributing toward ViaSat’s achievement of key financial and other business objectives;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After also considering ViaSat’s recent financial performance, total executive compensation, and confirming affordability under ViaSat’s financial plan, the Compensation and Human Resources Committee set new base salaries for each of the executive officers. The following table describes the base salaries for fiscal year 2009 and fiscal year 2010 for each of our Named Executive Officers.</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 2009 and Fiscal Year 2010</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4"/>
                <w:szCs w:val="14"/>
                <w:b w:val="1"/>
                <w:bCs w:val="1"/>
                <w:color w:val="auto"/>
              </w:rPr>
              <w:t>xecutive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5"/>
              </w:rPr>
              <w:t>Fiscal Year 2009</w:t>
            </w:r>
          </w:p>
        </w:tc>
        <w:tc>
          <w:tcPr>
            <w:tcW w:w="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3"/>
              </w:rPr>
              <w:t>Fiscal Year 2010</w:t>
            </w:r>
          </w:p>
        </w:tc>
        <w:tc>
          <w:tcPr>
            <w:tcW w:w="3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6060" w:type="dxa"/>
            <w:vAlign w:val="bottom"/>
            <w:gridSpan w:val="2"/>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9"/>
              </w:rPr>
              <w:t>Base Salary ($)</w:t>
            </w:r>
          </w:p>
        </w:tc>
        <w:tc>
          <w:tcPr>
            <w:tcW w:w="4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Base Salary ($)</w:t>
            </w:r>
          </w:p>
        </w:tc>
        <w:tc>
          <w:tcPr>
            <w:tcW w:w="126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96"/>
              </w:rPr>
              <w:t>Increase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D. Dankberg</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640,000</w:t>
            </w:r>
          </w:p>
        </w:tc>
        <w:tc>
          <w:tcPr>
            <w:tcW w:w="1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700,000</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 Officer</w:t>
            </w: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Richard A. Baldridge</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490,000</w:t>
            </w:r>
          </w:p>
        </w:tc>
        <w:tc>
          <w:tcPr>
            <w:tcW w:w="1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530,000</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Ronald G. Wangerin</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355,000</w:t>
            </w:r>
          </w:p>
        </w:tc>
        <w:tc>
          <w:tcPr>
            <w:tcW w:w="1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370,000</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Chief Financial Officer</w:t>
            </w: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Steven R. Hart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305,000</w:t>
            </w:r>
          </w:p>
        </w:tc>
        <w:tc>
          <w:tcPr>
            <w:tcW w:w="1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315,000</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Vice President and Chief Technical Officer</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J. Miller</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290,000</w:t>
            </w:r>
          </w:p>
        </w:tc>
        <w:tc>
          <w:tcPr>
            <w:tcW w:w="1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305,000</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Chief Technical Officer</w:t>
            </w: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Annual Cash Bonuses. </w:t>
      </w:r>
      <w:r>
        <w:rPr>
          <w:rFonts w:ascii="Arial" w:cs="Arial" w:eastAsia="Arial" w:hAnsi="Arial"/>
          <w:sz w:val="17"/>
          <w:szCs w:val="17"/>
          <w:color w:val="auto"/>
        </w:rPr>
        <w:t>Consistent with our overall compensation objectives of linking compensation to performance, aligning</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compensation with stockholder interests and attracting and retaining top level executive officers in our industry, our Compensation and Human Resources Committee approved annual cash bonuses for fiscal year 2009. Under our executive compensation program, targets for cash bonuses are established as a percentage of base salary and actual award amounts are determined primarily based on the achievement of certain company financial results and individual performance metrics. For fiscal year 2009, the target amount for annual cash bonuses was determined by the Compensation and Human Resources 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 Consistent with our compensation philosophy discussed above, annual cash bonuses are subject to affordability criteria based on ViaSat’s financial results.</w:t>
      </w:r>
    </w:p>
    <w:p>
      <w:pPr>
        <w:spacing w:after="0" w:line="83"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For fiscal year 2009, the metrics for determining annual cash bonuses placed equal emphasis on ViaSat’s annual financial performance and individual performance. The financial objectives were set at the beginning of the 2009 fiscal year and were based on the year’s internally-developed financial plan, which was approved by our Board of Directors. The individual performance objectives for the executive officers (excluding the Chief Executive Officer) were determined by the Compensation and Human Resources Committee based on input and recommendations from our Chief Executive Officer and President as well as input from the Compensation and Human Resources Committee. These individual performance objectives are qualitative in nature and not quantifiable.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but achievable. The table below describes the financial and individual objectives (and weighting of each objective) used for determining annual cash bonuses for our executive officers (other than our Chief Executive Officer) for fiscal year 2009.</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Fiscal Year 2009 Cash Bonus Objectives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erformance Metric</w:t>
            </w:r>
          </w:p>
        </w:tc>
        <w:tc>
          <w:tcPr>
            <w:tcW w:w="1020" w:type="dxa"/>
            <w:vAlign w:val="bottom"/>
          </w:tcPr>
          <w:p>
            <w:pPr>
              <w:jc w:val="right"/>
              <w:ind w:right="14"/>
              <w:spacing w:after="0"/>
              <w:rPr>
                <w:sz w:val="20"/>
                <w:szCs w:val="20"/>
                <w:color w:val="auto"/>
              </w:rPr>
            </w:pPr>
            <w:r>
              <w:rPr>
                <w:rFonts w:ascii="Arial" w:cs="Arial" w:eastAsia="Arial" w:hAnsi="Arial"/>
                <w:sz w:val="14"/>
                <w:szCs w:val="14"/>
                <w:b w:val="1"/>
                <w:bCs w:val="1"/>
                <w:color w:val="auto"/>
              </w:rPr>
              <w:t>Approximate</w:t>
            </w:r>
          </w:p>
        </w:tc>
        <w:tc>
          <w:tcPr>
            <w:tcW w:w="4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Fiscal Year 2009</w:t>
            </w:r>
          </w:p>
        </w:tc>
        <w:tc>
          <w:tcPr>
            <w:tcW w:w="400" w:type="dxa"/>
            <w:vAlign w:val="bottom"/>
          </w:tcPr>
          <w:p>
            <w:pPr>
              <w:spacing w:after="0"/>
              <w:rPr>
                <w:sz w:val="14"/>
                <w:szCs w:val="1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Fiscal Year 2009</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Weighting (%)</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13"/>
              <w:spacing w:after="0"/>
              <w:rPr>
                <w:sz w:val="20"/>
                <w:szCs w:val="20"/>
                <w:color w:val="auto"/>
              </w:rPr>
            </w:pPr>
            <w:r>
              <w:rPr>
                <w:rFonts w:ascii="Arial" w:cs="Arial" w:eastAsia="Arial" w:hAnsi="Arial"/>
                <w:sz w:val="14"/>
                <w:szCs w:val="14"/>
                <w:b w:val="1"/>
                <w:bCs w:val="1"/>
                <w:color w:val="auto"/>
              </w:rPr>
              <w:t>Objective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Actual Results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Financial — Non-GAAP diluted earnings per share(1)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Financial — New Contract Awards</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8"/>
              </w:rPr>
              <w:t>668.5 million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728.4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Financial — 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643.5 million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Financial — Net Operating Asset Turnover</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Individual — Contribution Toward Achievement of Company Financial</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Targets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Individual — Achievement of Individual Goals</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600" w:hanging="30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Non-GAAP diluted earnings per share exclude amortization of acquisition-related intangible assets and non-cash stock-based compensation expenses, net of tax.</w:t>
      </w:r>
    </w:p>
    <w:p>
      <w:pPr>
        <w:spacing w:after="0" w:line="76"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For purposes of determining the annual cash bonuses for our Chief Executive Officer in fiscal year 2009, the Compensation and Human Resources Committee relied on an assessment of our Chief Executive Officer completed by the Nomination and Evaluation Committee. The criteria used by the Nomination and Evaluation Committee for our Chief Executive Officer’s fiscal year 2009 evaluation included the following (with approximately one-third of the weighting applied to each of the three main categories):</w:t>
      </w:r>
    </w:p>
    <w:p>
      <w:pPr>
        <w:spacing w:after="0" w:line="77" w:lineRule="exact"/>
        <w:rPr>
          <w:sz w:val="20"/>
          <w:szCs w:val="20"/>
          <w:color w:val="auto"/>
        </w:rPr>
      </w:pPr>
    </w:p>
    <w:p>
      <w:pPr>
        <w:ind w:left="13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Company financial performance: </w:t>
      </w:r>
      <w:r>
        <w:rPr>
          <w:rFonts w:ascii="Arial" w:cs="Arial" w:eastAsia="Arial" w:hAnsi="Arial"/>
          <w:sz w:val="18"/>
          <w:szCs w:val="18"/>
          <w:color w:val="auto"/>
        </w:rPr>
        <w:t>earnings per share, new contract awards, revenues and net operating asset turnover (at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levels as set forth in the table above);</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Leadership: </w:t>
      </w:r>
      <w:r>
        <w:rPr>
          <w:rFonts w:ascii="Arial" w:cs="Arial" w:eastAsia="Arial" w:hAnsi="Arial"/>
          <w:sz w:val="18"/>
          <w:szCs w:val="18"/>
          <w:color w:val="auto"/>
        </w:rPr>
        <w:t>defining, managing and attaining corporate goals, exemplifying and promoting ethics and integrity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w:t>
      </w:r>
    </w:p>
    <w:p>
      <w:pPr>
        <w:spacing w:after="0" w:line="62"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Strategic: </w:t>
      </w:r>
      <w:r>
        <w:rPr>
          <w:rFonts w:ascii="Arial" w:cs="Arial" w:eastAsia="Arial" w:hAnsi="Arial"/>
          <w:sz w:val="18"/>
          <w:szCs w:val="18"/>
          <w:color w:val="auto"/>
        </w:rPr>
        <w:t>industry positioning, short-term and long-term strategies, measurable progress in key business areas and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pursuit of growth strategies.</w:t>
      </w:r>
    </w:p>
    <w:p>
      <w:pPr>
        <w:spacing w:after="0" w:line="76"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The performance metrics for determining the annual cash bonuses for our Chief Executive Officer consist of both objective and subjective criteria. Under the objective performance factors, the company must achieve quantifiable financial performance metrics. As is the case with our other executive officers, as described above, the attainment of our Chief Executive Officer’s leadership and strategic individual performance factors, while made in the context of the objective criteria, is based upon a subjective evaluation of his individual performance by the Compensation and Human Resources Committee with input from the Nomination and Evaluation Committee. In coming to its determination, the Compensation and Human Resources Committee does not follow any guidelines nor are there any such standing guidelines regarding the exercise of such discretion.</w:t>
      </w:r>
    </w:p>
    <w:p>
      <w:pPr>
        <w:spacing w:after="0" w:line="8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executive bonus program does not have any pre-established minimum or maximum payout. At the beginning of each fiscal year, the Board of Directors approves ViaSat’s financial plan for the upcoming fiscal year and the Compensation and Human Resources Committee approves the target bonus pool (executives and employees) for the upcoming fiscal year. The Board and the Compensation and Human Resources Committee also retain the discretion to take additional factors into account (e.g., market conditions, total executive compensation, additional company financial metrics or extraordinary individual contributions) and make adjustments to executive bonus compensation to the extent appropriate.</w:t>
      </w:r>
    </w:p>
    <w:p>
      <w:pPr>
        <w:spacing w:after="0" w:line="9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Based primarily on ViaSat’s financial results for fiscal year 2009 and individual executive performance, the Compensation and Human Resources Committee, acting under delegation of authority from the Board, approved the cash bonuses in the table below for our Named Executive Officers for fiscal year 2009 (paid in fiscal year 2010).</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Fiscal Year 2009 Cash Bonuses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Target Cash</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Actual 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Bonuses As</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Bonuses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Actual Cash</w:t>
            </w:r>
          </w:p>
        </w:tc>
        <w:tc>
          <w:tcPr>
            <w:tcW w:w="4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4"/>
                <w:szCs w:val="14"/>
                <w:b w:val="1"/>
                <w:bCs w:val="1"/>
                <w:color w:val="auto"/>
              </w:rPr>
              <w:t>xecutive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of Base</w:t>
            </w: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 Base</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Salary (%)</w:t>
            </w:r>
          </w:p>
        </w:tc>
        <w:tc>
          <w:tcPr>
            <w:tcW w:w="4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Bonuses ($)</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Salary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Richard A. Baldridge</w:t>
            </w:r>
          </w:p>
        </w:tc>
        <w:tc>
          <w:tcPr>
            <w:tcW w:w="900" w:type="dxa"/>
            <w:vAlign w:val="bottom"/>
          </w:tcPr>
          <w:p>
            <w:pPr>
              <w:jc w:val="right"/>
              <w:spacing w:after="0"/>
              <w:rPr>
                <w:sz w:val="20"/>
                <w:szCs w:val="20"/>
                <w:color w:val="auto"/>
              </w:rPr>
            </w:pPr>
            <w:r>
              <w:rPr>
                <w:rFonts w:ascii="Arial" w:cs="Arial" w:eastAsia="Arial" w:hAnsi="Arial"/>
                <w:sz w:val="18"/>
                <w:szCs w:val="18"/>
                <w:color w:val="auto"/>
              </w:rPr>
              <w:t>75 - 99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Steven R. Hart</w:t>
            </w:r>
          </w:p>
        </w:tc>
        <w:tc>
          <w:tcPr>
            <w:tcW w:w="900" w:type="dxa"/>
            <w:vAlign w:val="bottom"/>
          </w:tcPr>
          <w:p>
            <w:pPr>
              <w:jc w:val="right"/>
              <w:spacing w:after="0"/>
              <w:rPr>
                <w:sz w:val="20"/>
                <w:szCs w:val="20"/>
                <w:color w:val="auto"/>
              </w:rPr>
            </w:pPr>
            <w:r>
              <w:rPr>
                <w:rFonts w:ascii="Arial" w:cs="Arial" w:eastAsia="Arial" w:hAnsi="Arial"/>
                <w:sz w:val="18"/>
                <w:szCs w:val="18"/>
                <w:color w:val="auto"/>
              </w:rPr>
              <w:t>50 - 65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6"/>
          <w:szCs w:val="16"/>
          <w:i w:val="1"/>
          <w:iCs w:val="1"/>
          <w:color w:val="auto"/>
        </w:rPr>
        <w:t xml:space="preserve">Equity-Based Compensation. </w:t>
      </w:r>
      <w:r>
        <w:rPr>
          <w:rFonts w:ascii="Arial" w:cs="Arial" w:eastAsia="Arial" w:hAnsi="Arial"/>
          <w:sz w:val="16"/>
          <w:szCs w:val="16"/>
          <w:color w:val="auto"/>
        </w:rPr>
        <w:t>Consistent with our belief that equity-based compensation is a key component of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program at growth-oriented technology companies, our Board of Directors approved (upon recommendation of our Compensation and Human Resources Committee) long-term equity awards to our executive officers in fiscal year 2009. Our Compensation and Human Resources Committee determined equity award levels for fiscal year 2009 in a manner consistent with the determination of base salary and annual cash bonuses. The Compensation and Human Resources Committee considered (1) industry compensation data, (2) individual performance and contributions, (3) total executive compensation, and (4) the availability and affordability of shares for equity grants in determining equity compensation for executives. For fiscal year 2009 equity compensation awards, the Compensation and Human Resources Committee engaged Compensia, independent compensation consultant to the Compensation and Human Resources Committee, to assist the Compensation and Human Resources Committee in reviewing our list of peer group companies as well as in providing market data and recommendations related to equity compensation grants for our executive officers. In addition, the Compensation and Human Resources Committee relied on equity compensation survey data from Radford, which reports an equity compensation range for comparable positions using various metrics. In determining the availability and affordability of shares for equity grants, the Compensation and Human Resources Committee considered the:</w:t>
      </w:r>
    </w:p>
    <w:p>
      <w:pPr>
        <w:spacing w:after="0" w:line="80"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available for issuance under our equity plan;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budgeted for non-executive equity grants;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future retention and new hire grants to executives and non-executives;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accounting expense of potential equity grants;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consequences associated with the grant of equity awards.</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Based on the factors discussed above, our Board of Directors (upon recommendation from the Compensation and Human Resources Committee) approved equity incentive awards for our Named Executive Officers in May 2009, the value of which was near or below the 50th percentile based on industry survey data (on an annualized basis). For more information on these equity awards, see “Grants of Plan-Based Awards in Fiscal 2009” below.</w:t>
      </w:r>
    </w:p>
    <w:p>
      <w:pPr>
        <w:spacing w:after="0" w:line="92"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Other Benefits. </w:t>
      </w:r>
      <w:r>
        <w:rPr>
          <w:rFonts w:ascii="Arial" w:cs="Arial" w:eastAsia="Arial" w:hAnsi="Arial"/>
          <w:sz w:val="16"/>
          <w:szCs w:val="16"/>
          <w:color w:val="auto"/>
        </w:rPr>
        <w:t>We provide a comprehensive benefits package to all of our employees, including our executive officers,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medical, dental, vision care, disability insurance, life insurance benefits, flexible spending plan, 401(k) savings plan, educational reimbursement program, employee assistance program, employee stock purchase plan, holidays and personal time off which includes vacation or sick days and a sell back policy. Certain executives also receive access to our sports and golf club memberships. We do not currently offer defined benefit pension, deferred compensation or supplemental executive retirement plans to any of our employees.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 of Control and Employment Agreements</w:t>
      </w:r>
    </w:p>
    <w:p>
      <w:pPr>
        <w:spacing w:after="0" w:line="131"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We do not currently have any employment agreements, change of control agreements or severance arrangements with any of our executive officers.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131"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Stock options and restricted stock units are part of the equity compensation program for many of our employees. Equity awards have historically been granted in approximately 18 to 24 month cycles. Grant approval for executive officers occurs at meetings of the Board of Directors. Because of the more lengthy process for determining executive equity grants, executive equity grants are not always made at the same time as grants to all other eligible employees. The timing of grants is not coordinated with the release of material non-public information. Stock option awards are made at fair market value on the date of grant (as defined under our equity plan) and awards of restricted stock units are also made in accordance with the terms of our equity plan. The Compensation and Human Resources Committee is currently examining alternative cycle times between equity grants to potentially more closely align our equity compensation program with predominant market practices.</w:t>
      </w:r>
    </w:p>
    <w:p>
      <w:pPr>
        <w:spacing w:after="0" w:line="84"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addition to grants made each year to our current employees, stock option and restricted stock unit grants may also be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our Chief Executive Officer, President and Vice President of Human Resources to make grants to employees other than executive officers, subject to certain guidelines and an overall share limitation. These senior executives are each authorized to identify the award recipient and the number of shares subject to the option grant; the Compensation and Human Resources Committee sets all other terms of the awards. Grants made by these senior executives under delegation of authority from the Compensation and Human Resources Committee are generally made once per quarter. We do not grant “re-load” options, make loans to executives for any purpose, including to exercise stock options, nor do we grant stock options at a discount.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Ownership/Retention Guidelines</w:t>
      </w:r>
    </w:p>
    <w:p>
      <w:pPr>
        <w:spacing w:after="0" w:line="131"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 Board of Directors encourages stock ownership, but believes that the number of shares of ViaSat stock owned by individual members of management is a personal decision.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31"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We select and implement the components of our compensation program primarily for their ability to help us achieve the company’s objectives and not on the basis of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For example, in fiscal year 2007, the Compensation and Human Resources Committee added restricted stock units to our equity award program to, in part, help reduce the accounting expense and dilution associated with our equity award program. In addition, Section 162(m) of the Internal Revenue Code generally sets a limit of $1.0 million on the amount of annual compensation (other than certain enumerated categories of performance-based compensation) that we may deduct for federal income tax purposes for certain covered individuals. While we have not adopted a policy requiring that all compensation be deductible, the Compensation and Human Resources Committee will continue to review the Section 162(m) issues associated with possible modifications to our compensation arrangements in fiscal year 2010 and future years and will, where reasonably practicable and consistent with our business goals, seek to qualify variable compensation paid to our executive officers for an exemption from the deductibility limitations of Section 162(m) while maintaining a competitive, performance-based compensation program.</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report.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 future filings with the SEC except to the extent that ViaSat specifically incorporates it by reference into a document filed under the Securities Act of 1933 or the Securities Exchange Act of 1934.</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Respectfully Submitted by the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Human Resources Committee</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 (Chair)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P. Stenbit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The following table sets forth the compensation earned during the fiscal years ended April 3, 2009, March 28, 2008 and March 30, 2007 by our Chief Executive Officer and Chief Financial Officer, as well as our three other most highly compensated executive officers (collectively, the Named Executive Officers).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Salary</w:t>
            </w: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Bonus</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16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0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w w:val="99"/>
              </w:rPr>
              <w:t>($)(1)</w:t>
            </w:r>
          </w:p>
        </w:tc>
        <w:tc>
          <w:tcPr>
            <w:tcW w:w="106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469,411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Chairman and Chief</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325,319</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13,489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1,002,964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Officer</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151,935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490,000</w:t>
            </w:r>
          </w:p>
        </w:tc>
        <w:tc>
          <w:tcPr>
            <w:tcW w:w="18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141,782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337,108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18,613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1,387,503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40"/>
              <w:spacing w:after="0"/>
              <w:rPr>
                <w:sz w:val="20"/>
                <w:szCs w:val="20"/>
                <w:color w:val="auto"/>
              </w:rPr>
            </w:pPr>
            <w:r>
              <w:rPr>
                <w:rFonts w:ascii="Arial" w:cs="Arial" w:eastAsia="Arial" w:hAnsi="Arial"/>
                <w:sz w:val="16"/>
                <w:szCs w:val="16"/>
                <w:color w:val="auto"/>
              </w:rPr>
              <w:t>President and Chief</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445,000</w:t>
            </w:r>
          </w:p>
        </w:tc>
        <w:tc>
          <w:tcPr>
            <w:tcW w:w="1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65,151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251,860</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18,201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780,212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40"/>
              <w:spacing w:after="0"/>
              <w:rPr>
                <w:sz w:val="20"/>
                <w:szCs w:val="20"/>
                <w:color w:val="auto"/>
              </w:rPr>
            </w:pPr>
            <w:r>
              <w:rPr>
                <w:rFonts w:ascii="Arial" w:cs="Arial" w:eastAsia="Arial" w:hAnsi="Arial"/>
                <w:sz w:val="16"/>
                <w:szCs w:val="16"/>
                <w:color w:val="auto"/>
              </w:rPr>
              <w:t>Operating Officer</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1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30,428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117,627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390,000</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7,236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965,291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355,000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134,527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and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104,942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Financial Officer</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305,000</w:t>
            </w:r>
          </w:p>
        </w:tc>
        <w:tc>
          <w:tcPr>
            <w:tcW w:w="18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71,058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74,872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10,537</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626,467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140"/>
              <w:spacing w:after="0"/>
              <w:rPr>
                <w:sz w:val="20"/>
                <w:szCs w:val="20"/>
                <w:color w:val="auto"/>
              </w:rPr>
            </w:pPr>
            <w:r>
              <w:rPr>
                <w:rFonts w:ascii="Arial" w:cs="Arial" w:eastAsia="Arial" w:hAnsi="Arial"/>
                <w:sz w:val="16"/>
                <w:szCs w:val="16"/>
                <w:color w:val="auto"/>
              </w:rPr>
              <w:t>Vice President and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280,000</w:t>
            </w:r>
          </w:p>
        </w:tc>
        <w:tc>
          <w:tcPr>
            <w:tcW w:w="1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19,005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73,459</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12,044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384,508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40"/>
              <w:spacing w:after="0"/>
              <w:rPr>
                <w:sz w:val="20"/>
                <w:szCs w:val="20"/>
                <w:color w:val="auto"/>
              </w:rPr>
            </w:pPr>
            <w:r>
              <w:rPr>
                <w:rFonts w:ascii="Arial" w:cs="Arial" w:eastAsia="Arial" w:hAnsi="Arial"/>
                <w:sz w:val="16"/>
                <w:szCs w:val="16"/>
                <w:color w:val="auto"/>
              </w:rPr>
              <w:t>Chief Technical Officer</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260,000</w:t>
            </w:r>
          </w:p>
        </w:tc>
        <w:tc>
          <w:tcPr>
            <w:tcW w:w="1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8,876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34,308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10,500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463,684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12,468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and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52,471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21,546</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Technical Officer</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-2066290</wp:posOffset>
            </wp:positionV>
            <wp:extent cx="17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80" w:hanging="301"/>
        <w:spacing w:after="0" w:line="29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column represents the compensation cost recognized by us for financial statement reporting purposes in fiscal 2009, 2008 and 2007 for stock options and restricted stock units granted to each of the Named Executive Officers, in those years as well as prior fiscal years, in accordance with Statement of Financial Accounting Standards No. 123 (revised 2004), “Share-Based Payment,” or SFAS 123R. Pursuant to SEC rules, the amounts shown disregard adjustments for forfeiture assumptions. For additional information on the valuation assumptions used in the calculation of these amounts, refer to note 1 to the financial statements included in our annual report on Form 10-K for the respective year end, as filed with the SEC. These amounts reflect the company’s accounting expense for these awards, and do not correspond to the actual value that will be recognized by the Named Executive Officers.</w:t>
      </w:r>
    </w:p>
    <w:p>
      <w:pPr>
        <w:spacing w:after="0" w:line="5" w:lineRule="exact"/>
        <w:rPr>
          <w:rFonts w:ascii="Arial" w:cs="Arial" w:eastAsia="Arial" w:hAnsi="Arial"/>
          <w:sz w:val="16"/>
          <w:szCs w:val="16"/>
          <w:color w:val="auto"/>
        </w:rPr>
      </w:pPr>
    </w:p>
    <w:p>
      <w:pPr>
        <w:ind w:left="1000" w:hanging="301"/>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w:t>
      </w:r>
    </w:p>
    <w:p>
      <w:pPr>
        <w:spacing w:after="0" w:line="63" w:lineRule="exact"/>
        <w:rPr>
          <w:rFonts w:ascii="Arial" w:cs="Arial" w:eastAsia="Arial" w:hAnsi="Arial"/>
          <w:sz w:val="18"/>
          <w:szCs w:val="18"/>
          <w:color w:val="auto"/>
        </w:rPr>
      </w:pPr>
    </w:p>
    <w:p>
      <w:pPr>
        <w:ind w:left="1000" w:right="920" w:hanging="301"/>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for fiscal 2009 include the following: reimbursement of club dues for certain executives; patent awards for Mr. Dankberg and Mr. Miller in the amount of $3,500 and $8,000, respectively; and matching 401(k) contributions for Messrs. Dankberg, Baldridge, Wangerin, Hart and Miller in the amount of $8,175, $10,553, $7,098, $10,537 and $4,468, respectively.</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2009</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to each of the Named Executive Officers during fiscal 2009.</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6"/>
          </w:tcPr>
          <w:p>
            <w:pPr>
              <w:jc w:val="center"/>
              <w:ind w:right="180"/>
              <w:spacing w:after="0" w:line="119" w:lineRule="exact"/>
              <w:rPr>
                <w:sz w:val="20"/>
                <w:szCs w:val="20"/>
                <w:color w:val="auto"/>
              </w:rPr>
            </w:pPr>
            <w:r>
              <w:rPr>
                <w:rFonts w:ascii="Arial" w:cs="Arial" w:eastAsia="Arial" w:hAnsi="Arial"/>
                <w:sz w:val="13"/>
                <w:szCs w:val="13"/>
                <w:b w:val="1"/>
                <w:bCs w:val="1"/>
                <w:color w:val="auto"/>
              </w:rPr>
              <w:t>Estimated Future Payouts Under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or Base</w:t>
            </w:r>
          </w:p>
        </w:tc>
        <w:tc>
          <w:tcPr>
            <w:tcW w:w="18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1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96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3"/>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600" w:type="dxa"/>
            <w:vAlign w:val="bottom"/>
          </w:tcPr>
          <w:p>
            <w:pPr>
              <w:jc w:val="right"/>
              <w:ind w:right="41"/>
              <w:spacing w:after="0" w:line="133"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Threshold</w:t>
            </w: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Target</w:t>
            </w: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1"/>
                <w:szCs w:val="11"/>
                <w:color w:val="auto"/>
              </w:rPr>
            </w:pPr>
          </w:p>
        </w:tc>
        <w:tc>
          <w:tcPr>
            <w:tcW w:w="7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3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860" w:type="dxa"/>
            <w:vAlign w:val="bottom"/>
            <w:gridSpan w:val="2"/>
          </w:tcPr>
          <w:p>
            <w:pPr>
              <w:jc w:val="center"/>
              <w:ind w:left="103"/>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/Sh)(4)</w:t>
            </w:r>
          </w:p>
        </w:tc>
        <w:tc>
          <w:tcPr>
            <w:tcW w:w="80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w w:val="99"/>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649,611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455,000</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17,500</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355,250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20.30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378,939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129,922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187,000</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12,000</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243,600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-1809115</wp:posOffset>
            </wp:positionV>
            <wp:extent cx="17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180" w:hanging="301"/>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target amounts payable under our annual cash bonus program for fiscal year 2009. Actual amounts paid to the Named Executive Officers pursuant to such bonus program are disclosed in the “Summary Compensation Table” above under the column heading “Non-Equity Incentive Plan Compensation.” The material terms of the bonus program are described in the “Compensation Discussion and Analysis” section above.</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awards vest in four equal annual installments over the course of four years.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w:t>
      </w:r>
    </w:p>
    <w:p>
      <w:pPr>
        <w:spacing w:after="0" w:line="63" w:lineRule="exact"/>
        <w:rPr>
          <w:rFonts w:ascii="Arial" w:cs="Arial" w:eastAsia="Arial" w:hAnsi="Arial"/>
          <w:sz w:val="18"/>
          <w:szCs w:val="18"/>
          <w:color w:val="auto"/>
        </w:rPr>
      </w:pPr>
    </w:p>
    <w:p>
      <w:pPr>
        <w:ind w:left="1000" w:right="140" w:hanging="301"/>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equity plan as the closing price per share on the grant date.</w:t>
      </w:r>
    </w:p>
    <w:p>
      <w:pPr>
        <w:spacing w:after="0" w:line="8" w:lineRule="exact"/>
        <w:rPr>
          <w:rFonts w:ascii="Arial" w:cs="Arial" w:eastAsia="Arial" w:hAnsi="Arial"/>
          <w:sz w:val="18"/>
          <w:szCs w:val="18"/>
          <w:color w:val="auto"/>
        </w:rPr>
      </w:pPr>
    </w:p>
    <w:p>
      <w:pPr>
        <w:ind w:left="1000" w:right="140" w:hanging="301"/>
        <w:spacing w:after="0" w:line="27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column represents the full grant date fair value of each individual equity award calculated in accordance with SFAS 123R. For additional information on the valuation assumptions used in the calculation of these amounts, refer to note 1 to the financial statements included in our annual report on Form 10-K for the year ended April 3, 2009, as filed with the SEC. These amounts generally reflect the amount that the company will expense in its financial statements over the award’s vesting schedule, and do not correspond to the actual value that will be recognized by the Named Executive Officers.</w:t>
      </w: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lists all outstanding equity awards held by each of the Named Executive Officers as of April 3, 2009.</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rPr>
              <w:t>Option Awards</w:t>
            </w: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Stock Awards</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Equity</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Borders>
              <w:bottom w:val="single" w:sz="8" w:color="auto"/>
            </w:tcBorders>
            <w:gridSpan w:val="3"/>
          </w:tcPr>
          <w:p>
            <w:pPr>
              <w:ind w:left="180"/>
              <w:spacing w:after="0" w:line="115" w:lineRule="exact"/>
              <w:rPr>
                <w:sz w:val="20"/>
                <w:szCs w:val="20"/>
                <w:color w:val="auto"/>
              </w:rPr>
            </w:pPr>
            <w:r>
              <w:rPr>
                <w:rFonts w:ascii="Arial" w:cs="Arial" w:eastAsia="Arial" w:hAnsi="Arial"/>
                <w:sz w:val="11"/>
                <w:szCs w:val="11"/>
                <w:b w:val="1"/>
                <w:bCs w:val="1"/>
                <w:color w:val="auto"/>
              </w:rPr>
              <w:t>Equity Incentive Plan Awards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Incentive</w:t>
            </w: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Market</w:t>
            </w: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6"/>
              </w:rPr>
              <w:t>Market or</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Plan Awards: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jc w:val="center"/>
              <w:ind w:lef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Payout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Number of</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of Shares</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Unearned</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of 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or Units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or Units</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0"/>
              </w:rPr>
              <w:t>Shares,</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8"/>
              </w:rPr>
              <w:t>Number of Securities</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Units or</w:t>
            </w:r>
          </w:p>
        </w:tc>
        <w:tc>
          <w:tcPr>
            <w:tcW w:w="18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Underlying Unexercised</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20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2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that Have</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that Have</w:t>
            </w:r>
          </w:p>
        </w:tc>
        <w:tc>
          <w:tcPr>
            <w:tcW w:w="2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Other Rights</w:t>
            </w:r>
          </w:p>
        </w:tc>
        <w:tc>
          <w:tcPr>
            <w:tcW w:w="18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Other Rights</w:t>
            </w: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Unearned</w:t>
            </w:r>
          </w:p>
        </w:tc>
        <w:tc>
          <w:tcPr>
            <w:tcW w:w="580" w:type="dxa"/>
            <w:vAlign w:val="bottom"/>
            <w:gridSpan w:val="2"/>
          </w:tcPr>
          <w:p>
            <w:pPr>
              <w:jc w:val="center"/>
              <w:ind w:left="138"/>
              <w:spacing w:after="0"/>
              <w:rPr>
                <w:sz w:val="20"/>
                <w:szCs w:val="20"/>
                <w:color w:val="auto"/>
              </w:rPr>
            </w:pPr>
            <w:r>
              <w:rPr>
                <w:rFonts w:ascii="Arial" w:cs="Arial" w:eastAsia="Arial" w:hAnsi="Arial"/>
                <w:sz w:val="11"/>
                <w:szCs w:val="11"/>
                <w:b w:val="1"/>
                <w:bCs w:val="1"/>
                <w:color w:val="auto"/>
                <w:w w:val="83"/>
              </w:rPr>
              <w:t>Exercise</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680" w:type="dxa"/>
            <w:vAlign w:val="bottom"/>
            <w:gridSpan w:val="2"/>
          </w:tcPr>
          <w:p>
            <w:pPr>
              <w:jc w:val="center"/>
              <w:ind w:left="120"/>
              <w:spacing w:after="0"/>
              <w:rPr>
                <w:sz w:val="20"/>
                <w:szCs w:val="20"/>
                <w:color w:val="auto"/>
              </w:rPr>
            </w:pPr>
            <w:r>
              <w:rPr>
                <w:rFonts w:ascii="Arial" w:cs="Arial" w:eastAsia="Arial" w:hAnsi="Arial"/>
                <w:sz w:val="11"/>
                <w:szCs w:val="11"/>
                <w:b w:val="1"/>
                <w:bCs w:val="1"/>
                <w:color w:val="auto"/>
                <w:w w:val="86"/>
              </w:rPr>
              <w:t>Not Vested</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6"/>
              </w:rPr>
              <w:t>Not Vested</w:t>
            </w:r>
          </w:p>
        </w:tc>
        <w:tc>
          <w:tcPr>
            <w:tcW w:w="2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that Have</w:t>
            </w:r>
          </w:p>
        </w:tc>
        <w:tc>
          <w:tcPr>
            <w:tcW w:w="1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that Have</w:t>
            </w:r>
          </w:p>
        </w:tc>
        <w:tc>
          <w:tcPr>
            <w:tcW w:w="0" w:type="dxa"/>
            <w:vAlign w:val="bottom"/>
          </w:tcPr>
          <w:p>
            <w:pPr>
              <w:spacing w:after="0"/>
              <w:rPr>
                <w:sz w:val="1"/>
                <w:szCs w:val="1"/>
                <w:color w:val="auto"/>
              </w:rPr>
            </w:pPr>
          </w:p>
        </w:tc>
      </w:tr>
      <w:tr>
        <w:trPr>
          <w:trHeight w:val="129"/>
        </w:trPr>
        <w:tc>
          <w:tcPr>
            <w:tcW w:w="2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88"/>
              </w:rPr>
              <w:t>Exercisable</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w w:val="90"/>
              </w:rPr>
              <w:t>Unexercisable(1)</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Options (#)</w:t>
            </w:r>
          </w:p>
        </w:tc>
        <w:tc>
          <w:tcPr>
            <w:tcW w:w="580" w:type="dxa"/>
            <w:vAlign w:val="bottom"/>
            <w:gridSpan w:val="2"/>
          </w:tcPr>
          <w:p>
            <w:pPr>
              <w:jc w:val="center"/>
              <w:ind w:left="138"/>
              <w:spacing w:after="0"/>
              <w:rPr>
                <w:sz w:val="20"/>
                <w:szCs w:val="20"/>
                <w:color w:val="auto"/>
              </w:rPr>
            </w:pPr>
            <w:r>
              <w:rPr>
                <w:rFonts w:ascii="Arial" w:cs="Arial" w:eastAsia="Arial" w:hAnsi="Arial"/>
                <w:sz w:val="11"/>
                <w:szCs w:val="11"/>
                <w:b w:val="1"/>
                <w:bCs w:val="1"/>
                <w:color w:val="auto"/>
                <w:w w:val="87"/>
              </w:rPr>
              <w:t xml:space="preserve">Price </w:t>
            </w:r>
            <w:r>
              <w:rPr>
                <w:rFonts w:ascii="Arial" w:cs="Arial" w:eastAsia="Arial" w:hAnsi="Arial"/>
                <w:sz w:val="11"/>
                <w:szCs w:val="11"/>
                <w:b w:val="1"/>
                <w:bCs w:val="1"/>
                <w:u w:val="single" w:color="auto"/>
                <w:color w:val="auto"/>
                <w:w w:val="87"/>
              </w:rPr>
              <w:t>($</w:t>
            </w:r>
            <w:r>
              <w:rPr>
                <w:rFonts w:ascii="Arial" w:cs="Arial" w:eastAsia="Arial" w:hAnsi="Arial"/>
                <w:sz w:val="11"/>
                <w:szCs w:val="11"/>
                <w:b w:val="1"/>
                <w:bCs w:val="1"/>
                <w:color w:val="auto"/>
                <w:w w:val="87"/>
              </w:rPr>
              <w:t>)</w:t>
            </w: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1"/>
              </w:rPr>
              <w:t>Date(2)</w:t>
            </w:r>
          </w:p>
        </w:tc>
        <w:tc>
          <w:tcPr>
            <w:tcW w:w="680" w:type="dxa"/>
            <w:vAlign w:val="bottom"/>
            <w:gridSpan w:val="2"/>
          </w:tcPr>
          <w:p>
            <w:pPr>
              <w:jc w:val="center"/>
              <w:ind w:left="120"/>
              <w:spacing w:after="0"/>
              <w:rPr>
                <w:sz w:val="20"/>
                <w:szCs w:val="20"/>
                <w:color w:val="auto"/>
              </w:rPr>
            </w:pPr>
            <w:r>
              <w:rPr>
                <w:rFonts w:ascii="Arial" w:cs="Arial" w:eastAsia="Arial" w:hAnsi="Arial"/>
                <w:sz w:val="11"/>
                <w:szCs w:val="11"/>
                <w:b w:val="1"/>
                <w:bCs w:val="1"/>
                <w:color w:val="auto"/>
                <w:w w:val="96"/>
              </w:rPr>
              <w:t>(#)(3)</w:t>
            </w:r>
          </w:p>
        </w:tc>
        <w:tc>
          <w:tcPr>
            <w:tcW w:w="700" w:type="dxa"/>
            <w:vAlign w:val="bottom"/>
            <w:gridSpan w:val="2"/>
          </w:tcPr>
          <w:p>
            <w:pPr>
              <w:jc w:val="center"/>
              <w:ind w:left="118"/>
              <w:spacing w:after="0"/>
              <w:rPr>
                <w:sz w:val="20"/>
                <w:szCs w:val="20"/>
                <w:color w:val="auto"/>
              </w:rPr>
            </w:pPr>
            <w:r>
              <w:rPr>
                <w:rFonts w:ascii="Arial" w:cs="Arial" w:eastAsia="Arial" w:hAnsi="Arial"/>
                <w:sz w:val="11"/>
                <w:szCs w:val="11"/>
                <w:b w:val="1"/>
                <w:bCs w:val="1"/>
                <w:color w:val="auto"/>
                <w:w w:val="89"/>
              </w:rPr>
              <w:t>($)(4)</w:t>
            </w:r>
          </w:p>
        </w:tc>
        <w:tc>
          <w:tcPr>
            <w:tcW w:w="2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6"/>
              </w:rPr>
              <w:t>Not Vested (#)</w:t>
            </w:r>
          </w:p>
        </w:tc>
        <w:tc>
          <w:tcPr>
            <w:tcW w:w="18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Not Vested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Mark D. Dankberg</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30,000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8.07</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7/14/2009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58,126</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58,124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90,000</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20.30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5/28/2014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36,458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831,607</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rPr>
              <w:t>Richard A. Baldridge</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80" w:type="dxa"/>
            <w:vAlign w:val="bottom"/>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26.16</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1/14/2010</w:t>
            </w:r>
          </w:p>
        </w:tc>
        <w:tc>
          <w:tcPr>
            <w:tcW w:w="1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8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45,000</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45,000</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52,500</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20.30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5/28/2014</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22,500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513,225</w:t>
            </w:r>
          </w:p>
        </w:tc>
        <w:tc>
          <w:tcPr>
            <w:tcW w:w="200" w:type="dxa"/>
            <w:vAlign w:val="bottom"/>
          </w:tcPr>
          <w:p>
            <w:pPr>
              <w:spacing w:after="0"/>
              <w:rPr>
                <w:sz w:val="12"/>
                <w:szCs w:val="12"/>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Ronald G. Wangerin</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10.73</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3/13/2013</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18,750</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18,750</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18,000</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20.30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5/28/2014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184,373</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rPr>
              <w:t>Steven R. Hart</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8,000</w:t>
            </w:r>
          </w:p>
        </w:tc>
        <w:tc>
          <w:tcPr>
            <w:tcW w:w="20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80" w:type="dxa"/>
            <w:vAlign w:val="bottom"/>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7.33</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7/14/2009</w:t>
            </w:r>
          </w:p>
        </w:tc>
        <w:tc>
          <w:tcPr>
            <w:tcW w:w="1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80" w:type="dxa"/>
            <w:vAlign w:val="bottom"/>
            <w:gridSpan w:val="2"/>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13,126</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13,124</w:t>
            </w:r>
          </w:p>
        </w:tc>
        <w:tc>
          <w:tcPr>
            <w:tcW w:w="200" w:type="dxa"/>
            <w:vAlign w:val="bottom"/>
          </w:tcPr>
          <w:p>
            <w:pPr>
              <w:spacing w:after="0"/>
              <w:rPr>
                <w:sz w:val="11"/>
                <w:szCs w:val="11"/>
                <w:color w:val="auto"/>
              </w:rPr>
            </w:pPr>
          </w:p>
        </w:tc>
        <w:tc>
          <w:tcPr>
            <w:tcW w:w="680" w:type="dxa"/>
            <w:vAlign w:val="bottom"/>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80" w:type="dxa"/>
            <w:vAlign w:val="bottom"/>
            <w:gridSpan w:val="2"/>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13,458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306,977</w:t>
            </w:r>
          </w:p>
        </w:tc>
        <w:tc>
          <w:tcPr>
            <w:tcW w:w="200" w:type="dxa"/>
            <w:vAlign w:val="bottom"/>
          </w:tcPr>
          <w:p>
            <w:pPr>
              <w:spacing w:after="0"/>
              <w:rPr>
                <w:sz w:val="12"/>
                <w:szCs w:val="12"/>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Mark J. Miller</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7,000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ind w:left="560"/>
              <w:spacing w:after="0" w:line="121"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7.33</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7/14/2009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12/21/2010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12/11/2011</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12/18/2013</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21.02</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12/16/2014</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9,376</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5" w:lineRule="exact"/>
              <w:rPr>
                <w:sz w:val="20"/>
                <w:szCs w:val="20"/>
                <w:color w:val="auto"/>
              </w:rPr>
            </w:pPr>
            <w:r>
              <w:rPr>
                <w:rFonts w:ascii="Arial" w:cs="Arial" w:eastAsia="Arial" w:hAnsi="Arial"/>
                <w:sz w:val="13"/>
                <w:szCs w:val="13"/>
                <w:color w:val="auto"/>
                <w:w w:val="76"/>
              </w:rPr>
              <w:t>—</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26.15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10/11/2012</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3"/>
                <w:szCs w:val="13"/>
                <w:color w:val="auto"/>
                <w:w w:val="76"/>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297,465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-3129280</wp:posOffset>
            </wp:positionV>
            <wp:extent cx="17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date of each option occurs six to ten years after the date of grant of each option.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vest in four equal annual installments over the course of four years.</w:t>
      </w:r>
    </w:p>
    <w:p>
      <w:pPr>
        <w:spacing w:after="0" w:line="63" w:lineRule="exact"/>
        <w:rPr>
          <w:rFonts w:ascii="Arial" w:cs="Arial" w:eastAsia="Arial" w:hAnsi="Arial"/>
          <w:sz w:val="18"/>
          <w:szCs w:val="18"/>
          <w:color w:val="auto"/>
        </w:rPr>
      </w:pPr>
    </w:p>
    <w:p>
      <w:pPr>
        <w:ind w:left="1000" w:right="40" w:hanging="301"/>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Computed by multiplying the closing market price of our common stock ($22.81) on April 3, 2009 (the last trading day of fiscal year 2009) by the number of shares subject to such stock award.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in Fiscal 2009</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2009.</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625"/>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400" w:type="dxa"/>
            <w:vAlign w:val="bottom"/>
          </w:tcPr>
          <w:p>
            <w:pPr>
              <w:spacing w:after="0"/>
              <w:rPr>
                <w:sz w:val="10"/>
                <w:szCs w:val="10"/>
                <w:color w:val="auto"/>
              </w:rPr>
            </w:pPr>
          </w:p>
        </w:tc>
        <w:tc>
          <w:tcPr>
            <w:tcW w:w="16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Realized on</w:t>
            </w:r>
          </w:p>
        </w:tc>
        <w:tc>
          <w:tcPr>
            <w:tcW w:w="40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Shares Acquired</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62"/>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on Exercise</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on Vesting</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314"/>
              <w:spacing w:after="0"/>
              <w:rPr>
                <w:sz w:val="20"/>
                <w:szCs w:val="20"/>
                <w:color w:val="auto"/>
              </w:rPr>
            </w:pPr>
            <w:r>
              <w:rPr>
                <w:rFonts w:ascii="Arial" w:cs="Arial" w:eastAsia="Arial" w:hAnsi="Arial"/>
                <w:sz w:val="14"/>
                <w:szCs w:val="14"/>
                <w:b w:val="1"/>
                <w:bCs w:val="1"/>
                <w:color w:val="auto"/>
                <w:w w:val="99"/>
              </w:rPr>
              <w:t>($)(1)</w:t>
            </w:r>
          </w:p>
        </w:tc>
        <w:tc>
          <w:tcPr>
            <w:tcW w:w="158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63,934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87"/>
              </w:rPr>
              <w:t>49,500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1,042(2)</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20,632(2)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Steven R. Hart</w:t>
            </w:r>
          </w:p>
        </w:tc>
        <w:tc>
          <w:tcPr>
            <w:tcW w:w="1160" w:type="dxa"/>
            <w:vAlign w:val="bottom"/>
          </w:tcPr>
          <w:p>
            <w:pPr>
              <w:jc w:val="right"/>
              <w:spacing w:after="0"/>
              <w:rPr>
                <w:sz w:val="20"/>
                <w:szCs w:val="20"/>
                <w:color w:val="auto"/>
              </w:rPr>
            </w:pPr>
            <w:r>
              <w:rPr>
                <w:rFonts w:ascii="Arial" w:cs="Arial" w:eastAsia="Arial" w:hAnsi="Arial"/>
                <w:sz w:val="18"/>
                <w:szCs w:val="18"/>
                <w:color w:val="auto"/>
              </w:rPr>
              <w:t>8,000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110,160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50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87"/>
              </w:rPr>
              <w:t>14,434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100,282</w:t>
            </w: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521(2)</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10,316(2)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hanging="301"/>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closing market price of our common stock on the date of exercise and the option exercise price, multiplied by the number of shares for which the option was exercised.</w:t>
      </w:r>
    </w:p>
    <w:p>
      <w:pPr>
        <w:spacing w:after="0" w:line="8" w:lineRule="exact"/>
        <w:rPr>
          <w:rFonts w:ascii="Arial" w:cs="Arial" w:eastAsia="Arial" w:hAnsi="Arial"/>
          <w:sz w:val="18"/>
          <w:szCs w:val="18"/>
          <w:color w:val="auto"/>
        </w:rPr>
      </w:pPr>
    </w:p>
    <w:p>
      <w:pPr>
        <w:ind w:left="1000" w:right="120" w:hanging="301"/>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Wangerin and Mr. Miller deferred 100% of their respective restricted stock unit awards vested during fiscal year 2009. All restricted stock units noted in table above for Mr. Wangerin and Mr. Miller vested during fiscal year 2009, but the underlying shares for these awards had not yet been delivered or acquired as of the end of fiscal year 2009.</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The following table provides information as of April 3, 2009 with respect to shares of ViaSat common stock that may be issued under existing equity compensation plans. In accordance with the rules promulgated by the SEC, the table does not include information with respect to shares subject to outstanding options granted under equity compensation arrangements assumed by us in connection with mergers and acquisitions of the companies that originally granted those options.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9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Pr>
          <w:p>
            <w:pPr>
              <w:spacing w:after="0"/>
              <w:rPr>
                <w:sz w:val="12"/>
                <w:szCs w:val="12"/>
                <w:color w:val="auto"/>
              </w:rPr>
            </w:pP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3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Options, Warrants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Options, Warrants</w:t>
            </w:r>
          </w:p>
        </w:tc>
        <w:tc>
          <w:tcPr>
            <w:tcW w:w="40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and Rights (#)(1)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 ($)</w:t>
            </w:r>
          </w:p>
        </w:tc>
        <w:tc>
          <w:tcPr>
            <w:tcW w:w="40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Reflected in Column (a))(#)</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6,166,326(3)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2,301,800(4)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w w:val="94"/>
              </w:rPr>
              <w:t>Equity compensation plans not approved by security</w:t>
            </w: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6,166,326</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400" w:type="dxa"/>
            <w:vAlign w:val="bottom"/>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2,301,800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-865505</wp:posOffset>
            </wp:positionV>
            <wp:extent cx="26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20" w:hanging="301"/>
        <w:spacing w:after="0" w:line="259"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SEC rules, this column does not reflect options assumed in mergers and acquisitions where the plans governing the options will not be used for future awards. As of April 3, 2009, a total of 96,934 shares of ViaSat common stock were issuable upon exercise of outstanding options under those assumed arrangements. The weighted average exercise price of those outstanding options is $13.80 per share.</w:t>
      </w:r>
    </w:p>
    <w:p>
      <w:pPr>
        <w:spacing w:after="0" w:line="24" w:lineRule="exact"/>
        <w:rPr>
          <w:rFonts w:ascii="Arial" w:cs="Arial" w:eastAsia="Arial" w:hAnsi="Arial"/>
          <w:sz w:val="18"/>
          <w:szCs w:val="18"/>
          <w:color w:val="auto"/>
        </w:rPr>
      </w:pPr>
    </w:p>
    <w:p>
      <w:pPr>
        <w:ind w:left="1000" w:hanging="30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two plans: (a) the 1996 Equity Participation Plan of ViaSat, Inc., and (b) the ViaSat, Inc. Employee Stock Purchase Plan.</w:t>
      </w:r>
    </w:p>
    <w:p>
      <w:pPr>
        <w:spacing w:after="0" w:line="86" w:lineRule="exact"/>
        <w:rPr>
          <w:rFonts w:ascii="Arial" w:cs="Arial" w:eastAsia="Arial" w:hAnsi="Arial"/>
          <w:sz w:val="16"/>
          <w:szCs w:val="16"/>
          <w:color w:val="auto"/>
        </w:rPr>
      </w:pPr>
    </w:p>
    <w:p>
      <w:pPr>
        <w:ind w:left="1000" w:hanging="301"/>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purchase rights currently accruing under the ViaSat, Inc. Employee Stock Purchase Plan.</w:t>
      </w:r>
    </w:p>
    <w:p>
      <w:pPr>
        <w:spacing w:after="0" w:line="63" w:lineRule="exact"/>
        <w:rPr>
          <w:rFonts w:ascii="Arial" w:cs="Arial" w:eastAsia="Arial" w:hAnsi="Arial"/>
          <w:sz w:val="18"/>
          <w:szCs w:val="18"/>
          <w:color w:val="auto"/>
        </w:rPr>
      </w:pPr>
    </w:p>
    <w:p>
      <w:pPr>
        <w:ind w:left="1000" w:right="1000" w:hanging="301"/>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ViaSat, Inc. Employee Stock Purchase Plan. As of April 3, 2009, 117,726 shares of common stock were available for future issuance under the plan.</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5"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None of our Named Executive Officers participates in or has account balances in qualified or non-qualified defined benefit plans sponsored by 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None of our Named Executive Officers participates in or has account balances in non-qualified defined contribution plans or other deferred compensation plans maintained by 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have employment, severance or change of control agreements with the Named Executive Officers.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sets forth the compensation earned during the year ended April 3, 2009 by each of our non-employee directors.</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Fees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Paid</w:t>
            </w: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in Cash</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($)(1)(2)</w:t>
            </w:r>
          </w:p>
        </w:tc>
        <w:tc>
          <w:tcPr>
            <w:tcW w:w="11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Robert W. Johnson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106,996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 Allen Lay</w:t>
            </w:r>
          </w:p>
        </w:tc>
        <w:tc>
          <w:tcPr>
            <w:tcW w:w="600" w:type="dxa"/>
            <w:vAlign w:val="bottom"/>
          </w:tcPr>
          <w:p>
            <w:pPr>
              <w:jc w:val="right"/>
              <w:spacing w:after="0"/>
              <w:rPr>
                <w:sz w:val="20"/>
                <w:szCs w:val="20"/>
                <w:color w:val="auto"/>
              </w:rPr>
            </w:pPr>
            <w:r>
              <w:rPr>
                <w:rFonts w:ascii="Arial" w:cs="Arial" w:eastAsia="Arial" w:hAnsi="Arial"/>
                <w:sz w:val="18"/>
                <w:szCs w:val="18"/>
                <w:color w:val="auto"/>
              </w:rPr>
              <w:t>27,750</w:t>
            </w:r>
          </w:p>
        </w:tc>
        <w:tc>
          <w:tcPr>
            <w:tcW w:w="1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w w:val="86"/>
              </w:rPr>
              <w:t>106,996</w:t>
            </w:r>
          </w:p>
        </w:tc>
        <w:tc>
          <w:tcPr>
            <w:tcW w:w="2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Jeffrey M. Nash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106,996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John P. Stenbit</w:t>
            </w:r>
          </w:p>
        </w:tc>
        <w:tc>
          <w:tcPr>
            <w:tcW w:w="600" w:type="dxa"/>
            <w:vAlign w:val="bottom"/>
          </w:tcPr>
          <w:p>
            <w:pPr>
              <w:jc w:val="right"/>
              <w:spacing w:after="0"/>
              <w:rPr>
                <w:sz w:val="20"/>
                <w:szCs w:val="20"/>
                <w:color w:val="auto"/>
              </w:rPr>
            </w:pPr>
            <w:r>
              <w:rPr>
                <w:rFonts w:ascii="Arial" w:cs="Arial" w:eastAsia="Arial" w:hAnsi="Arial"/>
                <w:sz w:val="18"/>
                <w:szCs w:val="18"/>
                <w:color w:val="auto"/>
              </w:rPr>
              <w:t>27,500</w:t>
            </w:r>
          </w:p>
        </w:tc>
        <w:tc>
          <w:tcPr>
            <w:tcW w:w="1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w w:val="86"/>
              </w:rPr>
              <w:t>106,996</w:t>
            </w:r>
          </w:p>
        </w:tc>
        <w:tc>
          <w:tcPr>
            <w:tcW w:w="20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Michael B. Targoff</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106,996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Harvey P. White</w:t>
            </w:r>
          </w:p>
        </w:tc>
        <w:tc>
          <w:tcPr>
            <w:tcW w:w="60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w w:val="86"/>
              </w:rPr>
              <w:t>113,052</w:t>
            </w:r>
          </w:p>
        </w:tc>
        <w:tc>
          <w:tcPr>
            <w:tcW w:w="200" w:type="dxa"/>
            <w:vAlign w:val="bottom"/>
          </w:tcPr>
          <w:p>
            <w:pPr>
              <w:spacing w:after="0"/>
              <w:rPr>
                <w:sz w:val="20"/>
                <w:szCs w:val="20"/>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143,052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60" w:hanging="301"/>
        <w:spacing w:after="0" w:line="29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column represents the compensation cost recognized by us for financial statement reporting purposes in fiscal 2009 for stock options granted to each of the non-employee directors, in fiscal 2009 as well as prior fiscal years, in accordance with SFAS 123R. Pursuant to SEC rules, the amounts shown disregard adjustments for forfeiture assumptions. For additional information on the valuation assumptions used in the calculation of these amounts, refer to note 1 to the financial statements included in our annual report on Form 10-K for the year ended April 3, 2009, as filed with the SEC. These amounts reflect the company’s accounting expense for these awards, and do not correspond to the actual value that will be recognized by the non-employee directors.</w:t>
      </w:r>
    </w:p>
    <w:p>
      <w:pPr>
        <w:spacing w:after="0" w:line="2" w:lineRule="exact"/>
        <w:rPr>
          <w:rFonts w:ascii="Arial" w:cs="Arial" w:eastAsia="Arial" w:hAnsi="Arial"/>
          <w:sz w:val="16"/>
          <w:szCs w:val="16"/>
          <w:color w:val="auto"/>
        </w:rPr>
      </w:pPr>
    </w:p>
    <w:p>
      <w:pPr>
        <w:ind w:left="1000" w:right="20" w:hanging="301"/>
        <w:spacing w:after="0" w:line="25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options outstanding at the end of fiscal 2009 for each director was as follows: Mr. Johnson 92,000; Mr. Lay 92,000; Dr. Nash 82,800; Mr. Stenbit 65,000; Mr. Targoff 75,000; and Mr. White 55,000. The full grant date fair value of stock options granted to each non-employee director during the fiscal year ended April 3, 2009 was $67,253, which reflects the company’s accounting expense for these options, and does not correspond to the actual value that may be recognized by the non-employee directors.</w:t>
      </w:r>
    </w:p>
    <w:p>
      <w:pPr>
        <w:spacing w:after="0" w:line="94"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Directors who are employees of the company, such as Mr. Dankberg, do not receive any additional compensation for their services as directors. Currently, non-employee directors are entitled to receive an annual retainer for their service in the amount of $30,000 as a member of the Board,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 At the time of initial election to the Board, each non-employee director is granted 3,000 restricted stock units and an</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option to purchase 9,000 shares of ViaSat common stock, and at each subsequent annual meeting of stockholders, each non-employee director is entitled to receive an annual equity grant in the form of 1,600 restricted stock units and an option to purchase 5,000 shares of ViaSat common stock. Members of the Board of Directors are reimbursed for expenses actually incurred in attending Board and committee meetings, and in connection with Board related activities.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The members of the Compensation and Human Resources Committee for the 2009 fiscal year were Messrs. Nash, Stenbit and White. During fiscal 2009, no interlocking relationship existed between any member of the Compensation and Human Resources Committee and any member of any other company’s board of directors or compensation committee.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240" w:top="419" w:right="11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All transactions and relationships in which the company and our directors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w:t>
      </w:r>
    </w:p>
    <w:p>
      <w:pPr>
        <w:spacing w:after="0" w:line="70"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17" w:lineRule="exact"/>
        <w:rPr>
          <w:rFonts w:ascii="Arial" w:cs="Arial" w:eastAsia="Arial" w:hAnsi="Arial"/>
          <w:sz w:val="18"/>
          <w:szCs w:val="18"/>
          <w:color w:val="auto"/>
        </w:rPr>
      </w:pPr>
    </w:p>
    <w:p>
      <w:pPr>
        <w:ind w:left="1300" w:right="98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Michael Targoff, a director of ViaSat since February 2003, currently serves as the Chief Executive Officer and the vice chairman of the board of directors of Loral, the parent of Space Systems/Loral, Inc. (SS/L), and is also a director of Telesat Holdings Inc., a joint venture company formed by Loral and the Public Sector Pension Investment Board to acquire Telesat Canada in October 2007. John Stenbit, a director of ViaSat since August 2004, also currently serves on the board of directors of Loral. In January 2008, we entered into several agreements with SS/L, Loral and Telesat Canada related to our anticipated high capacity satellite system. Under a satellite construction contract with SS/L, we agreed to purchase a new broadband satellite (ViaSat-1) designed by us and currently under construction by SS/L for approximately $209.1 million, subject to purchase price adjustments based on satellite performance. In addition, we entered into a beam sharing agreement with Loral, whereby Loral is responsible for contributing 15% of the total costs (estimated at approximately $57.6 million) associated with the ViaSat-1 satellite project. Our purchase of the ViaSat-1 satellite from SS/L was approved by the disinterested members of our Board of Directors, after a determination by the disinterested members of our Board that the terms and conditions of the purchase were fair to ViaSat and in the best interests of ViaSat and its stockholders. During the 2009 fiscal year, we paid $92.7 million to SS/L for the construction of ViaSat-1and, as of April 3, 2009, we had $9.7 million in outstanding payables relating thereto. In the normal course of business, we recognized $2.0 million of revenue related to Telesat Canada for the fiscal year ended April 3, 2009. Accounts receivable due from Telesat Canada as of April 3, 2009 were $2.7 million.</w:t>
      </w:r>
    </w:p>
    <w:p>
      <w:pPr>
        <w:spacing w:after="0" w:line="77" w:lineRule="exact"/>
        <w:rPr>
          <w:sz w:val="20"/>
          <w:szCs w:val="20"/>
          <w:color w:val="auto"/>
        </w:rPr>
      </w:pPr>
    </w:p>
    <w:p>
      <w:pPr>
        <w:jc w:val="both"/>
        <w:ind w:left="700" w:right="520" w:firstLine="397"/>
        <w:spacing w:after="0" w:line="264" w:lineRule="auto"/>
        <w:rPr>
          <w:sz w:val="20"/>
          <w:szCs w:val="20"/>
          <w:color w:val="auto"/>
        </w:rPr>
      </w:pPr>
      <w:r>
        <w:rPr>
          <w:rFonts w:ascii="Arial" w:cs="Arial" w:eastAsia="Arial" w:hAnsi="Arial"/>
          <w:sz w:val="18"/>
          <w:szCs w:val="18"/>
          <w:color w:val="auto"/>
        </w:rPr>
        <w:t>A brother of Mark Dankberg, ViaSat’s Chairman and Chief Executive Officer, is a tax partner with Deloitte &amp; Touche. In the ordinary course of business, we have engaged, and may in the future engage, Deloitte to provide tax consulting and other services. During fiscal 2009, we paid Deloitte approximately $664,770 for these services.</w:t>
      </w:r>
    </w:p>
    <w:p>
      <w:pPr>
        <w:spacing w:after="0" w:line="8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Another brother of Mr. Dankberg is employed by ViaSat as an information systems architect. He earned an aggregate of approximately $164,000 in base salary and bonus during fiscal year 2009, and participates in our equity award and benefit programs. His performance is evaluated consistent with our normal human resources practices and his compensation is commensurate with that of his peers.</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 brother of Mark Miller, ViaSat’s Chief Technical Officer, is a software engineer at ViaSat. He earned an aggregate of approximately $128,000 in base salary and bonus during fiscal year 2009 with respect to his employment, and participates in our equity award and benefit programs. His performance is evaluated consistent with our normal human resources practices and his compensation is commensurate with that of his peers.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REPORT</w:t>
      </w:r>
    </w:p>
    <w:p>
      <w:pPr>
        <w:spacing w:after="0" w:line="135" w:lineRule="exact"/>
        <w:rPr>
          <w:sz w:val="20"/>
          <w:szCs w:val="20"/>
          <w:color w:val="auto"/>
        </w:rPr>
      </w:pPr>
    </w:p>
    <w:p>
      <w:pPr>
        <w:jc w:val="both"/>
        <w:ind w:left="700" w:right="320" w:firstLine="397"/>
        <w:spacing w:after="0" w:line="293"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70" w:lineRule="exact"/>
        <w:rPr>
          <w:sz w:val="20"/>
          <w:szCs w:val="20"/>
          <w:color w:val="auto"/>
        </w:rPr>
      </w:pPr>
    </w:p>
    <w:p>
      <w:pPr>
        <w:jc w:val="both"/>
        <w:ind w:left="700" w:right="40" w:firstLine="397"/>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w:t>
      </w:r>
    </w:p>
    <w:p>
      <w:pPr>
        <w:ind w:left="700"/>
        <w:spacing w:after="0" w:line="288" w:lineRule="auto"/>
        <w:rPr>
          <w:sz w:val="20"/>
          <w:szCs w:val="20"/>
          <w:color w:val="auto"/>
        </w:rPr>
      </w:pPr>
      <w:r>
        <w:rPr>
          <w:rFonts w:ascii="Arial" w:cs="Arial" w:eastAsia="Arial" w:hAnsi="Arial"/>
          <w:sz w:val="16"/>
          <w:szCs w:val="16"/>
          <w:color w:val="auto"/>
        </w:rPr>
        <w:t>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7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reviewed and discussed the audited consolidated financial statements for fiscal year 2009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PricewaterhouseCoopers LLP represented that its presentations included the matters required to be discussed with the Audit Committee by Statement on Auditing Standards No. 61, as amended, “Communication with Audit Committees” (Codification of Statements on Auditing Standards, AU Section 380).</w:t>
      </w:r>
    </w:p>
    <w:p>
      <w:pPr>
        <w:spacing w:after="0" w:line="83"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6"/>
          <w:szCs w:val="16"/>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52"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In reliance on these reviews and discussions, the Audit Committee has recommended to the Board of Directors that ViaSat’s audited financial statements be included in ViaSat’s annual report on Form 10-K for the fiscal year ended April 3, 2009 for filing with the SEC.</w:t>
      </w:r>
    </w:p>
    <w:p>
      <w:pPr>
        <w:spacing w:after="0" w:line="29"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 future filings with the SEC except to the extent that ViaSat specifically incorporates it by reference into a document filed under the Securities Act of 1933 or the Securities Exchange Act of 1934.</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Respectfully Submitted by the 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Allen Lay (Chair)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W. Johnson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i w:val="1"/>
          <w:iCs w:val="1"/>
          <w:color w:val="auto"/>
        </w:rPr>
        <w:t xml:space="preserve">Stockholder Proposals for Inclusion in ViaSat’s 2010 Proxy Statement. </w:t>
      </w:r>
      <w:r>
        <w:rPr>
          <w:rFonts w:ascii="Arial" w:cs="Arial" w:eastAsia="Arial" w:hAnsi="Arial"/>
          <w:sz w:val="17"/>
          <w:szCs w:val="17"/>
          <w:color w:val="auto"/>
        </w:rPr>
        <w:t>Stockholders of ViaSat may submit proposals on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for stockholder action at meetings of our stockholders in accordance with Rule 14a-8 promulgated under the Securities Exchange Act of 1934. To be eligible for inclusion in our proxy statement relating to the 2010 annual meeting of stockholders, proposals of stockholders must be received at our principal executive offices no later than April 23, 2010 (120 calendar days prior to the anniversary of the date of the proxy statement for our 2009 annual meeting) and must otherwise satisfy the conditions established by the SEC for stockholder proposals to be included in the proxy statement for that meeting.</w:t>
      </w:r>
    </w:p>
    <w:p>
      <w:pPr>
        <w:spacing w:after="0" w:line="84"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Stockholder Proposals for Presentation at the 2010 Annual Meeting. </w:t>
      </w:r>
      <w:r>
        <w:rPr>
          <w:rFonts w:ascii="Arial" w:cs="Arial" w:eastAsia="Arial" w:hAnsi="Arial"/>
          <w:sz w:val="17"/>
          <w:szCs w:val="17"/>
          <w:color w:val="auto"/>
        </w:rPr>
        <w:t>If a stockholder wishes to present a proposal at our 2010</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stockholders without including the proposal in our proxy statement relating to that meeting, the stockholder must give advance notice in writing to our Corporate Secretary prior to the deadline for such meeting determined in accordance with our bylaws and must otherwise satisfy the conditions set forth in our bylaws for stockholder proposals. Under our bylaws, a stockholder must notify us no earlier than June 3, 2010 (120 calendar days prior to the anniversary of our 2009 annual meeting) and no later than July 3, 2010 (90 calendar days prior to the anniversary of our 2009 annual meeting) unless the date of the 2010 annual meeting is advanced by more than 30 days or delayed by more than 60 days from the anniversary of the 2009 annual meeting. If the stockholder fails to give timely notice, the proxy card will confer discretionary authority on the individuals named as proxies to vote the shares represented by the proxies in accordance with their best judgment.</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00" w:lineRule="exact"/>
        <w:rPr>
          <w:sz w:val="20"/>
          <w:szCs w:val="20"/>
          <w:color w:val="auto"/>
        </w:rPr>
      </w:pPr>
    </w:p>
    <w:p>
      <w:pPr>
        <w:spacing w:after="0" w:line="26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EMPLOYEE STOCK PURCHASE PLAN</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(As Amended and Restated Effective July 1, 2009)</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ViaSat, Inc., a corporation organized under the laws of the State of Delaware (the “Company”), hereby adopts The ViaSat, Inc.</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Employee Stock Purchase Plan (the “Plan”). The purposes of the Plan are as follows:</w:t>
      </w:r>
    </w:p>
    <w:p>
      <w:pPr>
        <w:spacing w:after="0" w:line="116" w:lineRule="exact"/>
        <w:rPr>
          <w:sz w:val="20"/>
          <w:szCs w:val="20"/>
          <w:color w:val="auto"/>
        </w:rPr>
      </w:pPr>
    </w:p>
    <w:p>
      <w:pPr>
        <w:ind w:left="1080" w:right="520" w:firstLine="391"/>
        <w:spacing w:after="0" w:line="264" w:lineRule="auto"/>
        <w:tabs>
          <w:tab w:leader="none" w:pos="17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assist employees of the Participating Companies (as defined below) in acquiring a stock ownership interest in the Company pursuant to a plan which is intended to qualify as an “employee stock purchase plan” within the meaning of Section 423(b) of the Internal Revenue Code of 1986, as amended.</w:t>
      </w:r>
    </w:p>
    <w:p>
      <w:pPr>
        <w:spacing w:after="0" w:line="86" w:lineRule="exact"/>
        <w:rPr>
          <w:rFonts w:ascii="Arial" w:cs="Arial" w:eastAsia="Arial" w:hAnsi="Arial"/>
          <w:sz w:val="18"/>
          <w:szCs w:val="18"/>
          <w:color w:val="auto"/>
        </w:rPr>
      </w:pPr>
    </w:p>
    <w:p>
      <w:pPr>
        <w:ind w:left="1080" w:right="220" w:firstLine="391"/>
        <w:spacing w:after="0" w:line="277" w:lineRule="auto"/>
        <w:tabs>
          <w:tab w:leader="none" w:pos="17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help employees provide for their future security and to encourage them to remain in the employment of the Company and its Subsidiary Corporations.</w:t>
      </w:r>
    </w:p>
    <w:p>
      <w:pPr>
        <w:spacing w:after="0" w:line="179" w:lineRule="exact"/>
        <w:rPr>
          <w:rFonts w:ascii="Arial" w:cs="Arial" w:eastAsia="Arial" w:hAnsi="Arial"/>
          <w:sz w:val="18"/>
          <w:szCs w:val="18"/>
          <w:color w:val="auto"/>
        </w:rPr>
      </w:pPr>
    </w:p>
    <w:p>
      <w:pPr>
        <w:ind w:left="1000" w:hanging="307"/>
        <w:spacing w:after="0"/>
        <w:tabs>
          <w:tab w:leader="none" w:pos="10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87" w:lineRule="exact"/>
        <w:rPr>
          <w:sz w:val="20"/>
          <w:szCs w:val="20"/>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w:t>
      </w:r>
      <w:r>
        <w:rPr>
          <w:rFonts w:ascii="Arial" w:cs="Arial" w:eastAsia="Arial" w:hAnsi="Arial"/>
          <w:sz w:val="18"/>
          <w:szCs w:val="18"/>
          <w:color w:val="auto"/>
        </w:rPr>
        <w:t>has the meaning assigned to that term in Section 3(b) hereof.</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or “Board” means the Board of Directors of the Company.</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committee appointed to administer the Plan pursuant to Section 12 hereof.</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ViaSat, Inc., a Delaware corporation.</w:t>
      </w:r>
    </w:p>
    <w:p>
      <w:pPr>
        <w:spacing w:after="0" w:line="130"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“Date of Exercise” </w:t>
      </w:r>
      <w:r>
        <w:rPr>
          <w:rFonts w:ascii="Arial" w:cs="Arial" w:eastAsia="Arial" w:hAnsi="Arial"/>
          <w:sz w:val="17"/>
          <w:szCs w:val="17"/>
          <w:color w:val="auto"/>
        </w:rPr>
        <w:t>means, with respect to any Option, the last day of the Offering Period for which the Option was</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granted.</w:t>
      </w:r>
    </w:p>
    <w:p>
      <w:pPr>
        <w:spacing w:after="0" w:line="116" w:lineRule="exact"/>
        <w:rPr>
          <w:rFonts w:ascii="Arial" w:cs="Arial" w:eastAsia="Arial" w:hAnsi="Arial"/>
          <w:sz w:val="17"/>
          <w:szCs w:val="17"/>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“Date of Grant” </w:t>
      </w:r>
      <w:r>
        <w:rPr>
          <w:rFonts w:ascii="Arial" w:cs="Arial" w:eastAsia="Arial" w:hAnsi="Arial"/>
          <w:sz w:val="16"/>
          <w:szCs w:val="16"/>
          <w:color w:val="auto"/>
        </w:rPr>
        <w:t>means, with respect to any Option, the date upon which the Option is granted, as set forth in Section 3(a)</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“Eligible Compensation” </w:t>
      </w:r>
      <w:r>
        <w:rPr>
          <w:rFonts w:ascii="Arial" w:cs="Arial" w:eastAsia="Arial" w:hAnsi="Arial"/>
          <w:sz w:val="18"/>
          <w:szCs w:val="18"/>
          <w:color w:val="auto"/>
        </w:rPr>
        <w:t>means the employee’s base pay.</w:t>
      </w:r>
    </w:p>
    <w:p>
      <w:pPr>
        <w:spacing w:after="0" w:line="130" w:lineRule="exact"/>
        <w:rPr>
          <w:rFonts w:ascii="Arial" w:cs="Arial" w:eastAsia="Arial" w:hAnsi="Arial"/>
          <w:sz w:val="18"/>
          <w:szCs w:val="18"/>
          <w:color w:val="auto"/>
        </w:rPr>
      </w:pPr>
    </w:p>
    <w:p>
      <w:pPr>
        <w:ind w:left="1080" w:firstLine="391"/>
        <w:spacing w:after="0" w:line="268" w:lineRule="auto"/>
        <w:tabs>
          <w:tab w:leader="none" w:pos="167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“Eligible Employee” </w:t>
      </w:r>
      <w:r>
        <w:rPr>
          <w:rFonts w:ascii="Arial" w:cs="Arial" w:eastAsia="Arial" w:hAnsi="Arial"/>
          <w:sz w:val="17"/>
          <w:szCs w:val="17"/>
          <w:color w:val="auto"/>
        </w:rPr>
        <w:t>means an employee of a Participating Company (1) who does not, immediately after the Option is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own stock possessing five percent or more of the total combined voting power or value of all classes of stock of the Company, a Parent Corporation or a Subsidiary Corporation; (2) who has been employed by a Participating Company for not less than six months; (3) whose customary employment is for more than 20 hours per week; and (4) whose customary employment is for more than five months in any calendar year. For purposes of paragraph (i), the rules of Section 424(d) of the Code with regard to the attribution of stock ownership shall apply in determining the stock ownership of an individual, and stock which an employee may purchase under outstanding options shall be treated as stock owned by the employee. During a leave of absence meeting the requirements of Treasury Regulation Section 1.421-7(h)(2), an individual shall be treated as an employee of the Participating Company employing such individual immediately prior to such leave. “Eligible Employee” shall not include any director of a Participating Company who does not render services to the Participating Company in the status of an employee within the meaning of Section 3401(c) of the Code. In addition, “Eligible Employee” shall not include any employee of a Participating Company who is a citizen or resident of a foreign jurisdiction if the grant of an Option under the Plan to such employee would be prohibited under the laws of such foreign jurisdiction or the grant of an Option to such employee in compliance with the laws of such foreign jurisdiction would cause the Plan to violate the requirements of Section 423 of the Code, as determined by the Committee in its sole discretion.</w:t>
      </w:r>
    </w:p>
    <w:p>
      <w:pPr>
        <w:spacing w:after="0" w:line="3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firstLine="391"/>
        <w:spacing w:after="0" w:line="286" w:lineRule="auto"/>
        <w:tabs>
          <w:tab w:leader="none" w:pos="1676"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“Offering Period” </w:t>
      </w:r>
      <w:r>
        <w:rPr>
          <w:rFonts w:ascii="Arial" w:cs="Arial" w:eastAsia="Arial" w:hAnsi="Arial"/>
          <w:sz w:val="17"/>
          <w:szCs w:val="17"/>
          <w:color w:val="auto"/>
        </w:rPr>
        <w:t>shall mean the six-month periods commencing January 1 and July 1 of each Plan Year as specified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3(a) hereof or such other dates which are six months apart as determined by the Committee. Options shall be granted on the Date of Grant and exercised on the Date of Exercise as provided in Sections 3(a) and 4(a) hereof.</w:t>
      </w:r>
    </w:p>
    <w:p>
      <w:pPr>
        <w:spacing w:after="0" w:line="70"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means an option granted under the Plan to an Eligible Employee to purchase shares of the Company’s Stock.</w:t>
      </w:r>
    </w:p>
    <w:p>
      <w:pPr>
        <w:spacing w:after="0" w:line="153" w:lineRule="exact"/>
        <w:rPr>
          <w:rFonts w:ascii="Arial" w:cs="Arial" w:eastAsia="Arial" w:hAnsi="Arial"/>
          <w:sz w:val="16"/>
          <w:szCs w:val="16"/>
          <w:color w:val="auto"/>
        </w:rPr>
      </w:pPr>
    </w:p>
    <w:p>
      <w:pPr>
        <w:ind w:left="108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“Option Period” </w:t>
      </w:r>
      <w:r>
        <w:rPr>
          <w:rFonts w:ascii="Arial" w:cs="Arial" w:eastAsia="Arial" w:hAnsi="Arial"/>
          <w:sz w:val="18"/>
          <w:szCs w:val="18"/>
          <w:color w:val="auto"/>
        </w:rPr>
        <w:t>means, with respect to any Option, the period beginning upon the Date of Grant and ending upon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Exercise.</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has the meaning set forth in Section 4(b) hereof.</w:t>
      </w:r>
    </w:p>
    <w:p>
      <w:pPr>
        <w:spacing w:after="0" w:line="130" w:lineRule="exact"/>
        <w:rPr>
          <w:rFonts w:ascii="Arial" w:cs="Arial" w:eastAsia="Arial" w:hAnsi="Arial"/>
          <w:sz w:val="18"/>
          <w:szCs w:val="18"/>
          <w:color w:val="auto"/>
        </w:rPr>
      </w:pPr>
    </w:p>
    <w:p>
      <w:pPr>
        <w:jc w:val="both"/>
        <w:ind w:left="1080" w:right="100" w:firstLine="391"/>
        <w:spacing w:after="0" w:line="312" w:lineRule="auto"/>
        <w:tabs>
          <w:tab w:leader="none" w:pos="171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“Parent Corporation” </w:t>
      </w:r>
      <w:r>
        <w:rPr>
          <w:rFonts w:ascii="Arial" w:cs="Arial" w:eastAsia="Arial" w:hAnsi="Arial"/>
          <w:sz w:val="16"/>
          <w:szCs w:val="16"/>
          <w:color w:val="auto"/>
        </w:rPr>
        <w:t>means any corporation, other than the Company, in an unbroken chain of corporations ending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52" w:lineRule="exact"/>
        <w:rPr>
          <w:rFonts w:ascii="Arial" w:cs="Arial" w:eastAsia="Arial" w:hAnsi="Arial"/>
          <w:sz w:val="16"/>
          <w:szCs w:val="16"/>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Eligible Employee who has complied with the provisions of Section 3(b) hereof.</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“Participating Company” </w:t>
      </w:r>
      <w:r>
        <w:rPr>
          <w:rFonts w:ascii="Arial" w:cs="Arial" w:eastAsia="Arial" w:hAnsi="Arial"/>
          <w:sz w:val="18"/>
          <w:szCs w:val="18"/>
          <w:color w:val="auto"/>
        </w:rPr>
        <w:t>means the Company and such present or future Subsidiary Corporations of the Company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the Committee shall from time to time designate.</w:t>
      </w:r>
    </w:p>
    <w:p>
      <w:pPr>
        <w:spacing w:after="0" w:line="75" w:lineRule="exact"/>
        <w:rPr>
          <w:rFonts w:ascii="Arial" w:cs="Arial" w:eastAsia="Arial" w:hAnsi="Arial"/>
          <w:sz w:val="18"/>
          <w:szCs w:val="18"/>
          <w:color w:val="auto"/>
        </w:rPr>
      </w:pPr>
    </w:p>
    <w:p>
      <w:pPr>
        <w:ind w:left="1080" w:right="66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“Payday” </w:t>
      </w:r>
      <w:r>
        <w:rPr>
          <w:rFonts w:ascii="Arial" w:cs="Arial" w:eastAsia="Arial" w:hAnsi="Arial"/>
          <w:sz w:val="18"/>
          <w:szCs w:val="18"/>
          <w:color w:val="auto"/>
        </w:rPr>
        <w:t>means the regular and recurring established day for payment of cash compensation to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Participating Company.</w:t>
      </w:r>
    </w:p>
    <w:p>
      <w:pPr>
        <w:spacing w:after="0" w:line="75" w:lineRule="exact"/>
        <w:rPr>
          <w:rFonts w:ascii="Arial" w:cs="Arial" w:eastAsia="Arial" w:hAnsi="Arial"/>
          <w:sz w:val="18"/>
          <w:szCs w:val="18"/>
          <w:color w:val="auto"/>
        </w:rPr>
      </w:pPr>
    </w:p>
    <w:p>
      <w:pPr>
        <w:ind w:left="1700" w:hanging="229"/>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ViaSat, Inc. Employee Stock Purchase Plan.</w:t>
      </w:r>
    </w:p>
    <w:p>
      <w:pPr>
        <w:spacing w:after="0" w:line="130" w:lineRule="exact"/>
        <w:rPr>
          <w:rFonts w:ascii="Arial" w:cs="Arial" w:eastAsia="Arial" w:hAnsi="Arial"/>
          <w:sz w:val="18"/>
          <w:szCs w:val="18"/>
          <w:color w:val="auto"/>
        </w:rPr>
      </w:pPr>
    </w:p>
    <w:p>
      <w:pPr>
        <w:ind w:left="1700" w:hanging="229"/>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“Plan Year” </w:t>
      </w:r>
      <w:r>
        <w:rPr>
          <w:rFonts w:ascii="Arial" w:cs="Arial" w:eastAsia="Arial" w:hAnsi="Arial"/>
          <w:sz w:val="18"/>
          <w:szCs w:val="18"/>
          <w:color w:val="auto"/>
        </w:rPr>
        <w:t>means the calendar year.</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shares of the Company’s common stock, $0.0001 par value.</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“Subsidiary Corporation” </w:t>
      </w:r>
      <w:r>
        <w:rPr>
          <w:rFonts w:ascii="Arial" w:cs="Arial" w:eastAsia="Arial" w:hAnsi="Arial"/>
          <w:sz w:val="18"/>
          <w:szCs w:val="18"/>
          <w:color w:val="auto"/>
        </w:rPr>
        <w:t>means any corporation, other than the Company, in an unbroken chain of corporations</w:t>
      </w:r>
    </w:p>
    <w:p>
      <w:pPr>
        <w:spacing w:after="0" w:line="23" w:lineRule="exact"/>
        <w:rPr>
          <w:rFonts w:ascii="Arial" w:cs="Arial" w:eastAsia="Arial" w:hAnsi="Arial"/>
          <w:sz w:val="18"/>
          <w:szCs w:val="18"/>
          <w:color w:val="auto"/>
        </w:rPr>
      </w:pPr>
    </w:p>
    <w:p>
      <w:pPr>
        <w:ind w:left="1080"/>
        <w:spacing w:after="0" w:line="255" w:lineRule="auto"/>
        <w:rPr>
          <w:rFonts w:ascii="Arial" w:cs="Arial" w:eastAsia="Arial" w:hAnsi="Arial"/>
          <w:sz w:val="18"/>
          <w:szCs w:val="18"/>
          <w:color w:val="auto"/>
        </w:rPr>
      </w:pPr>
      <w:r>
        <w:rPr>
          <w:rFonts w:ascii="Arial" w:cs="Arial" w:eastAsia="Arial" w:hAnsi="Arial"/>
          <w:sz w:val="18"/>
          <w:szCs w:val="18"/>
          <w:color w:val="auto"/>
        </w:rPr>
        <w:t>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w:t>
      </w:r>
    </w:p>
    <w:p>
      <w:pPr>
        <w:spacing w:after="0" w:line="20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STOCK SUBJECT TO THE PLAN</w:t>
      </w:r>
    </w:p>
    <w:p>
      <w:pPr>
        <w:spacing w:after="0" w:line="135"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Subject to the provisions of Section 9 hereof (relating to adjustments upon changes in the Stock) and Section 11 hereof (relating to amendments of the Plan), the Stock which may be sold pursuant to Options granted under the Plan shall not exceed in the aggregate 2,250,000 shares, and may be unissued shares or treasury shares or shares bought on the market for purposes of the Plan.</w:t>
      </w:r>
    </w:p>
    <w:p>
      <w:pPr>
        <w:spacing w:after="0" w:line="156" w:lineRule="exact"/>
        <w:rPr>
          <w:sz w:val="20"/>
          <w:szCs w:val="20"/>
          <w:color w:val="auto"/>
        </w:rPr>
      </w:pPr>
    </w:p>
    <w:p>
      <w:pPr>
        <w:ind w:left="1000" w:hanging="307"/>
        <w:spacing w:after="0"/>
        <w:tabs>
          <w:tab w:leader="none" w:pos="10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134" w:lineRule="exact"/>
        <w:rPr>
          <w:rFonts w:ascii="Arial" w:cs="Arial" w:eastAsia="Arial" w:hAnsi="Arial"/>
          <w:sz w:val="18"/>
          <w:szCs w:val="18"/>
          <w:b w:val="1"/>
          <w:bCs w:val="1"/>
          <w:color w:val="auto"/>
        </w:rPr>
      </w:pPr>
    </w:p>
    <w:p>
      <w:pPr>
        <w:ind w:left="700" w:right="140" w:firstLine="390"/>
        <w:spacing w:after="0" w:line="285" w:lineRule="auto"/>
        <w:tabs>
          <w:tab w:leader="none" w:pos="1341" w:val="left"/>
        </w:tabs>
        <w:numPr>
          <w:ilvl w:val="1"/>
          <w:numId w:val="37"/>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offer Options under the Plan to all Eligible Employees in successive Offering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Dates of Grant shall include January 1 and July 1 of each Plan Year and/or such other date or dates as the Committee may from time to time determine. Each Option shall expire on the Date of Exercise immediately after the automatic exercise of the Option pursuant to Section 4(a) hereof. The number of shares of Stock subject to each Option shall equal the payroll deductions authorized by each Participant in accordance with subsection (b) hereof for the Option Period, divided by the Option Price, except as provided in</w:t>
      </w:r>
    </w:p>
    <w:p>
      <w:pPr>
        <w:spacing w:after="0" w:line="2" w:lineRule="exact"/>
        <w:rPr>
          <w:rFonts w:ascii="Arial" w:cs="Arial" w:eastAsia="Arial" w:hAnsi="Arial"/>
          <w:sz w:val="16"/>
          <w:szCs w:val="16"/>
          <w:color w:val="auto"/>
        </w:rPr>
      </w:pPr>
    </w:p>
    <w:p>
      <w:pPr>
        <w:ind w:left="700"/>
        <w:spacing w:after="0" w:line="254" w:lineRule="auto"/>
        <w:rPr>
          <w:rFonts w:ascii="Arial" w:cs="Arial" w:eastAsia="Arial" w:hAnsi="Arial"/>
          <w:sz w:val="16"/>
          <w:szCs w:val="16"/>
          <w:color w:val="auto"/>
        </w:rPr>
      </w:pPr>
      <w:r>
        <w:rPr>
          <w:rFonts w:ascii="Arial" w:cs="Arial" w:eastAsia="Arial" w:hAnsi="Arial"/>
          <w:sz w:val="18"/>
          <w:szCs w:val="18"/>
          <w:color w:val="auto"/>
        </w:rPr>
        <w:t>Section 4(a); provided, however, that the maximum number of shares subject to any Option shall not exceed 100,000. If by reason of the foregoing limitation any portion of the balance in a Participant’s account under the Plan is not applied to the purchase of Stock on a Date of Exercise, the Company shall pay to the Participant such amount in cash in one lump sum within sixty (60) days following such Date of Exercise, without any interest thereon.</w:t>
      </w:r>
    </w:p>
    <w:p>
      <w:pPr>
        <w:spacing w:after="0" w:line="95" w:lineRule="exact"/>
        <w:rPr>
          <w:rFonts w:ascii="Arial" w:cs="Arial" w:eastAsia="Arial" w:hAnsi="Arial"/>
          <w:sz w:val="16"/>
          <w:szCs w:val="16"/>
          <w:color w:val="auto"/>
        </w:rPr>
      </w:pPr>
    </w:p>
    <w:p>
      <w:pPr>
        <w:ind w:left="700" w:right="580" w:firstLine="390"/>
        <w:spacing w:after="0" w:line="277" w:lineRule="auto"/>
        <w:tabs>
          <w:tab w:leader="none" w:pos="1352" w:val="left"/>
        </w:tabs>
        <w:numPr>
          <w:ilvl w:val="1"/>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Election to Participate; Payroll Deduction Authorization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subsection (d) or (e) hereof, an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shall participate in the Plan only by means of payroll deduction. Each Eligible</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3" w:lineRule="auto"/>
        <w:rPr>
          <w:sz w:val="20"/>
          <w:szCs w:val="20"/>
          <w:color w:val="auto"/>
        </w:rPr>
      </w:pPr>
      <w:r>
        <w:rPr>
          <w:rFonts w:ascii="Arial" w:cs="Arial" w:eastAsia="Arial" w:hAnsi="Arial"/>
          <w:sz w:val="18"/>
          <w:szCs w:val="18"/>
          <w:color w:val="auto"/>
        </w:rPr>
        <w:t>Employee who elects to participate in the Plan shall deliver to the Company during the calendar month preceding a Date of Grant and no later than five (5) working days before such Date of Grant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w:t>
      </w:r>
    </w:p>
    <w:p>
      <w:pPr>
        <w:spacing w:after="0" w:line="103"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Committee may adopt rules and procedures for the implementation and administration of payroll deduction elections, including the following:</w:t>
      </w:r>
    </w:p>
    <w:p>
      <w:pPr>
        <w:spacing w:after="0" w:line="76" w:lineRule="exact"/>
        <w:rPr>
          <w:sz w:val="20"/>
          <w:szCs w:val="20"/>
          <w:color w:val="auto"/>
        </w:rPr>
      </w:pPr>
    </w:p>
    <w:p>
      <w:pPr>
        <w:ind w:left="1080" w:right="160" w:firstLine="391"/>
        <w:spacing w:after="0" w:line="259" w:lineRule="auto"/>
        <w:tabs>
          <w:tab w:leader="none" w:pos="1676" w:val="left"/>
        </w:tabs>
        <w:numPr>
          <w:ilvl w:val="2"/>
          <w:numId w:val="38"/>
        </w:numPr>
        <w:rPr>
          <w:rFonts w:ascii="Arial" w:cs="Arial" w:eastAsia="Arial" w:hAnsi="Arial"/>
          <w:sz w:val="18"/>
          <w:szCs w:val="18"/>
          <w:color w:val="auto"/>
        </w:rPr>
      </w:pPr>
      <w:r>
        <w:rPr>
          <w:rFonts w:ascii="Arial" w:cs="Arial" w:eastAsia="Arial" w:hAnsi="Arial"/>
          <w:sz w:val="18"/>
          <w:szCs w:val="18"/>
          <w:color w:val="auto"/>
        </w:rPr>
        <w:t>whether a Participant’s payroll deduction election may be stated in terms of a dollar amount on each Payday, a percentage of Eligible Compensation on each Payday or in any other manner; provided that, in the absence of any determination by the Committee, a Participant’s payroll deduction election shall be stated in terms of a percentage of such Participant’s Eligible Compensation on each Payday; and</w:t>
      </w:r>
    </w:p>
    <w:p>
      <w:pPr>
        <w:spacing w:after="0" w:line="92" w:lineRule="exact"/>
        <w:rPr>
          <w:rFonts w:ascii="Arial" w:cs="Arial" w:eastAsia="Arial" w:hAnsi="Arial"/>
          <w:sz w:val="18"/>
          <w:szCs w:val="18"/>
          <w:color w:val="auto"/>
        </w:rPr>
      </w:pPr>
    </w:p>
    <w:p>
      <w:pPr>
        <w:ind w:left="1080" w:right="140" w:firstLine="391"/>
        <w:spacing w:after="0" w:line="257" w:lineRule="auto"/>
        <w:tabs>
          <w:tab w:leader="none" w:pos="172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minimum or maximum dollar or percentage limitations that apply to a Participant’s payroll deduction election; provided that, in the absence of any determination by the Committee, the minimum payroll deduction to be made by a Participant per Payday is $10.00 (if a specific dollar amount is selected) or 1% of Eligible Compensation (if a specific percentage is selected); provided, further, that in the absence of any determination by the Committee, the maximum payroll deduction to be made by a Participant per Payday is 5% of Eligible Compensation.</w:t>
      </w:r>
    </w:p>
    <w:p>
      <w:pPr>
        <w:spacing w:after="0" w:line="93" w:lineRule="exact"/>
        <w:rPr>
          <w:rFonts w:ascii="Arial" w:cs="Arial" w:eastAsia="Arial" w:hAnsi="Arial"/>
          <w:sz w:val="18"/>
          <w:szCs w:val="18"/>
          <w:color w:val="auto"/>
        </w:rPr>
      </w:pPr>
    </w:p>
    <w:p>
      <w:pPr>
        <w:ind w:left="700" w:right="20" w:firstLine="390"/>
        <w:spacing w:after="0" w:line="293" w:lineRule="auto"/>
        <w:tabs>
          <w:tab w:leader="none" w:pos="1341" w:val="left"/>
        </w:tabs>
        <w:numPr>
          <w:ilvl w:val="1"/>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$25,000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No Eligible Employee shall be granted an Option under the Plan which permits his or her rights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under the Plan and under all other employee stock purchase plans of the Company, any Parent Corporation or any Subsidiary Corporation subject to Section 423 to accrue at a rate which exceeds the $25,000 limit set forth in Section 423(b)(8) of the Code and the Treasury Regulations thereunder. If by reason of the foregoing limitation any portion of the balance in a Participant’s account under the Plan is not applied to the purchase of Stock on a Date of Exercise, the Company shall pay to the Participant such amount in cash in one lump sum within sixty (60) days following such Date of Exercise, without any interest thereon.</w:t>
      </w:r>
    </w:p>
    <w:p>
      <w:pPr>
        <w:spacing w:after="0" w:line="70" w:lineRule="exact"/>
        <w:rPr>
          <w:rFonts w:ascii="Arial" w:cs="Arial" w:eastAsia="Arial" w:hAnsi="Arial"/>
          <w:sz w:val="16"/>
          <w:szCs w:val="16"/>
          <w:color w:val="auto"/>
        </w:rPr>
      </w:pPr>
    </w:p>
    <w:p>
      <w:pPr>
        <w:ind w:left="700" w:right="80" w:firstLine="390"/>
        <w:spacing w:after="0" w:line="312" w:lineRule="auto"/>
        <w:tabs>
          <w:tab w:leader="none" w:pos="1352" w:val="left"/>
        </w:tabs>
        <w:numPr>
          <w:ilvl w:val="1"/>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Leaves of Absence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leave of absence meeting the requirements of Treasury Regulation Section 1.421-1(h)(2),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may continue to participate in the Plan by making cash payments to the Company on each Payday equal to the amount of the Participant’s payroll deductions under the Plan for the Payday immediately preceding the first day of such Participant’s leave of absence.</w:t>
      </w:r>
    </w:p>
    <w:p>
      <w:pPr>
        <w:spacing w:after="0" w:line="52" w:lineRule="exact"/>
        <w:rPr>
          <w:rFonts w:ascii="Arial" w:cs="Arial" w:eastAsia="Arial" w:hAnsi="Arial"/>
          <w:sz w:val="16"/>
          <w:szCs w:val="16"/>
          <w:color w:val="auto"/>
        </w:rPr>
      </w:pPr>
    </w:p>
    <w:p>
      <w:pPr>
        <w:ind w:left="700" w:firstLine="390"/>
        <w:spacing w:after="0" w:line="270" w:lineRule="auto"/>
        <w:tabs>
          <w:tab w:leader="none" w:pos="1341" w:val="left"/>
        </w:tabs>
        <w:numPr>
          <w:ilvl w:val="1"/>
          <w:numId w:val="39"/>
        </w:numPr>
        <w:rPr>
          <w:rFonts w:ascii="Arial" w:cs="Arial" w:eastAsia="Arial" w:hAnsi="Arial"/>
          <w:sz w:val="17"/>
          <w:szCs w:val="17"/>
          <w:color w:val="auto"/>
        </w:rPr>
      </w:pPr>
      <w:r>
        <w:rPr>
          <w:rFonts w:ascii="Arial" w:cs="Arial" w:eastAsia="Arial" w:hAnsi="Arial"/>
          <w:sz w:val="17"/>
          <w:szCs w:val="17"/>
          <w:i w:val="1"/>
          <w:iCs w:val="1"/>
          <w:u w:val="single" w:color="auto"/>
          <w:color w:val="auto"/>
        </w:rPr>
        <w:t>Foreign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In order to facilitate participation in the Plan, the Committee may provide for such special terms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to Participants who are citizens or residents of a foreign jurisdiction, or who are employed by a Participating Company outside of the United States, as the Committee may consider necessary or appropriate to accommodate differences in local law, tax policy or custom. Such special terms may not be more favorable than the terms of Options granted under the Plan to Eligible Employees who are residents of the United States. Moreover, the Committee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spacing w:after="0" w:line="191" w:lineRule="exact"/>
        <w:rPr>
          <w:rFonts w:ascii="Arial" w:cs="Arial" w:eastAsia="Arial" w:hAnsi="Arial"/>
          <w:sz w:val="17"/>
          <w:szCs w:val="17"/>
          <w:color w:val="auto"/>
        </w:rPr>
      </w:pPr>
    </w:p>
    <w:p>
      <w:pPr>
        <w:ind w:left="1000" w:hanging="307"/>
        <w:spacing w:after="0"/>
        <w:tabs>
          <w:tab w:leader="none" w:pos="10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OPTION PRICE</w:t>
      </w:r>
    </w:p>
    <w:p>
      <w:pPr>
        <w:spacing w:after="0" w:line="134" w:lineRule="exact"/>
        <w:rPr>
          <w:rFonts w:ascii="Arial" w:cs="Arial" w:eastAsia="Arial" w:hAnsi="Arial"/>
          <w:sz w:val="18"/>
          <w:szCs w:val="18"/>
          <w:b w:val="1"/>
          <w:bCs w:val="1"/>
          <w:color w:val="auto"/>
        </w:rPr>
      </w:pPr>
    </w:p>
    <w:p>
      <w:pPr>
        <w:ind w:left="700" w:right="40" w:firstLine="390"/>
        <w:spacing w:after="0" w:line="259" w:lineRule="auto"/>
        <w:tabs>
          <w:tab w:leader="none" w:pos="1341" w:val="left"/>
        </w:tabs>
        <w:numPr>
          <w:ilvl w:val="1"/>
          <w:numId w:val="40"/>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Participant automatically and without any act on such Participant’s part shall be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such Participant’s Option on the Date of Exercise to the extent that the balance then in the Participant’s account under the Plan is sufficient to purchase at the Option Price whole shares of the Stock subject to the Option. Any cash in lieu of fractional shares of Stock remaining after the purchase of whole shares of</w:t>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Stock upon exercise of an Option will be credited to such Participant’s account and carried forward and applied toward the purchase of whole shares of Stock pursuant to the Option, if any, granted to such Participant for the next following Offering Period. Fractional shares will not be issued.</w:t>
      </w:r>
    </w:p>
    <w:p>
      <w:pPr>
        <w:spacing w:after="0" w:line="87" w:lineRule="exact"/>
        <w:rPr>
          <w:sz w:val="20"/>
          <w:szCs w:val="20"/>
          <w:color w:val="auto"/>
        </w:rPr>
      </w:pPr>
    </w:p>
    <w:p>
      <w:pPr>
        <w:ind w:left="700" w:firstLine="390"/>
        <w:spacing w:after="0" w:line="283" w:lineRule="auto"/>
        <w:tabs>
          <w:tab w:leader="none" w:pos="1352" w:val="left"/>
        </w:tabs>
        <w:numPr>
          <w:ilvl w:val="1"/>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 Price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price per share of Stock (the “Option Price”) to be paid by a Participant upon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Option shall be equal to 85% of the lesser of the fair market value of a share of Stock on the Date of Exercise or the fair market value of a share of Stock on the Date of Grant. The fair market value of a share of Stock as of a given date shall be: (i) the closing price of a share of Stock on the principal exchange on which the Stock is then trading, including, without limitation, The Nasdaq Stock Market, if any, on such date, or, if shares were not traded on such date, then on the next preceding trading day during which a sale occurred; (ii) if the Stock is not traded on an exchange but is quoted on a national market or other quotation system, (1) the last sales price on such date, or if no sales occurred on such date, then on the next preceding trading day during which a sale occurred, as reported by such national market or quotation system; (iii) if the Stock is not publicly traded on an exchange and not quoted on a national market or a quotation system, the mean between the closing bid and asked prices for a share of Stock on such date, or, if shares were not traded on such date, then on the next preceding trading day during which a sale occurred, as determined in good faith by the Committee; or</w:t>
      </w:r>
    </w:p>
    <w:p>
      <w:pPr>
        <w:spacing w:after="0" w:line="5" w:lineRule="exact"/>
        <w:rPr>
          <w:rFonts w:ascii="Arial" w:cs="Arial" w:eastAsia="Arial" w:hAnsi="Arial"/>
          <w:sz w:val="16"/>
          <w:szCs w:val="16"/>
          <w:color w:val="auto"/>
        </w:rPr>
      </w:pPr>
    </w:p>
    <w:p>
      <w:pPr>
        <w:ind w:left="1000" w:hanging="307"/>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Stock is not publicly traded, the fair market value of a share of Stock established by the Committee acting in good faith.</w:t>
      </w:r>
    </w:p>
    <w:p>
      <w:pPr>
        <w:spacing w:after="0" w:line="127" w:lineRule="exact"/>
        <w:rPr>
          <w:rFonts w:ascii="Arial" w:cs="Arial" w:eastAsia="Arial" w:hAnsi="Arial"/>
          <w:sz w:val="17"/>
          <w:szCs w:val="17"/>
          <w:color w:val="auto"/>
        </w:rPr>
      </w:pPr>
    </w:p>
    <w:p>
      <w:pPr>
        <w:ind w:left="700" w:right="20" w:firstLine="390"/>
        <w:spacing w:after="0" w:line="271" w:lineRule="auto"/>
        <w:tabs>
          <w:tab w:leader="none" w:pos="1341" w:val="left"/>
        </w:tabs>
        <w:numPr>
          <w:ilvl w:val="1"/>
          <w:numId w:val="42"/>
        </w:numPr>
        <w:rPr>
          <w:rFonts w:ascii="Arial" w:cs="Arial" w:eastAsia="Arial" w:hAnsi="Arial"/>
          <w:sz w:val="17"/>
          <w:szCs w:val="17"/>
          <w:color w:val="auto"/>
        </w:rPr>
      </w:pPr>
      <w:r>
        <w:rPr>
          <w:rFonts w:ascii="Arial" w:cs="Arial" w:eastAsia="Arial" w:hAnsi="Arial"/>
          <w:sz w:val="17"/>
          <w:szCs w:val="17"/>
          <w:i w:val="1"/>
          <w:iCs w:val="1"/>
          <w:u w:val="single" w:color="auto"/>
          <w:color w:val="auto"/>
        </w:rPr>
        <w:t>Delivery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As soon as practicable after the exercise of any Option, the Company will deliver to the Participant or his or</w:t>
      </w:r>
      <w:r>
        <w:rPr>
          <w:rFonts w:ascii="Arial" w:cs="Arial" w:eastAsia="Arial" w:hAnsi="Arial"/>
          <w:sz w:val="17"/>
          <w:szCs w:val="17"/>
          <w:i w:val="1"/>
          <w:iCs w:val="1"/>
          <w:color w:val="auto"/>
        </w:rPr>
        <w:t xml:space="preserve"> </w:t>
      </w:r>
      <w:r>
        <w:rPr>
          <w:rFonts w:ascii="Arial" w:cs="Arial" w:eastAsia="Arial" w:hAnsi="Arial"/>
          <w:sz w:val="17"/>
          <w:szCs w:val="17"/>
          <w:color w:val="auto"/>
        </w:rPr>
        <w:t>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 shall relieve the Company from liability to any Participant except to pay to the Participant the amount of the balance in the Participant’s account in cash in one lump sum without any interest thereon.</w:t>
      </w:r>
    </w:p>
    <w:p>
      <w:pPr>
        <w:spacing w:after="0" w:line="84" w:lineRule="exact"/>
        <w:rPr>
          <w:rFonts w:ascii="Arial" w:cs="Arial" w:eastAsia="Arial" w:hAnsi="Arial"/>
          <w:sz w:val="17"/>
          <w:szCs w:val="17"/>
          <w:color w:val="auto"/>
        </w:rPr>
      </w:pPr>
    </w:p>
    <w:p>
      <w:pPr>
        <w:ind w:left="700" w:firstLine="390"/>
        <w:spacing w:after="0" w:line="272" w:lineRule="auto"/>
        <w:tabs>
          <w:tab w:leader="none" w:pos="1352" w:val="left"/>
        </w:tabs>
        <w:numPr>
          <w:ilvl w:val="1"/>
          <w:numId w:val="42"/>
        </w:numPr>
        <w:rPr>
          <w:rFonts w:ascii="Arial" w:cs="Arial" w:eastAsia="Arial" w:hAnsi="Arial"/>
          <w:sz w:val="17"/>
          <w:szCs w:val="17"/>
          <w:color w:val="auto"/>
        </w:rPr>
      </w:pPr>
      <w:r>
        <w:rPr>
          <w:rFonts w:ascii="Arial" w:cs="Arial" w:eastAsia="Arial" w:hAnsi="Arial"/>
          <w:sz w:val="17"/>
          <w:szCs w:val="17"/>
          <w:i w:val="1"/>
          <w:iCs w:val="1"/>
          <w:u w:val="single" w:color="auto"/>
          <w:color w:val="auto"/>
        </w:rPr>
        <w:t>Pro Rata Allocations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If the total number of shares of Stock for which Options are to be exercised on any Date of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exceeds the lesser of (i) the number of shares of Stock that were available for sale under the Plan on the Date of Grant of the applicable Offering Period or (ii) the number of shares remaining unsold under the Plan (after deduction of all shares for which Options have theretofore been exercised) on such Date of Exercise, the Committee shall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sixty (60) days after the Date of Exercise, without any interest thereon.</w:t>
      </w:r>
    </w:p>
    <w:p>
      <w:pPr>
        <w:spacing w:after="0" w:line="187" w:lineRule="exact"/>
        <w:rPr>
          <w:sz w:val="20"/>
          <w:szCs w:val="20"/>
          <w:color w:val="auto"/>
        </w:rPr>
      </w:pPr>
    </w:p>
    <w:p>
      <w:pPr>
        <w:ind w:left="1000" w:hanging="307"/>
        <w:spacing w:after="0"/>
        <w:tabs>
          <w:tab w:leader="none" w:pos="10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THE PLAN</w:t>
      </w:r>
    </w:p>
    <w:p>
      <w:pPr>
        <w:spacing w:after="0" w:line="134" w:lineRule="exact"/>
        <w:rPr>
          <w:rFonts w:ascii="Arial" w:cs="Arial" w:eastAsia="Arial" w:hAnsi="Arial"/>
          <w:sz w:val="18"/>
          <w:szCs w:val="18"/>
          <w:b w:val="1"/>
          <w:bCs w:val="1"/>
          <w:color w:val="auto"/>
        </w:rPr>
      </w:pPr>
    </w:p>
    <w:p>
      <w:pPr>
        <w:ind w:left="700" w:right="20" w:firstLine="390"/>
        <w:spacing w:after="0" w:line="255" w:lineRule="auto"/>
        <w:tabs>
          <w:tab w:leader="none" w:pos="1341" w:val="left"/>
        </w:tabs>
        <w:numPr>
          <w:ilvl w:val="1"/>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Participant may withdraw from participation under the Plan at any time except that no Participant may</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 during the last ten (10) days of any Offering Period. A Participant who wishes to withdraw from the Plan must deliver to the Company a notice of withdrawal in a form prepared by the Company (the “Withdrawal Election”) not later than ten (10) days prior to the Date of Exercise during any Offering Period. Upon receipt of a Participant’s Withdrawal Election, the Company shall pay to the Participant the amount of the balance in the Participant’s account under the Plan in cash in one lump sum within sixty (60) days, without any interest thereon. Upon receipt of a Participant’s Withdrawal Election by the Company, the Participant shall cease to participate in the Plan and the Participant’s Option shall terminate.</w:t>
      </w:r>
    </w:p>
    <w:p>
      <w:pPr>
        <w:spacing w:after="0" w:line="94" w:lineRule="exact"/>
        <w:rPr>
          <w:rFonts w:ascii="Arial" w:cs="Arial" w:eastAsia="Arial" w:hAnsi="Arial"/>
          <w:sz w:val="18"/>
          <w:szCs w:val="18"/>
          <w:color w:val="auto"/>
        </w:rPr>
      </w:pPr>
    </w:p>
    <w:p>
      <w:pPr>
        <w:jc w:val="both"/>
        <w:ind w:left="700" w:right="220" w:firstLine="390"/>
        <w:spacing w:after="0" w:line="264" w:lineRule="auto"/>
        <w:tabs>
          <w:tab w:leader="none" w:pos="1352" w:val="left"/>
        </w:tabs>
        <w:numPr>
          <w:ilvl w:val="1"/>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 Following Withdrawal</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who withdraws from the Plan and who is still an Eligible Employee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again in the Plan as of any subsequent Date of Grant by delivering to the Company an Authorization pursuant to Section 3(b) hereof.</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000" w:hanging="307"/>
        <w:spacing w:after="0"/>
        <w:tabs>
          <w:tab w:leader="none" w:pos="10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34" w:lineRule="exact"/>
        <w:rPr>
          <w:rFonts w:ascii="Arial" w:cs="Arial" w:eastAsia="Arial" w:hAnsi="Arial"/>
          <w:sz w:val="18"/>
          <w:szCs w:val="18"/>
          <w:b w:val="1"/>
          <w:bCs w:val="1"/>
          <w:color w:val="auto"/>
        </w:rPr>
      </w:pPr>
    </w:p>
    <w:p>
      <w:pPr>
        <w:ind w:left="700" w:right="20" w:firstLine="390"/>
        <w:spacing w:after="0" w:line="255" w:lineRule="auto"/>
        <w:tabs>
          <w:tab w:leader="none" w:pos="1341" w:val="left"/>
        </w:tabs>
        <w:numPr>
          <w:ilvl w:val="1"/>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Employment Other than by Death</w:t>
      </w:r>
      <w:r>
        <w:rPr>
          <w:rFonts w:ascii="Arial" w:cs="Arial" w:eastAsia="Arial" w:hAnsi="Arial"/>
          <w:sz w:val="18"/>
          <w:szCs w:val="18"/>
          <w:i w:val="1"/>
          <w:iCs w:val="1"/>
          <w:color w:val="auto"/>
        </w:rPr>
        <w:t xml:space="preserve">. </w:t>
      </w:r>
      <w:r>
        <w:rPr>
          <w:rFonts w:ascii="Arial" w:cs="Arial" w:eastAsia="Arial" w:hAnsi="Arial"/>
          <w:sz w:val="18"/>
          <w:szCs w:val="18"/>
          <w:color w:val="auto"/>
        </w:rPr>
        <w:t>If the employment of a Participant terminates other than by death,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participation in the Plan automatically and without any act on the Participant’s part shall terminate as of the date of the termination of the Participant’s employment. As soon as practicable after such a termination of employment, the Company will pay to the Participant the amount of the balance in the Participant’s account under the Plan without any interest thereon. Upon a Participant’s termination of employment covered by this Section 6(a), the Participant’s Authorization, interest in the Plan and Option under the Plan shall terminate. A transfer of employment from one Participating Company to another shall not be treated as a termination of employment.</w:t>
      </w:r>
    </w:p>
    <w:p>
      <w:pPr>
        <w:spacing w:after="0" w:line="94" w:lineRule="exact"/>
        <w:rPr>
          <w:rFonts w:ascii="Arial" w:cs="Arial" w:eastAsia="Arial" w:hAnsi="Arial"/>
          <w:sz w:val="18"/>
          <w:szCs w:val="18"/>
          <w:color w:val="auto"/>
        </w:rPr>
      </w:pPr>
    </w:p>
    <w:p>
      <w:pPr>
        <w:ind w:left="700" w:right="100" w:firstLine="390"/>
        <w:spacing w:after="0" w:line="272" w:lineRule="auto"/>
        <w:tabs>
          <w:tab w:leader="none" w:pos="1352" w:val="left"/>
        </w:tabs>
        <w:numPr>
          <w:ilvl w:val="1"/>
          <w:numId w:val="44"/>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 By Death</w:t>
      </w:r>
      <w:r>
        <w:rPr>
          <w:rFonts w:ascii="Arial" w:cs="Arial" w:eastAsia="Arial" w:hAnsi="Arial"/>
          <w:sz w:val="17"/>
          <w:szCs w:val="17"/>
          <w:i w:val="1"/>
          <w:iCs w:val="1"/>
          <w:color w:val="auto"/>
        </w:rPr>
        <w:t xml:space="preserve">. </w:t>
      </w:r>
      <w:r>
        <w:rPr>
          <w:rFonts w:ascii="Arial" w:cs="Arial" w:eastAsia="Arial" w:hAnsi="Arial"/>
          <w:sz w:val="17"/>
          <w:szCs w:val="17"/>
          <w:color w:val="auto"/>
        </w:rPr>
        <w:t>If the employment of a participant is terminated by the Participant’s death, the executor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will or the administrator of the Participant’s estate by written notice to the Company may request payment of the balance in the Participant’s account under the Plan, in which event the Company shall make such payment without any interest thereon as soon as practicable after receiving such notice; upon receipt of such notice the Participant’s Authorization, interest in the Plan and Option under the Plan shall terminate. If the Company does not receive such notice prior to the next Date of Exercise, the Participant’s Option shall be deemed to have been exercised on such Date of Exercise and any cash remaining in such Participant’s account thereafter shall be distributed in cash without interest thereon pursuant to Section 5(a) hereof.</w:t>
      </w:r>
    </w:p>
    <w:p>
      <w:pPr>
        <w:spacing w:after="0" w:line="187" w:lineRule="exact"/>
        <w:rPr>
          <w:rFonts w:ascii="Arial" w:cs="Arial" w:eastAsia="Arial" w:hAnsi="Arial"/>
          <w:sz w:val="17"/>
          <w:szCs w:val="17"/>
          <w:color w:val="auto"/>
        </w:rPr>
      </w:pPr>
    </w:p>
    <w:p>
      <w:pPr>
        <w:ind w:left="1000" w:hanging="307"/>
        <w:spacing w:after="0"/>
        <w:tabs>
          <w:tab w:leader="none" w:pos="10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ASSIGNMENT</w:t>
      </w:r>
    </w:p>
    <w:p>
      <w:pPr>
        <w:spacing w:after="0" w:line="135"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64"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NO RIGHTS OF STOCKHOLDERS UNTIL SHARES ISSUED</w:t>
      </w:r>
    </w:p>
    <w:p>
      <w:pPr>
        <w:spacing w:after="0" w:line="13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1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9.</w:t>
        <w:tab/>
        <w:t>CHANGES IN THE STOCK; ADJUSTMENTS OF AN OPTION</w:t>
      </w:r>
    </w:p>
    <w:p>
      <w:pPr>
        <w:spacing w:after="0" w:line="135" w:lineRule="exact"/>
        <w:rPr>
          <w:sz w:val="20"/>
          <w:szCs w:val="20"/>
          <w:color w:val="auto"/>
        </w:rPr>
      </w:pPr>
    </w:p>
    <w:p>
      <w:pPr>
        <w:jc w:val="both"/>
        <w:ind w:left="700" w:right="260" w:firstLine="397"/>
        <w:spacing w:after="0" w:line="302" w:lineRule="auto"/>
        <w:rPr>
          <w:sz w:val="20"/>
          <w:szCs w:val="20"/>
          <w:color w:val="auto"/>
        </w:rPr>
      </w:pPr>
      <w:r>
        <w:rPr>
          <w:rFonts w:ascii="Arial" w:cs="Arial" w:eastAsia="Arial" w:hAnsi="Arial"/>
          <w:sz w:val="16"/>
          <w:szCs w:val="16"/>
          <w:color w:val="auto"/>
        </w:rPr>
        <w:t>Whenever any change is made in the Stock or to Options outstanding under the Plan, by reason of a stock split, stock dividend, recapitalization or other subdivision, combination, or reclassification of shares, appropriate action shall be taken by the Committee to adjust accordingly the number of shares of Stock subject to the Plan and the number and the Option Price of shares of Stock subject to the Options outstanding under the Plan to preserve, but not increase, the rights of Participants hereunder.</w:t>
      </w:r>
    </w:p>
    <w:p>
      <w:pPr>
        <w:spacing w:after="0" w:line="164" w:lineRule="exact"/>
        <w:rPr>
          <w:sz w:val="20"/>
          <w:szCs w:val="20"/>
          <w:color w:val="auto"/>
        </w:rPr>
      </w:pPr>
    </w:p>
    <w:p>
      <w:pPr>
        <w:ind w:left="1200" w:hanging="507"/>
        <w:spacing w:after="0"/>
        <w:tabs>
          <w:tab w:leader="none" w:pos="1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USE OF FUNDS; NO INTEREST PAID</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All funds received or held by the Company under the Plan shall be included in the general funds of the Company free of any trust or other restriction and may be used for any corporate purpose. No interest will be paid to any Participant or credited to any Participant’s account under the Plan with respect to such funds.</w:t>
      </w:r>
    </w:p>
    <w:p>
      <w:pPr>
        <w:spacing w:after="0" w:line="191" w:lineRule="exact"/>
        <w:rPr>
          <w:sz w:val="20"/>
          <w:szCs w:val="20"/>
          <w:color w:val="auto"/>
        </w:rPr>
      </w:pPr>
    </w:p>
    <w:p>
      <w:pPr>
        <w:ind w:left="1200" w:hanging="507"/>
        <w:spacing w:after="0"/>
        <w:tabs>
          <w:tab w:leader="none" w:pos="12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Board of Directors may amend, suspend, or terminate the Plan at any time and from time to time, provided that approval of the Company’s stockholders shall be required to amend the Plan (i) to increase the number of shares of Stock, or change the type of securities, reserved for sale pursuant to Options under the Plan, (ii) to decrease the</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spacing w:after="0" w:line="264" w:lineRule="auto"/>
        <w:rPr>
          <w:sz w:val="20"/>
          <w:szCs w:val="20"/>
          <w:color w:val="auto"/>
        </w:rPr>
      </w:pPr>
      <w:r>
        <w:rPr>
          <w:rFonts w:ascii="Arial" w:cs="Arial" w:eastAsia="Arial" w:hAnsi="Arial"/>
          <w:sz w:val="18"/>
          <w:szCs w:val="18"/>
          <w:color w:val="auto"/>
        </w:rPr>
        <w:t>Option Price below a price computed in the manner stated in Section 4(b) hereof, (iii) to alter the requirements for eligibility to participate in the Plan or (iv) in any manner that would cause the Plan to no longer be an “employee stock purchase plan” within the meaning of Section 423(b) of the Code.</w:t>
      </w:r>
    </w:p>
    <w:p>
      <w:pPr>
        <w:spacing w:after="0" w:line="191" w:lineRule="exact"/>
        <w:rPr>
          <w:sz w:val="20"/>
          <w:szCs w:val="20"/>
          <w:color w:val="auto"/>
        </w:rPr>
      </w:pPr>
    </w:p>
    <w:p>
      <w:pPr>
        <w:ind w:left="1200" w:hanging="507"/>
        <w:spacing w:after="0"/>
        <w:tabs>
          <w:tab w:leader="none" w:pos="12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COMMITTEE; RULES AND REGULATIONS</w:t>
      </w:r>
    </w:p>
    <w:p>
      <w:pPr>
        <w:spacing w:after="0" w:line="134" w:lineRule="exact"/>
        <w:rPr>
          <w:rFonts w:ascii="Arial" w:cs="Arial" w:eastAsia="Arial" w:hAnsi="Arial"/>
          <w:sz w:val="18"/>
          <w:szCs w:val="18"/>
          <w:b w:val="1"/>
          <w:bCs w:val="1"/>
          <w:color w:val="auto"/>
        </w:rPr>
      </w:pPr>
    </w:p>
    <w:p>
      <w:pPr>
        <w:ind w:left="700" w:right="60" w:firstLine="390"/>
        <w:spacing w:after="0" w:line="293" w:lineRule="auto"/>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Appointment of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shall be administered by the Committee, which shall be composed of two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Board of Directors, each of whom is both a “non-employee director” as defined by Rule 16b-3 under the Securities Exchange Act of 1934, as amended, and an “outside director” for purposes of Section 162(m) of the Code.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70" w:lineRule="exact"/>
        <w:rPr>
          <w:rFonts w:ascii="Arial" w:cs="Arial" w:eastAsia="Arial" w:hAnsi="Arial"/>
          <w:sz w:val="16"/>
          <w:szCs w:val="16"/>
          <w:color w:val="auto"/>
        </w:rPr>
      </w:pPr>
    </w:p>
    <w:p>
      <w:pPr>
        <w:ind w:left="700" w:firstLine="390"/>
        <w:spacing w:after="0" w:line="257" w:lineRule="auto"/>
        <w:tabs>
          <w:tab w:leader="none" w:pos="1352" w:val="left"/>
        </w:tabs>
        <w:numPr>
          <w:ilvl w:val="1"/>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Duties and Powers of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It shall be the duty of the Committee to conduct the general administration of the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w:t>
      </w:r>
    </w:p>
    <w:p>
      <w:pPr>
        <w:spacing w:after="0" w:line="93" w:lineRule="exact"/>
        <w:rPr>
          <w:rFonts w:ascii="Arial" w:cs="Arial" w:eastAsia="Arial" w:hAnsi="Arial"/>
          <w:sz w:val="18"/>
          <w:szCs w:val="18"/>
          <w:color w:val="auto"/>
        </w:rPr>
      </w:pPr>
    </w:p>
    <w:p>
      <w:pPr>
        <w:ind w:left="700" w:right="460" w:firstLine="390"/>
        <w:spacing w:after="0" w:line="277" w:lineRule="auto"/>
        <w:tabs>
          <w:tab w:leader="none" w:pos="1341" w:val="left"/>
        </w:tabs>
        <w:numPr>
          <w:ilvl w:val="1"/>
          <w:numId w:val="47"/>
        </w:numPr>
        <w:rPr>
          <w:rFonts w:ascii="Arial" w:cs="Arial" w:eastAsia="Arial" w:hAnsi="Arial"/>
          <w:sz w:val="18"/>
          <w:szCs w:val="18"/>
          <w:color w:val="auto"/>
        </w:rPr>
      </w:pPr>
      <w:r>
        <w:rPr>
          <w:rFonts w:ascii="Arial" w:cs="Arial" w:eastAsia="Arial" w:hAnsi="Arial"/>
          <w:sz w:val="18"/>
          <w:szCs w:val="18"/>
          <w:i w:val="1"/>
          <w:iCs w:val="1"/>
          <w:u w:val="single" w:color="auto"/>
          <w:color w:val="auto"/>
        </w:rPr>
        <w:t>Majority Rule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shall act by a majority of its members in office. The Committee may act either by vote at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by a memorandum or other written instrument signed by a majority of the Committee.</w:t>
      </w:r>
    </w:p>
    <w:p>
      <w:pPr>
        <w:spacing w:after="0" w:line="75" w:lineRule="exact"/>
        <w:rPr>
          <w:rFonts w:ascii="Arial" w:cs="Arial" w:eastAsia="Arial" w:hAnsi="Arial"/>
          <w:sz w:val="18"/>
          <w:szCs w:val="18"/>
          <w:color w:val="auto"/>
        </w:rPr>
      </w:pPr>
    </w:p>
    <w:p>
      <w:pPr>
        <w:ind w:left="700" w:right="20" w:firstLine="390"/>
        <w:spacing w:after="0" w:line="271" w:lineRule="auto"/>
        <w:tabs>
          <w:tab w:leader="none" w:pos="1352" w:val="left"/>
        </w:tabs>
        <w:numPr>
          <w:ilvl w:val="1"/>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Compensation; Professional Assistance; Good Faith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All expenses and liabilities incurred by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88" w:lineRule="exact"/>
        <w:rPr>
          <w:rFonts w:ascii="Arial" w:cs="Arial" w:eastAsia="Arial" w:hAnsi="Arial"/>
          <w:sz w:val="17"/>
          <w:szCs w:val="17"/>
          <w:color w:val="auto"/>
        </w:rPr>
      </w:pPr>
    </w:p>
    <w:p>
      <w:pPr>
        <w:ind w:left="1200" w:hanging="507"/>
        <w:spacing w:after="0"/>
        <w:tabs>
          <w:tab w:leader="none" w:pos="12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Nothing in the Plan shall be construed to give any person (including any Eligible Employee or Participant) the right to remain in the employ of the Company, a Parent Corporation or a Subsidiary Corporation or to affect the right of the Company, any Parent Corporation or any Subsidiary Corporation to terminate the employment of any person (including any Eligible Employee or Participant) at any time, with or without cause.</w:t>
      </w:r>
    </w:p>
    <w:p>
      <w:pPr>
        <w:spacing w:after="0" w:line="196" w:lineRule="exact"/>
        <w:rPr>
          <w:sz w:val="20"/>
          <w:szCs w:val="20"/>
          <w:color w:val="auto"/>
        </w:rPr>
      </w:pPr>
    </w:p>
    <w:p>
      <w:pPr>
        <w:ind w:left="1200" w:hanging="507"/>
        <w:spacing w:after="0"/>
        <w:tabs>
          <w:tab w:leader="none" w:pos="12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MERGER, ACQUISITION OR LIQUIDATION OF THE COMPANY</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Date of Exercise with respect to outstanding Options shall be the business day immediately preceding the effective date of such merger, consolidation, acquisition, liquidation, dissolution, or reorganization (or on such other prior date as is determined by the Committee) unless the Committee shall, in its sole discretion, provide for the assumption or substitution of such Options in a manner complying with Section 424(a) of the Code.</w:t>
      </w:r>
    </w:p>
    <w:p>
      <w:pPr>
        <w:spacing w:after="0" w:line="188" w:lineRule="exact"/>
        <w:rPr>
          <w:sz w:val="20"/>
          <w:szCs w:val="20"/>
          <w:color w:val="auto"/>
        </w:rPr>
      </w:pPr>
    </w:p>
    <w:p>
      <w:pPr>
        <w:ind w:left="1200" w:hanging="507"/>
        <w:spacing w:after="0"/>
        <w:tabs>
          <w:tab w:leader="none" w:pos="12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TERM; APPROVAL BY STOCKHOLDERS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This amended and restated Plan shall be effective July 1, 2009. No Options granted under this amended and restated Plan shall be exercised, and no shares of Stock shall be issued hereunder, until this amended and restated Plan shall have been approved by the stockholders of the Company (such stockholder approval shall be prior to</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342" w:lineRule="auto"/>
        <w:rPr>
          <w:sz w:val="20"/>
          <w:szCs w:val="20"/>
          <w:color w:val="auto"/>
        </w:rPr>
      </w:pPr>
      <w:r>
        <w:rPr>
          <w:rFonts w:ascii="Arial" w:cs="Arial" w:eastAsia="Arial" w:hAnsi="Arial"/>
          <w:sz w:val="16"/>
          <w:szCs w:val="16"/>
          <w:color w:val="auto"/>
        </w:rPr>
        <w:t>December 31, 2009). In the event this amended and restated Plan shall not have been approved by the stockholders of the Company prior to December 31, 2009, all Options granted under this amended and restated Plan shall be canceled and become null and void.</w:t>
      </w:r>
    </w:p>
    <w:p>
      <w:pPr>
        <w:spacing w:after="0" w:line="29"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181" w:lineRule="exact"/>
        <w:rPr>
          <w:sz w:val="20"/>
          <w:szCs w:val="20"/>
          <w:color w:val="auto"/>
        </w:rPr>
      </w:pPr>
    </w:p>
    <w:p>
      <w:pPr>
        <w:ind w:left="1200" w:hanging="507"/>
        <w:spacing w:after="0"/>
        <w:tabs>
          <w:tab w:leader="none" w:pos="12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EFFECT UPON OTHER PLANS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99" w:lineRule="exact"/>
        <w:rPr>
          <w:sz w:val="20"/>
          <w:szCs w:val="20"/>
          <w:color w:val="auto"/>
        </w:rPr>
      </w:pPr>
    </w:p>
    <w:p>
      <w:pPr>
        <w:ind w:left="1200" w:hanging="507"/>
        <w:spacing w:after="0"/>
        <w:tabs>
          <w:tab w:leader="none" w:pos="12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ISSUANCE OF SHARES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76" w:lineRule="exact"/>
        <w:rPr>
          <w:sz w:val="20"/>
          <w:szCs w:val="20"/>
          <w:color w:val="auto"/>
        </w:rPr>
      </w:pPr>
    </w:p>
    <w:p>
      <w:pPr>
        <w:ind w:left="1720" w:hanging="249"/>
        <w:spacing w:after="0"/>
        <w:tabs>
          <w:tab w:leader="none" w:pos="1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Stock is then listed; and</w:t>
      </w:r>
    </w:p>
    <w:p>
      <w:pPr>
        <w:spacing w:after="0" w:line="130" w:lineRule="exact"/>
        <w:rPr>
          <w:rFonts w:ascii="Arial" w:cs="Arial" w:eastAsia="Arial" w:hAnsi="Arial"/>
          <w:sz w:val="18"/>
          <w:szCs w:val="18"/>
          <w:color w:val="auto"/>
        </w:rPr>
      </w:pPr>
    </w:p>
    <w:p>
      <w:pPr>
        <w:jc w:val="both"/>
        <w:ind w:left="1080" w:right="120" w:firstLine="391"/>
        <w:spacing w:after="0" w:line="264" w:lineRule="auto"/>
        <w:tabs>
          <w:tab w:leader="none" w:pos="17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w:t>
      </w:r>
    </w:p>
    <w:p>
      <w:pPr>
        <w:spacing w:after="0" w:line="86" w:lineRule="exact"/>
        <w:rPr>
          <w:rFonts w:ascii="Arial" w:cs="Arial" w:eastAsia="Arial" w:hAnsi="Arial"/>
          <w:sz w:val="18"/>
          <w:szCs w:val="18"/>
          <w:color w:val="auto"/>
        </w:rPr>
      </w:pPr>
    </w:p>
    <w:p>
      <w:pPr>
        <w:ind w:left="1080" w:right="380" w:firstLine="391"/>
        <w:spacing w:after="0" w:line="277" w:lineRule="auto"/>
        <w:tabs>
          <w:tab w:leader="none" w:pos="17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 and</w:t>
      </w:r>
    </w:p>
    <w:p>
      <w:pPr>
        <w:spacing w:after="0" w:line="75" w:lineRule="exact"/>
        <w:rPr>
          <w:rFonts w:ascii="Arial" w:cs="Arial" w:eastAsia="Arial" w:hAnsi="Arial"/>
          <w:sz w:val="18"/>
          <w:szCs w:val="18"/>
          <w:color w:val="auto"/>
        </w:rPr>
      </w:pPr>
    </w:p>
    <w:p>
      <w:pPr>
        <w:ind w:left="1080" w:firstLine="391"/>
        <w:spacing w:after="0" w:line="277" w:lineRule="auto"/>
        <w:tabs>
          <w:tab w:leader="none" w:pos="17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payment to the Company of all amounts which it is required to withhold under federal, state or local law upon exercise of the Option; and</w:t>
      </w:r>
    </w:p>
    <w:p>
      <w:pPr>
        <w:spacing w:after="0" w:line="75" w:lineRule="exact"/>
        <w:rPr>
          <w:rFonts w:ascii="Arial" w:cs="Arial" w:eastAsia="Arial" w:hAnsi="Arial"/>
          <w:sz w:val="18"/>
          <w:szCs w:val="18"/>
          <w:color w:val="auto"/>
        </w:rPr>
      </w:pPr>
    </w:p>
    <w:p>
      <w:pPr>
        <w:ind w:left="1080" w:right="120" w:firstLine="391"/>
        <w:spacing w:after="0" w:line="277" w:lineRule="auto"/>
        <w:tabs>
          <w:tab w:leader="none" w:pos="17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from time to time establish for reasons of administrative convenience.</w:t>
      </w:r>
    </w:p>
    <w:p>
      <w:pPr>
        <w:spacing w:after="0" w:line="180" w:lineRule="exact"/>
        <w:rPr>
          <w:sz w:val="20"/>
          <w:szCs w:val="20"/>
          <w:color w:val="auto"/>
        </w:rPr>
      </w:pPr>
    </w:p>
    <w:p>
      <w:pPr>
        <w:ind w:left="1200" w:hanging="507"/>
        <w:spacing w:after="0"/>
        <w:tabs>
          <w:tab w:leader="none" w:pos="12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CONFORMITY TO SECURITIES LAWS</w:t>
      </w:r>
    </w:p>
    <w:p>
      <w:pPr>
        <w:spacing w:after="0" w:line="135" w:lineRule="exact"/>
        <w:rPr>
          <w:sz w:val="20"/>
          <w:szCs w:val="20"/>
          <w:color w:val="auto"/>
        </w:rPr>
      </w:pPr>
    </w:p>
    <w:p>
      <w:pPr>
        <w:ind w:left="700" w:right="120" w:firstLine="397"/>
        <w:spacing w:after="0" w:line="291" w:lineRule="auto"/>
        <w:rPr>
          <w:sz w:val="20"/>
          <w:szCs w:val="20"/>
          <w:color w:val="auto"/>
        </w:rPr>
      </w:pPr>
      <w:r>
        <w:rPr>
          <w:rFonts w:ascii="Arial" w:cs="Arial" w:eastAsia="Arial" w:hAnsi="Arial"/>
          <w:sz w:val="16"/>
          <w:szCs w:val="16"/>
          <w:color w:val="auto"/>
        </w:rPr>
        <w:t>Notwithstanding any other provision of this Plan, the participation in this Plan and all elections thereunder shall be subject to, and may be limited by, such rules and restrictions as the Committee may prescribe in order to comply with all applicable federal and state securities laws. Without limiting the generality of the foregoing, this Plan and participation in this Plan by any individual who is then subject to Section 16 of the Securities Exchange Act of 1934, as amended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77" w:lineRule="exact"/>
        <w:rPr>
          <w:sz w:val="20"/>
          <w:szCs w:val="20"/>
          <w:color w:val="auto"/>
        </w:rPr>
      </w:pPr>
    </w:p>
    <w:p>
      <w:pPr>
        <w:ind w:left="1200" w:hanging="507"/>
        <w:spacing w:after="0"/>
        <w:tabs>
          <w:tab w:leader="none" w:pos="12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DISPOSITION</w:t>
      </w:r>
    </w:p>
    <w:p>
      <w:pPr>
        <w:spacing w:after="0" w:line="135"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color w:val="auto"/>
        </w:rPr>
        <w:t>Each Participant shall give prompt notice to the Company of any disposition or other transfer of any shares of Stock purchased upon exercise of an Option if such disposition or transfer is made (a) within two (2) years from the Date of Grant of the Option or</w:t>
      </w:r>
    </w:p>
    <w:p>
      <w:pPr>
        <w:ind w:left="5520" w:right="4180" w:hanging="4827"/>
        <w:spacing w:after="0" w:line="788" w:lineRule="auto"/>
        <w:tabs>
          <w:tab w:leader="none" w:pos="951"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within one (1) year after the transfer of such shares to such Participant upon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308" w:lineRule="auto"/>
        <w:rPr>
          <w:sz w:val="20"/>
          <w:szCs w:val="20"/>
          <w:color w:val="auto"/>
        </w:rPr>
      </w:pPr>
      <w:r>
        <w:rPr>
          <w:rFonts w:ascii="Arial" w:cs="Arial" w:eastAsia="Arial" w:hAnsi="Arial"/>
          <w:sz w:val="17"/>
          <w:szCs w:val="17"/>
          <w:color w:val="auto"/>
        </w:rPr>
        <w:t>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156" w:lineRule="exact"/>
        <w:rPr>
          <w:sz w:val="20"/>
          <w:szCs w:val="20"/>
          <w:color w:val="auto"/>
        </w:rPr>
      </w:pPr>
    </w:p>
    <w:p>
      <w:pPr>
        <w:ind w:left="1200" w:hanging="507"/>
        <w:spacing w:after="0"/>
        <w:tabs>
          <w:tab w:leader="none" w:pos="12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Any notice to be given under the terms of the Plan to the Company shall be addressed to the Company in care of its Secretary and any notice to be given to any Eligible Employee or Participant shall be addressed to such Employee at such Employee’s last address as reflected in the Company’s records.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or if enclosed in a properly sealed envelope or wrapper addressed as aforesaid at the time it is deposited (with postage prepaid) in a post office or branch post office regularly maintained by the United States Postal Service.</w:t>
      </w:r>
    </w:p>
    <w:p>
      <w:pPr>
        <w:spacing w:after="0" w:line="207" w:lineRule="exact"/>
        <w:rPr>
          <w:sz w:val="20"/>
          <w:szCs w:val="20"/>
          <w:color w:val="auto"/>
        </w:rPr>
      </w:pPr>
    </w:p>
    <w:p>
      <w:pPr>
        <w:ind w:left="1200" w:hanging="507"/>
        <w:spacing w:after="0"/>
        <w:tabs>
          <w:tab w:leader="none" w:pos="12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Headings are provided herein for convenience only and are not to serve as a basis for interpretation or construction of the Plan.</w:t>
      </w:r>
    </w:p>
    <w:p>
      <w:pPr>
        <w:spacing w:after="0" w:line="258" w:lineRule="exact"/>
        <w:rPr>
          <w:sz w:val="20"/>
          <w:szCs w:val="20"/>
          <w:color w:val="auto"/>
        </w:rPr>
      </w:pPr>
    </w:p>
    <w:p>
      <w:pPr>
        <w:ind w:left="1200" w:hanging="507"/>
        <w:spacing w:after="0"/>
        <w:tabs>
          <w:tab w:leader="none" w:pos="12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Subject to Section 3(e) hereof, all Eligible Employees shall have equal rights and privileges under this Plan so that this Plan qualifies as an “employee stock purchase plan” within the meaning of Section 423 of the Code or applicable Treasury Regulations thereunder. Subject to Section 3(e) hereof, any provision of this Plan that is inconsistent with Section 423 or applicable Treasury Regulations will, without further act or amendment by the Company, the Board of Directors or the Committee, be reformed to comply with the equal rights and privileges requirement of Section 423 of the Code or applicable Treasury Regulations.</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454660</wp:posOffset>
            </wp:positionV>
            <wp:extent cx="1689735"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9735" cy="47180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308610</wp:posOffset>
            </wp:positionV>
            <wp:extent cx="6508750" cy="2255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8750" cy="225552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308610</wp:posOffset>
            </wp:positionV>
            <wp:extent cx="6508750" cy="22555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875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300" w:type="dxa"/>
        <w:tblCellMar>
          <w:top w:w="0" w:type="dxa"/>
          <w:left w:w="0" w:type="dxa"/>
          <w:bottom w:w="0" w:type="dxa"/>
          <w:right w:w="0" w:type="dxa"/>
        </w:tblCellMar>
      </w:tblPr>
      <w:tr>
        <w:trPr>
          <w:trHeight w:val="444"/>
        </w:trPr>
        <w:tc>
          <w:tcPr>
            <w:tcW w:w="408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440" w:type="dxa"/>
            <w:vAlign w:val="bottom"/>
          </w:tcPr>
          <w:p>
            <w:pPr>
              <w:ind w:left="60"/>
              <w:spacing w:after="0" w:line="431" w:lineRule="exact"/>
              <w:rPr>
                <w:sz w:val="20"/>
                <w:szCs w:val="20"/>
                <w:color w:val="auto"/>
              </w:rPr>
            </w:pPr>
            <w:r>
              <w:rPr>
                <w:rFonts w:ascii="MS PGothic" w:cs="MS PGothic" w:eastAsia="MS PGothic" w:hAnsi="MS PGothic"/>
                <w:sz w:val="43"/>
                <w:szCs w:val="43"/>
                <w:color w:val="auto"/>
                <w:w w:val="83"/>
              </w:rPr>
              <w:t>☒</w:t>
            </w:r>
          </w:p>
        </w:tc>
      </w:tr>
      <w:tr>
        <w:trPr>
          <w:trHeight w:val="20"/>
        </w:trPr>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1"/>
        </w:trPr>
        <w:tc>
          <w:tcPr>
            <w:tcW w:w="4080" w:type="dxa"/>
            <w:vAlign w:val="bottom"/>
            <w:gridSpan w:val="3"/>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4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32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PROXY CARD FOR ANNUAL MEETING</w:t>
      </w:r>
    </w:p>
    <w:p>
      <w:pPr>
        <w:spacing w:after="0" w:line="29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8"/>
          <w:szCs w:val="18"/>
          <w:color w:val="auto"/>
        </w:rPr>
        <w:t xml:space="preserve"> ▼</w:t>
      </w:r>
    </w:p>
    <w:p>
      <w:pPr>
        <w:spacing w:after="0" w:line="131" w:lineRule="exact"/>
        <w:rPr>
          <w:sz w:val="20"/>
          <w:szCs w:val="20"/>
          <w:color w:val="auto"/>
        </w:rPr>
      </w:pPr>
    </w:p>
    <w:tbl>
      <w:tblPr>
        <w:tblLayout w:type="fixed"/>
        <w:tblInd w:w="240" w:type="dxa"/>
        <w:tblCellMar>
          <w:top w:w="0" w:type="dxa"/>
          <w:left w:w="0" w:type="dxa"/>
          <w:bottom w:w="0" w:type="dxa"/>
          <w:right w:w="0" w:type="dxa"/>
        </w:tblCellMar>
      </w:tblPr>
      <w:tr>
        <w:trPr>
          <w:trHeight w:val="405"/>
        </w:trPr>
        <w:tc>
          <w:tcPr>
            <w:tcW w:w="20" w:type="dxa"/>
            <w:vAlign w:val="bottom"/>
          </w:tcPr>
          <w:p>
            <w:pPr>
              <w:spacing w:after="0"/>
              <w:rPr>
                <w:sz w:val="24"/>
                <w:szCs w:val="24"/>
                <w:color w:val="auto"/>
              </w:rPr>
            </w:pPr>
          </w:p>
        </w:tc>
        <w:tc>
          <w:tcPr>
            <w:tcW w:w="22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auto"/>
              </w:rPr>
              <w:t>A</w:t>
            </w:r>
          </w:p>
        </w:tc>
        <w:tc>
          <w:tcPr>
            <w:tcW w:w="9760" w:type="dxa"/>
            <w:vAlign w:val="bottom"/>
            <w:gridSpan w:val="3"/>
          </w:tcPr>
          <w:p>
            <w:pPr>
              <w:ind w:left="40"/>
              <w:spacing w:after="0"/>
              <w:rPr>
                <w:sz w:val="20"/>
                <w:szCs w:val="20"/>
                <w:color w:val="auto"/>
              </w:rPr>
            </w:pPr>
            <w:r>
              <w:rPr>
                <w:rFonts w:ascii="Arial" w:cs="Arial" w:eastAsia="Arial" w:hAnsi="Arial"/>
                <w:sz w:val="14"/>
                <w:szCs w:val="14"/>
                <w:b w:val="1"/>
                <w:bCs w:val="1"/>
                <w:color w:val="auto"/>
              </w:rPr>
              <w:t>Proposals — The ViaSat Board of Directors unanimously recommends that stockholders vote “FOR” all the nominees listed, and</w:t>
            </w:r>
          </w:p>
        </w:tc>
        <w:tc>
          <w:tcPr>
            <w:tcW w:w="1180" w:type="dxa"/>
            <w:vAlign w:val="bottom"/>
            <w:vMerge w:val="restart"/>
          </w:tcPr>
          <w:p>
            <w:pPr>
              <w:jc w:val="right"/>
              <w:spacing w:after="0"/>
              <w:rPr>
                <w:sz w:val="20"/>
                <w:szCs w:val="20"/>
                <w:color w:val="auto"/>
              </w:rPr>
            </w:pPr>
            <w:r>
              <w:rPr>
                <w:rFonts w:ascii="Arial" w:cs="Arial" w:eastAsia="Arial" w:hAnsi="Arial"/>
                <w:sz w:val="47"/>
                <w:szCs w:val="47"/>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“FOR” Proposals 2 and 3.</w:t>
            </w:r>
          </w:p>
        </w:tc>
        <w:tc>
          <w:tcPr>
            <w:tcW w:w="70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7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2020" w:type="dxa"/>
            <w:vAlign w:val="bottom"/>
            <w:gridSpan w:val="3"/>
          </w:tcPr>
          <w:p>
            <w:pPr>
              <w:spacing w:after="0"/>
              <w:rPr>
                <w:sz w:val="20"/>
                <w:szCs w:val="20"/>
                <w:color w:val="auto"/>
              </w:rPr>
            </w:pPr>
            <w:r>
              <w:rPr>
                <w:rFonts w:ascii="Arial" w:cs="Arial" w:eastAsia="Arial" w:hAnsi="Arial"/>
                <w:sz w:val="14"/>
                <w:szCs w:val="14"/>
                <w:color w:val="auto"/>
              </w:rPr>
              <w:t>1.   Election of Directors:</w:t>
            </w:r>
          </w:p>
        </w:tc>
        <w:tc>
          <w:tcPr>
            <w:tcW w:w="960" w:type="dxa"/>
            <w:vAlign w:val="bottom"/>
          </w:tcPr>
          <w:p>
            <w:pPr>
              <w:ind w:left="380"/>
              <w:spacing w:after="0"/>
              <w:rPr>
                <w:sz w:val="20"/>
                <w:szCs w:val="20"/>
                <w:color w:val="auto"/>
              </w:rPr>
            </w:pPr>
            <w:r>
              <w:rPr>
                <w:rFonts w:ascii="Arial" w:cs="Arial" w:eastAsia="Arial" w:hAnsi="Arial"/>
                <w:sz w:val="14"/>
                <w:szCs w:val="14"/>
                <w:b w:val="1"/>
                <w:bCs w:val="1"/>
                <w:color w:val="auto"/>
              </w:rPr>
              <w:t>For</w:t>
            </w:r>
          </w:p>
        </w:tc>
        <w:tc>
          <w:tcPr>
            <w:tcW w:w="7020" w:type="dxa"/>
            <w:vAlign w:val="bottom"/>
          </w:tcPr>
          <w:p>
            <w:pPr>
              <w:spacing w:after="0"/>
              <w:rPr>
                <w:sz w:val="20"/>
                <w:szCs w:val="20"/>
                <w:color w:val="auto"/>
              </w:rPr>
            </w:pPr>
            <w:r>
              <w:rPr>
                <w:rFonts w:ascii="Arial" w:cs="Arial" w:eastAsia="Arial" w:hAnsi="Arial"/>
                <w:sz w:val="14"/>
                <w:szCs w:val="14"/>
                <w:b w:val="1"/>
                <w:bCs w:val="1"/>
                <w:color w:val="auto"/>
              </w:rPr>
              <w:t>Withhold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2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Robert W. Johnson</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John P. Stenbit</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Arial" w:cs="Arial" w:eastAsia="Arial" w:hAnsi="Arial"/>
          <w:sz w:val="28"/>
          <w:szCs w:val="28"/>
          <w:color w:val="auto"/>
        </w:rPr>
        <w:t>o</w:t>
      </w:r>
      <w:r>
        <w:rPr>
          <w:sz w:val="20"/>
          <w:szCs w:val="20"/>
          <w:color w:val="auto"/>
        </w:rPr>
        <w:tab/>
      </w:r>
      <w:r>
        <w:rPr>
          <w:rFonts w:ascii="Arial" w:cs="Arial" w:eastAsia="Arial" w:hAnsi="Arial"/>
          <w:sz w:val="28"/>
          <w:szCs w:val="28"/>
          <w:color w:val="auto"/>
        </w:rPr>
        <w:t>o</w:t>
      </w:r>
    </w:p>
    <w:p>
      <w:pPr>
        <w:spacing w:after="0" w:line="97" w:lineRule="exact"/>
        <w:rPr>
          <w:sz w:val="20"/>
          <w:szCs w:val="20"/>
          <w:color w:val="auto"/>
        </w:rPr>
      </w:pPr>
    </w:p>
    <w:p>
      <w:pPr>
        <w:spacing w:after="0"/>
        <w:tabs>
          <w:tab w:leader="none" w:pos="720" w:val="left"/>
        </w:tabs>
        <w:rPr>
          <w:sz w:val="20"/>
          <w:szCs w:val="20"/>
          <w:color w:val="auto"/>
        </w:rPr>
      </w:pPr>
      <w:r>
        <w:rPr>
          <w:rFonts w:ascii="Arial" w:cs="Arial" w:eastAsia="Arial" w:hAnsi="Arial"/>
          <w:sz w:val="28"/>
          <w:szCs w:val="28"/>
          <w:color w:val="auto"/>
        </w:rPr>
        <w:t>o</w:t>
      </w:r>
      <w:r>
        <w:rPr>
          <w:sz w:val="20"/>
          <w:szCs w:val="20"/>
          <w:color w:val="auto"/>
        </w:rPr>
        <w:tab/>
      </w:r>
      <w:r>
        <w:rPr>
          <w:rFonts w:ascii="Arial" w:cs="Arial" w:eastAsia="Arial" w:hAnsi="Arial"/>
          <w:sz w:val="28"/>
          <w:szCs w:val="28"/>
          <w:color w:val="auto"/>
        </w:rPr>
        <w:t>o</w:t>
      </w:r>
    </w:p>
    <w:p>
      <w:pPr>
        <w:spacing w:after="0" w:line="200" w:lineRule="exact"/>
        <w:rPr>
          <w:sz w:val="20"/>
          <w:szCs w:val="20"/>
          <w:color w:val="auto"/>
        </w:rPr>
      </w:pPr>
    </w:p>
    <w:p>
      <w:pPr>
        <w:sectPr>
          <w:pgSz w:w="11900" w:h="16838" w:orient="portrait"/>
          <w:cols w:equalWidth="0" w:num="2">
            <w:col w:w="1980" w:space="720"/>
            <w:col w:w="8720"/>
          </w:cols>
          <w:pgMar w:left="240" w:top="419" w:right="239" w:bottom="1440" w:gutter="0" w:footer="0" w:header="0"/>
          <w:type w:val="continuous"/>
        </w:sectPr>
      </w:pPr>
    </w:p>
    <w:p>
      <w:pPr>
        <w:spacing w:after="0" w:line="223" w:lineRule="exact"/>
        <w:rPr>
          <w:sz w:val="20"/>
          <w:szCs w:val="20"/>
          <w:color w:val="auto"/>
        </w:rPr>
      </w:pPr>
    </w:p>
    <w:p>
      <w:pPr>
        <w:ind w:left="5180"/>
        <w:spacing w:after="0"/>
        <w:tabs>
          <w:tab w:leader="none" w:pos="5680" w:val="left"/>
          <w:tab w:leader="none" w:pos="63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p>
    <w:p>
      <w:pPr>
        <w:sectPr>
          <w:pgSz w:w="11900" w:h="16838" w:orient="portrait"/>
          <w:cols w:equalWidth="0" w:num="1">
            <w:col w:w="11420"/>
          </w:cols>
          <w:pgMar w:left="240" w:top="419" w:right="239" w:bottom="1440" w:gutter="0" w:footer="0" w:header="0"/>
          <w:type w:val="continuous"/>
        </w:sectPr>
      </w:pPr>
    </w:p>
    <w:p>
      <w:pPr>
        <w:spacing w:after="0" w:line="87" w:lineRule="exact"/>
        <w:rPr>
          <w:sz w:val="20"/>
          <w:szCs w:val="20"/>
          <w:color w:val="auto"/>
        </w:rPr>
      </w:pPr>
    </w:p>
    <w:p>
      <w:pPr>
        <w:jc w:val="both"/>
        <w:ind w:left="460" w:right="240" w:hanging="222"/>
        <w:spacing w:after="0" w:line="258" w:lineRule="auto"/>
        <w:tabs>
          <w:tab w:leader="none" w:pos="4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Ratification of Appointment of PricewaterhouseCoopers LLP as ViaSat’s Independent Registered Public Accounting Firm</w:t>
      </w:r>
    </w:p>
    <w:p>
      <w:pPr>
        <w:spacing w:after="0" w:line="167" w:lineRule="exact"/>
        <w:rPr>
          <w:rFonts w:ascii="Arial" w:cs="Arial" w:eastAsia="Arial" w:hAnsi="Arial"/>
          <w:sz w:val="14"/>
          <w:szCs w:val="14"/>
          <w:color w:val="auto"/>
        </w:rPr>
      </w:pPr>
    </w:p>
    <w:p>
      <w:pPr>
        <w:ind w:left="460" w:hanging="222"/>
        <w:spacing w:after="0"/>
        <w:tabs>
          <w:tab w:leader="none" w:pos="4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Approval of Amendment to the Employee Stock Purchase Plan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640" w:val="left"/>
          <w:tab w:leader="none" w:pos="1320" w:val="left"/>
        </w:tabs>
        <w:rPr>
          <w:sz w:val="20"/>
          <w:szCs w:val="20"/>
          <w:color w:val="auto"/>
        </w:rPr>
      </w:pPr>
      <w:r>
        <w:rPr>
          <w:rFonts w:ascii="Arial" w:cs="Arial" w:eastAsia="Arial" w:hAnsi="Arial"/>
          <w:sz w:val="31"/>
          <w:szCs w:val="31"/>
          <w:color w:val="auto"/>
        </w:rPr>
        <w:t>o</w:t>
      </w:r>
      <w:r>
        <w:rPr>
          <w:sz w:val="20"/>
          <w:szCs w:val="20"/>
          <w:color w:val="auto"/>
        </w:rPr>
        <w:tab/>
      </w:r>
      <w:r>
        <w:rPr>
          <w:rFonts w:ascii="Arial" w:cs="Arial" w:eastAsia="Arial" w:hAnsi="Arial"/>
          <w:sz w:val="31"/>
          <w:szCs w:val="31"/>
          <w:color w:val="auto"/>
        </w:rPr>
        <w:t>o</w:t>
      </w:r>
      <w:r>
        <w:rPr>
          <w:sz w:val="20"/>
          <w:szCs w:val="20"/>
          <w:color w:val="auto"/>
        </w:rPr>
        <w:tab/>
      </w:r>
      <w:r>
        <w:rPr>
          <w:rFonts w:ascii="Arial" w:cs="Arial" w:eastAsia="Arial" w:hAnsi="Arial"/>
          <w:sz w:val="24"/>
          <w:szCs w:val="24"/>
          <w:color w:val="auto"/>
        </w:rPr>
        <w:t>o</w:t>
      </w:r>
    </w:p>
    <w:p>
      <w:pPr>
        <w:spacing w:after="0" w:line="157" w:lineRule="exact"/>
        <w:rPr>
          <w:sz w:val="20"/>
          <w:szCs w:val="20"/>
          <w:color w:val="auto"/>
        </w:rPr>
      </w:pPr>
    </w:p>
    <w:p>
      <w:pPr>
        <w:spacing w:after="0"/>
        <w:tabs>
          <w:tab w:leader="none" w:pos="640" w:val="left"/>
          <w:tab w:leader="none" w:pos="1320" w:val="left"/>
        </w:tabs>
        <w:rPr>
          <w:sz w:val="20"/>
          <w:szCs w:val="20"/>
          <w:color w:val="auto"/>
        </w:rPr>
      </w:pPr>
      <w:r>
        <w:rPr>
          <w:rFonts w:ascii="Arial" w:cs="Arial" w:eastAsia="Arial" w:hAnsi="Arial"/>
          <w:sz w:val="31"/>
          <w:szCs w:val="31"/>
          <w:color w:val="auto"/>
        </w:rPr>
        <w:t>o</w:t>
      </w:r>
      <w:r>
        <w:rPr>
          <w:sz w:val="20"/>
          <w:szCs w:val="20"/>
          <w:color w:val="auto"/>
        </w:rPr>
        <w:tab/>
      </w:r>
      <w:r>
        <w:rPr>
          <w:rFonts w:ascii="Arial" w:cs="Arial" w:eastAsia="Arial" w:hAnsi="Arial"/>
          <w:sz w:val="31"/>
          <w:szCs w:val="31"/>
          <w:color w:val="auto"/>
        </w:rPr>
        <w:t>o</w:t>
      </w:r>
      <w:r>
        <w:rPr>
          <w:sz w:val="20"/>
          <w:szCs w:val="20"/>
          <w:color w:val="auto"/>
        </w:rPr>
        <w:tab/>
      </w:r>
      <w:r>
        <w:rPr>
          <w:rFonts w:ascii="Arial" w:cs="Arial" w:eastAsia="Arial" w:hAnsi="Arial"/>
          <w:sz w:val="24"/>
          <w:szCs w:val="24"/>
          <w:color w:val="auto"/>
        </w:rPr>
        <w:t>o</w:t>
      </w:r>
    </w:p>
    <w:p>
      <w:pPr>
        <w:spacing w:after="0" w:line="200" w:lineRule="exact"/>
        <w:rPr>
          <w:sz w:val="20"/>
          <w:szCs w:val="20"/>
          <w:color w:val="auto"/>
        </w:rPr>
      </w:pPr>
    </w:p>
    <w:p>
      <w:pPr>
        <w:sectPr>
          <w:pgSz w:w="11900" w:h="16838" w:orient="portrait"/>
          <w:cols w:equalWidth="0" w:num="2">
            <w:col w:w="4520" w:space="720"/>
            <w:col w:w="6180"/>
          </w:cols>
          <w:pgMar w:left="240" w:top="419" w:right="239" w:bottom="1440" w:gutter="0" w:footer="0" w:header="0"/>
          <w:type w:val="continuous"/>
        </w:sectPr>
      </w:pP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-116205</wp:posOffset>
            </wp:positionV>
            <wp:extent cx="1460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3" w:lineRule="exact"/>
        <w:rPr>
          <w:sz w:val="20"/>
          <w:szCs w:val="20"/>
          <w:color w:val="auto"/>
        </w:rPr>
      </w:pPr>
    </w:p>
    <w:p>
      <w:pPr>
        <w:ind w:left="240"/>
        <w:spacing w:after="0"/>
        <w:tabs>
          <w:tab w:leader="none" w:pos="6440" w:val="left"/>
        </w:tabs>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new address below.</w:t>
      </w:r>
      <w:r>
        <w:rPr>
          <w:sz w:val="20"/>
          <w:szCs w:val="20"/>
          <w:color w:val="auto"/>
        </w:rPr>
        <w:tab/>
      </w:r>
      <w:r>
        <w:rPr>
          <w:rFonts w:ascii="Arial" w:cs="Arial" w:eastAsia="Arial" w:hAnsi="Arial"/>
          <w:sz w:val="14"/>
          <w:szCs w:val="14"/>
          <w:b w:val="1"/>
          <w:bCs w:val="1"/>
          <w:color w:val="auto"/>
        </w:rPr>
        <w:t>ELECTRONIC ACCESS TO FUTURE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-3810</wp:posOffset>
            </wp:positionV>
            <wp:extent cx="3751580" cy="415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51580" cy="4159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4"/>
          <w:szCs w:val="14"/>
          <w:color w:val="auto"/>
        </w:rPr>
        <w:t>If you consent to use the internet to access all future notices</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of  stockholder  meetings,  proxy  statements  and  annual</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reports issued by ViaSat (electronic access), please mark</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this box. See reverse side for details.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Consent</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31"/>
          <w:szCs w:val="31"/>
          <w:color w:val="auto"/>
        </w:rPr>
        <w:t>o</w:t>
      </w:r>
    </w:p>
    <w:p>
      <w:pPr>
        <w:spacing w:after="0" w:line="379" w:lineRule="exact"/>
        <w:rPr>
          <w:sz w:val="20"/>
          <w:szCs w:val="20"/>
          <w:color w:val="auto"/>
        </w:rPr>
      </w:pPr>
    </w:p>
    <w:p>
      <w:pPr>
        <w:sectPr>
          <w:pgSz w:w="11900" w:h="16838" w:orient="portrait"/>
          <w:cols w:equalWidth="0" w:num="2">
            <w:col w:w="10320" w:space="200"/>
            <w:col w:w="900"/>
          </w:cols>
          <w:pgMar w:left="240" w:top="419" w:right="2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C  Authorized Signatures — Date and Sign Below — This section must be completed for your vote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-116205</wp:posOffset>
            </wp:positionV>
            <wp:extent cx="1460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111" w:lineRule="exact"/>
        <w:rPr>
          <w:sz w:val="20"/>
          <w:szCs w:val="20"/>
          <w:color w:val="auto"/>
        </w:rPr>
      </w:pPr>
    </w:p>
    <w:p>
      <w:pPr>
        <w:ind w:left="240" w:right="280"/>
        <w:spacing w:after="0" w:line="258" w:lineRule="auto"/>
        <w:rPr>
          <w:sz w:val="20"/>
          <w:szCs w:val="20"/>
          <w:color w:val="auto"/>
        </w:rPr>
      </w:pPr>
      <w:r>
        <w:rPr>
          <w:rFonts w:ascii="Arial" w:cs="Arial" w:eastAsia="Arial" w:hAnsi="Arial"/>
          <w:sz w:val="14"/>
          <w:szCs w:val="14"/>
          <w:color w:val="auto"/>
        </w:rPr>
        <w:t>Please sign your name(s) EXACTLY as your name(s) appear(s) on this proxy card. If shares are held jointly, each joint holder must sign. When signing as trustee, executor, administrator, guardian, attorney or corporate officer, please print your full title.</w:t>
      </w:r>
    </w:p>
    <w:p>
      <w:pPr>
        <w:spacing w:after="0" w:line="62" w:lineRule="exact"/>
        <w:rPr>
          <w:sz w:val="20"/>
          <w:szCs w:val="20"/>
          <w:color w:val="auto"/>
        </w:rPr>
      </w:pPr>
    </w:p>
    <w:p>
      <w:pPr>
        <w:ind w:left="240"/>
        <w:spacing w:after="0"/>
        <w:tabs>
          <w:tab w:leader="none" w:pos="3560" w:val="left"/>
          <w:tab w:leader="none" w:pos="714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2"/>
          <w:szCs w:val="12"/>
          <w:color w:val="auto"/>
        </w:rPr>
        <w:t>Signature 2 (Joint Owner)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-6985</wp:posOffset>
            </wp:positionV>
            <wp:extent cx="6958965" cy="287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8965" cy="287020"/>
                    </a:xfrm>
                    <a:prstGeom prst="rect">
                      <a:avLst/>
                    </a:prstGeom>
                    <a:noFill/>
                  </pic:spPr>
                </pic:pic>
              </a:graphicData>
            </a:graphic>
          </wp:anchor>
        </w:drawing>
      </w:r>
    </w:p>
    <w:p>
      <w:pPr>
        <w:ind w:left="960"/>
        <w:spacing w:after="0"/>
        <w:tabs>
          <w:tab w:leader="none" w:pos="1740" w:val="left"/>
        </w:tabs>
        <w:rPr>
          <w:sz w:val="20"/>
          <w:szCs w:val="20"/>
          <w:color w:val="auto"/>
        </w:rPr>
      </w:pPr>
      <w:r>
        <w:rPr>
          <w:rFonts w:ascii="Arial" w:cs="Arial" w:eastAsia="Arial" w:hAnsi="Arial"/>
          <w:sz w:val="36"/>
          <w:szCs w:val="36"/>
          <w:color w:val="auto"/>
        </w:rPr>
        <w:t>/</w:t>
      </w:r>
      <w:r>
        <w:rPr>
          <w:sz w:val="20"/>
          <w:szCs w:val="20"/>
          <w:color w:val="auto"/>
        </w:rPr>
        <w:tab/>
      </w: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132715</wp:posOffset>
            </wp:positionV>
            <wp:extent cx="5994400" cy="557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94400" cy="557530"/>
                    </a:xfrm>
                    <a:prstGeom prst="rect">
                      <a:avLst/>
                    </a:prstGeom>
                    <a:noFill/>
                  </pic:spPr>
                </pic:pic>
              </a:graphicData>
            </a:graphic>
          </wp:anchor>
        </w:drawing>
      </w:r>
    </w:p>
    <w:p>
      <w:pPr>
        <w:spacing w:after="0" w:line="284" w:lineRule="exact"/>
        <w:rPr>
          <w:sz w:val="20"/>
          <w:szCs w:val="20"/>
          <w:color w:val="auto"/>
        </w:rPr>
      </w:pPr>
    </w:p>
    <w:p>
      <w:pPr>
        <w:ind w:left="10820"/>
        <w:spacing w:after="0"/>
        <w:rPr>
          <w:sz w:val="20"/>
          <w:szCs w:val="20"/>
          <w:color w:val="auto"/>
        </w:rPr>
      </w:pPr>
      <w:r>
        <w:rPr>
          <w:rFonts w:ascii="Arial" w:cs="Arial" w:eastAsia="Arial" w:hAnsi="Arial"/>
          <w:sz w:val="43"/>
          <w:szCs w:val="4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078980" cy="1504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8980" cy="15049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ViaSat Annual Meeting of Stockholders To Be Held on October 1, 2009</w:t>
      </w:r>
    </w:p>
    <w:p>
      <w:pPr>
        <w:spacing w:after="0" w:line="55" w:lineRule="exact"/>
        <w:rPr>
          <w:sz w:val="20"/>
          <w:szCs w:val="20"/>
          <w:color w:val="auto"/>
        </w:rPr>
      </w:pPr>
    </w:p>
    <w:p>
      <w:pPr>
        <w:ind w:left="100" w:right="340"/>
        <w:spacing w:after="0" w:line="258" w:lineRule="auto"/>
        <w:rPr>
          <w:sz w:val="20"/>
          <w:szCs w:val="20"/>
          <w:color w:val="auto"/>
        </w:rPr>
      </w:pPr>
      <w:r>
        <w:rPr>
          <w:rFonts w:ascii="Arial" w:cs="Arial" w:eastAsia="Arial" w:hAnsi="Arial"/>
          <w:sz w:val="14"/>
          <w:szCs w:val="14"/>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4"/>
          <w:szCs w:val="14"/>
          <w:i w:val="1"/>
          <w:iCs w:val="1"/>
          <w:color w:val="auto"/>
        </w:rPr>
        <w:t>investors.viasat.com</w:t>
      </w:r>
      <w:r>
        <w:rPr>
          <w:rFonts w:ascii="Arial" w:cs="Arial" w:eastAsia="Arial" w:hAnsi="Arial"/>
          <w:sz w:val="14"/>
          <w:szCs w:val="14"/>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Electronic Access To Future Documents</w:t>
      </w:r>
    </w:p>
    <w:p>
      <w:pPr>
        <w:spacing w:after="0" w:line="77" w:lineRule="exact"/>
        <w:rPr>
          <w:sz w:val="20"/>
          <w:szCs w:val="20"/>
          <w:color w:val="auto"/>
        </w:rPr>
      </w:pPr>
    </w:p>
    <w:p>
      <w:pPr>
        <w:ind w:left="100" w:right="360"/>
        <w:spacing w:after="0" w:line="247" w:lineRule="auto"/>
        <w:rPr>
          <w:sz w:val="20"/>
          <w:szCs w:val="20"/>
          <w:color w:val="auto"/>
        </w:rPr>
      </w:pPr>
      <w:r>
        <w:rPr>
          <w:rFonts w:ascii="Arial" w:cs="Arial" w:eastAsia="Arial" w:hAnsi="Arial"/>
          <w:sz w:val="14"/>
          <w:szCs w:val="14"/>
          <w:color w:val="auto"/>
        </w:rPr>
        <w:t>If you wish to access all future proxy statements and annual reports via the internet as they become available, please consent by marking the appropriate box on the reverse side of this proxy card. Choosing to receive your future proxy materials electronically will help us conserve natural resources and reduce the costs of printing and distributing our proxy materials. This consent will remain in effect until you notify our transfer agent, Computershare, by mail that you wish to resume mail delivery of the proxy statement and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272415</wp:posOffset>
            </wp:positionV>
            <wp:extent cx="69551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5155" cy="2603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51435</wp:posOffset>
            </wp:positionV>
            <wp:extent cx="69551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291465</wp:posOffset>
            </wp:positionV>
            <wp:extent cx="1689735" cy="4718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897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VIASAT, INC.</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ANNUAL MEETING OF STOCKHOLDERS</w:t>
      </w:r>
    </w:p>
    <w:p>
      <w:pPr>
        <w:jc w:val="center"/>
        <w:ind w:right="-219"/>
        <w:spacing w:after="0"/>
        <w:rPr>
          <w:sz w:val="20"/>
          <w:szCs w:val="20"/>
          <w:color w:val="auto"/>
        </w:rPr>
      </w:pPr>
      <w:r>
        <w:rPr>
          <w:rFonts w:ascii="Arial" w:cs="Arial" w:eastAsia="Arial" w:hAnsi="Arial"/>
          <w:sz w:val="22"/>
          <w:szCs w:val="22"/>
          <w:b w:val="1"/>
          <w:bCs w:val="1"/>
          <w:color w:val="auto"/>
        </w:rPr>
        <w:t>OCTOBER 1, 2009</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THIS PROXY IS SOLICITED ON BEHALF OF THE VIASAT BOARD OF DIRECTORS</w:t>
      </w:r>
    </w:p>
    <w:p>
      <w:pPr>
        <w:spacing w:after="0" w:line="211" w:lineRule="exact"/>
        <w:rPr>
          <w:sz w:val="20"/>
          <w:szCs w:val="20"/>
          <w:color w:val="auto"/>
        </w:rPr>
      </w:pPr>
    </w:p>
    <w:p>
      <w:pPr>
        <w:jc w:val="both"/>
        <w:ind w:left="240"/>
        <w:spacing w:after="0" w:line="237" w:lineRule="auto"/>
        <w:rPr>
          <w:sz w:val="20"/>
          <w:szCs w:val="20"/>
          <w:color w:val="auto"/>
        </w:rPr>
      </w:pPr>
      <w:r>
        <w:rPr>
          <w:rFonts w:ascii="Arial" w:cs="Arial" w:eastAsia="Arial" w:hAnsi="Arial"/>
          <w:sz w:val="18"/>
          <w:szCs w:val="18"/>
          <w:color w:val="auto"/>
        </w:rPr>
        <w:t>The undersigned revokes all previous proxies, acknowledges receipt of the notice of annual meeting of stockholders and the accompanying proxy statement, and hereby appoints Mark D. Dankberg and Keven K. Lippert,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on October 1, 2009 at 8:30 a.m. Pacific Time at 6155 El Camino Real, Carlsbad, California 92009, and at any adjournments and postponements thereof, with the same force and effect as the undersigned might or could do if personally present.</w:t>
      </w:r>
    </w:p>
    <w:p>
      <w:pPr>
        <w:spacing w:after="0" w:line="141" w:lineRule="exact"/>
        <w:rPr>
          <w:sz w:val="20"/>
          <w:szCs w:val="20"/>
          <w:color w:val="auto"/>
        </w:rPr>
      </w:pPr>
    </w:p>
    <w:p>
      <w:pPr>
        <w:jc w:val="both"/>
        <w:ind w:left="240"/>
        <w:spacing w:after="0" w:line="242" w:lineRule="auto"/>
        <w:rPr>
          <w:sz w:val="20"/>
          <w:szCs w:val="20"/>
          <w:color w:val="auto"/>
        </w:rPr>
      </w:pPr>
      <w:r>
        <w:rPr>
          <w:rFonts w:ascii="Arial" w:cs="Arial" w:eastAsia="Arial" w:hAnsi="Arial"/>
          <w:sz w:val="18"/>
          <w:szCs w:val="18"/>
          <w:b w:val="1"/>
          <w:bCs w:val="1"/>
          <w:color w:val="auto"/>
        </w:rPr>
        <w:t>THE SHARES REPRESENTED BY THIS PROXY CARD WILL BE VOTED AS INSTRUCTED BY THE STOCKHOLDER. IF NO INSTRUCTIONS ARE SPECIFIED, THE SHARES WILL BE VOTED IN ACCORDANCE WITH THE RECOMMENDATIONS OF THE BOARD OF DIRECTORS.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pacing w:after="0" w:line="165" w:lineRule="exact"/>
        <w:rPr>
          <w:sz w:val="20"/>
          <w:szCs w:val="20"/>
          <w:color w:val="auto"/>
        </w:rPr>
      </w:pPr>
    </w:p>
    <w:tbl>
      <w:tblPr>
        <w:tblLayout w:type="fixed"/>
        <w:tblInd w:w="250" w:type="dxa"/>
        <w:tblCellMar>
          <w:top w:w="0" w:type="dxa"/>
          <w:left w:w="0" w:type="dxa"/>
          <w:bottom w:w="0" w:type="dxa"/>
          <w:right w:w="0" w:type="dxa"/>
        </w:tblCellMar>
      </w:tblPr>
      <w:tr>
        <w:trPr>
          <w:trHeight w:val="435"/>
        </w:trPr>
        <w:tc>
          <w:tcPr>
            <w:tcW w:w="220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SEE REVERSE SIDE</w:t>
            </w:r>
          </w:p>
        </w:tc>
        <w:tc>
          <w:tcPr>
            <w:tcW w:w="6580" w:type="dxa"/>
            <w:vAlign w:val="bottom"/>
            <w:tcBorders>
              <w:right w:val="single" w:sz="8" w:color="auto"/>
            </w:tcBorders>
          </w:tcPr>
          <w:p>
            <w:pPr>
              <w:ind w:left="1240"/>
              <w:spacing w:after="0"/>
              <w:rPr>
                <w:sz w:val="20"/>
                <w:szCs w:val="20"/>
                <w:color w:val="auto"/>
              </w:rPr>
            </w:pPr>
            <w:r>
              <w:rPr>
                <w:rFonts w:ascii="Arial" w:cs="Arial" w:eastAsia="Arial" w:hAnsi="Arial"/>
                <w:sz w:val="18"/>
                <w:szCs w:val="18"/>
                <w:b w:val="1"/>
                <w:bCs w:val="1"/>
                <w:color w:val="auto"/>
              </w:rPr>
              <w:t>TO BE SIGNED AND DATED ON REVERSE SIDE</w:t>
            </w:r>
          </w:p>
        </w:tc>
        <w:tc>
          <w:tcPr>
            <w:tcW w:w="21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SEE REVERSE SIDE</w:t>
            </w:r>
          </w:p>
        </w:tc>
      </w:tr>
      <w:tr>
        <w:trPr>
          <w:trHeight w:val="186"/>
        </w:trPr>
        <w:tc>
          <w:tcPr>
            <w:tcW w:w="2200" w:type="dxa"/>
            <w:vAlign w:val="bottom"/>
            <w:tcBorders>
              <w:left w:val="single" w:sz="8" w:color="auto"/>
              <w:bottom w:val="single" w:sz="8" w:color="auto"/>
              <w:right w:val="single" w:sz="8" w:color="auto"/>
            </w:tcBorders>
          </w:tcPr>
          <w:p>
            <w:pPr>
              <w:spacing w:after="0"/>
              <w:rPr>
                <w:sz w:val="16"/>
                <w:szCs w:val="16"/>
                <w:color w:val="auto"/>
              </w:rPr>
            </w:pPr>
          </w:p>
        </w:tc>
        <w:tc>
          <w:tcPr>
            <w:tcW w:w="6580" w:type="dxa"/>
            <w:vAlign w:val="bottom"/>
            <w:tcBorders>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200"/>
      </w:cols>
      <w:pgMar w:left="240" w:top="4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o"/>
      <w:numFmt w:val="bullet"/>
      <w:start w:val="1"/>
    </w:lvl>
    <w:lvl w:ilvl="1">
      <w:lvlJc w:val="left"/>
      <w:lvlText w:val="(%2)"/>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760"/>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6"/>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3"/>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lvl w:ilvl="1">
      <w:lvlJc w:val="left"/>
      <w:lvlText w:val="(%2)"/>
      <w:numFmt w:val="decimal"/>
      <w:start w:val="1"/>
    </w:lvl>
  </w:abstractNum>
  <w:abstractNum w:abstractNumId="33">
    <w:nsid w:val="542289EC"/>
    <w:multiLevelType w:val="hybridMultilevel"/>
    <w:lvl w:ilvl="0">
      <w:lvlJc w:val="left"/>
      <w:lvlText w:val="%1."/>
      <w:numFmt w:val="decimal"/>
      <w:start w:val="1"/>
    </w:lvl>
    <w:lvl w:ilvl="1">
      <w:lvlJc w:val="left"/>
      <w:lvlText w:val="%2"/>
      <w:numFmt w:val="decimal"/>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0"/>
    </w:lvl>
  </w:abstractNum>
  <w:abstractNum w:abstractNumId="36">
    <w:nsid w:val="7644A45C"/>
    <w:multiLevelType w:val="hybridMultilevel"/>
    <w:lvl w:ilvl="0">
      <w:lvlJc w:val="left"/>
      <w:lvlText w:val="%1."/>
      <w:numFmt w:val="decimal"/>
      <w:start w:val="3"/>
    </w:lvl>
    <w:lvl w:ilvl="1">
      <w:lvlJc w:val="left"/>
      <w:lvlText w:val="(%2)"/>
      <w:numFmt w:val="lowerLetter"/>
      <w:start w:val="1"/>
    </w:lvl>
  </w:abstractNum>
  <w:abstractNum w:abstractNumId="3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684A48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
    <w:nsid w:val="749ABB43"/>
    <w:multiLevelType w:val="hybridMultilevel"/>
    <w:lvl w:ilvl="0">
      <w:lvlJc w:val="left"/>
      <w:lvlText w:val="%1"/>
      <w:numFmt w:val="lowerRoman"/>
      <w:start w:val="1"/>
    </w:lvl>
    <w:lvl w:ilvl="1">
      <w:lvlJc w:val="left"/>
      <w:lvlText w:val="(%2)"/>
      <w:numFmt w:val="lowerLetter"/>
      <w:start w:val="2"/>
    </w:lvl>
  </w:abstractNum>
  <w:abstractNum w:abstractNumId="41">
    <w:nsid w:val="3DC240FB"/>
    <w:multiLevelType w:val="hybridMultilevel"/>
    <w:lvl w:ilvl="0">
      <w:lvlJc w:val="left"/>
      <w:lvlText w:val="(%1)"/>
      <w:numFmt w:val="lowerRoman"/>
      <w:start w:val="4"/>
    </w:lvl>
    <w:lvl w:ilvl="1">
      <w:lvlJc w:val="left"/>
      <w:lvlText w:val="(%2)"/>
      <w:numFmt w:val="lowerLetter"/>
      <w:start w:val="3"/>
    </w:lvl>
  </w:abstractNum>
  <w:abstractNum w:abstractNumId="42">
    <w:nsid w:val="1BA026FA"/>
    <w:multiLevelType w:val="hybridMultilevel"/>
    <w:lvl w:ilvl="0">
      <w:lvlJc w:val="left"/>
      <w:lvlText w:val="%1."/>
      <w:numFmt w:val="decimal"/>
      <w:start w:val="5"/>
    </w:lvl>
    <w:lvl w:ilvl="1">
      <w:lvlJc w:val="left"/>
      <w:lvlText w:val="(%2)"/>
      <w:numFmt w:val="lowerLetter"/>
      <w:start w:val="1"/>
    </w:lvl>
  </w:abstractNum>
  <w:abstractNum w:abstractNumId="43">
    <w:nsid w:val="79A1DEAA"/>
    <w:multiLevelType w:val="hybridMultilevel"/>
    <w:lvl w:ilvl="0">
      <w:lvlJc w:val="left"/>
      <w:lvlText w:val="%1."/>
      <w:numFmt w:val="decimal"/>
      <w:start w:val="6"/>
    </w:lvl>
    <w:lvl w:ilvl="1">
      <w:lvlJc w:val="left"/>
      <w:lvlText w:val="(%2)"/>
      <w:numFmt w:val="lowerLetter"/>
      <w:start w:val="1"/>
    </w:lvl>
  </w:abstractNum>
  <w:abstractNum w:abstractNumId="44">
    <w:nsid w:val="75C6C33A"/>
    <w:multiLevelType w:val="hybridMultilevel"/>
    <w:lvl w:ilvl="0">
      <w:lvlJc w:val="left"/>
      <w:lvlText w:val="%1."/>
      <w:numFmt w:val="decimal"/>
      <w:start w:val="10"/>
    </w:lvl>
  </w:abstractNum>
  <w:abstractNum w:abstractNumId="45">
    <w:nsid w:val="12E685FB"/>
    <w:multiLevelType w:val="hybridMultilevel"/>
    <w:lvl w:ilvl="0">
      <w:lvlJc w:val="left"/>
      <w:lvlText w:val="%1."/>
      <w:numFmt w:val="decimal"/>
      <w:start w:val="11"/>
    </w:lvl>
  </w:abstractNum>
  <w:abstractNum w:abstractNumId="46">
    <w:nsid w:val="70C6A529"/>
    <w:multiLevelType w:val="hybridMultilevel"/>
    <w:lvl w:ilvl="0">
      <w:lvlJc w:val="left"/>
      <w:lvlText w:val="%1."/>
      <w:numFmt w:val="decimal"/>
      <w:start w:val="12"/>
    </w:lvl>
    <w:lvl w:ilvl="1">
      <w:lvlJc w:val="left"/>
      <w:lvlText w:val="(%2)"/>
      <w:numFmt w:val="lowerLetter"/>
      <w:start w:val="1"/>
    </w:lvl>
  </w:abstractNum>
  <w:abstractNum w:abstractNumId="47">
    <w:nsid w:val="520EEDD1"/>
    <w:multiLevelType w:val="hybridMultilevel"/>
    <w:lvl w:ilvl="0">
      <w:lvlJc w:val="left"/>
      <w:lvlText w:val="%1."/>
      <w:numFmt w:val="decimal"/>
      <w:start w:val="14"/>
    </w:lvl>
  </w:abstractNum>
  <w:abstractNum w:abstractNumId="48">
    <w:nsid w:val="374A3FE6"/>
    <w:multiLevelType w:val="hybridMultilevel"/>
    <w:lvl w:ilvl="0">
      <w:lvlJc w:val="left"/>
      <w:lvlText w:val="%1."/>
      <w:numFmt w:val="decimal"/>
      <w:start w:val="15"/>
    </w:lvl>
  </w:abstractNum>
  <w:abstractNum w:abstractNumId="49">
    <w:nsid w:val="4F4EF005"/>
    <w:multiLevelType w:val="hybridMultilevel"/>
    <w:lvl w:ilvl="0">
      <w:lvlJc w:val="left"/>
      <w:lvlText w:val="%1."/>
      <w:numFmt w:val="decimal"/>
      <w:start w:val="16"/>
    </w:lvl>
  </w:abstractNum>
  <w:abstractNum w:abstractNumId="50">
    <w:nsid w:val="23F9C13C"/>
    <w:multiLevelType w:val="hybridMultilevel"/>
    <w:lvl w:ilvl="0">
      <w:lvlJc w:val="left"/>
      <w:lvlText w:val="%1."/>
      <w:numFmt w:val="decimal"/>
      <w:start w:val="17"/>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18"/>
    </w:lvl>
  </w:abstractNum>
  <w:abstractNum w:abstractNumId="53">
    <w:nsid w:val="39386575"/>
    <w:multiLevelType w:val="hybridMultilevel"/>
    <w:lvl w:ilvl="0">
      <w:lvlJc w:val="left"/>
      <w:lvlText w:val="%1."/>
      <w:numFmt w:val="decimal"/>
      <w:start w:val="19"/>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decimal"/>
      <w:start w:val="20"/>
    </w:lvl>
  </w:abstractNum>
  <w:abstractNum w:abstractNumId="56">
    <w:nsid w:val="235BA861"/>
    <w:multiLevelType w:val="hybridMultilevel"/>
    <w:lvl w:ilvl="0">
      <w:lvlJc w:val="left"/>
      <w:lvlText w:val="%1."/>
      <w:numFmt w:val="decimal"/>
      <w:start w:val="21"/>
    </w:lvl>
  </w:abstractNum>
  <w:abstractNum w:abstractNumId="57">
    <w:nsid w:val="47398C89"/>
    <w:multiLevelType w:val="hybridMultilevel"/>
    <w:lvl w:ilvl="0">
      <w:lvlJc w:val="left"/>
      <w:lvlText w:val="%1."/>
      <w:numFmt w:val="decimal"/>
      <w:start w:val="22"/>
    </w:lvl>
  </w:abstractNum>
  <w:abstractNum w:abstractNumId="58">
    <w:nsid w:val="354FE9F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2019-12-10T07:05:58Z</dcterms:created>
  <dcterms:modified xsi:type="dcterms:W3CDTF">2019-12-10T07:05:58Z</dcterms:modified>
</cp:coreProperties>
</file>