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DANKBERG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0"/>
        <w:gridCol w:w="900"/>
        <w:gridCol w:w="771"/>
        <w:gridCol w:w="598"/>
        <w:gridCol w:w="345"/>
        <w:gridCol w:w="922"/>
        <w:gridCol w:w="447"/>
        <w:gridCol w:w="749"/>
        <w:gridCol w:w="1310"/>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80,325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80,325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43,336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36,989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36,989</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36,989</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1,119,165</w:t>
            </w:r>
            <w:r>
              <w:rPr>
                <w:rFonts w:ascii="Times;serif" w:hAnsi="Times;serif"/>
                <w:color w:val="008000"/>
                <w:position w:val="7"/>
                <w:sz w:val="16"/>
                <w:sz w:val="20"/>
                <w:shd w:fill="FFFFFF" w:val="clear"/>
              </w:rPr>
              <w:t>(3)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80,325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155,925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 was granted to Mark Dankberg, an officer of Viasat, Inc. Upon vesting the shares were contributed to The Dankberg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total reported here has been adjusted by -20 shares to correct an error in a previously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original restricted stock unit grant was for 236,250 restricted stock units on 08/17/2025. The units vest and convert into shares of common stock (on a 1-for-1 basis) at the rate of 34% on September 17, 2026; 33% on June 7, 2027; and 33% on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3482"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4171</Characters>
  <CharactersWithSpaces>4861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