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5358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58130"/>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Palmer Benjamin Edward</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VIASAT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18"/>
        <w:spacing w:after="0"/>
        <w:rPr>
          <w:sz w:val="20"/>
          <w:szCs w:val="20"/>
          <w:color w:val="auto"/>
        </w:rPr>
      </w:pPr>
      <w:r>
        <w:rPr>
          <w:rFonts w:ascii="Times New Roman" w:cs="Times New Roman" w:eastAsia="Times New Roman" w:hAnsi="Times New Roman"/>
          <w:sz w:val="17"/>
          <w:szCs w:val="17"/>
          <w:color w:val="0000FF"/>
        </w:rPr>
        <w:t>SVP, Pres Commercial</w:t>
      </w:r>
    </w:p>
    <w:p>
      <w:pPr>
        <w:spacing w:after="0" w:line="31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4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40" w:type="dxa"/>
            <w:vAlign w:val="bottom"/>
            <w:gridSpan w:val="7"/>
            <w:vMerge w:val="continue"/>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3520" w:type="dxa"/>
            <w:vAlign w:val="bottom"/>
            <w:tcBorders>
              <w:bottom w:val="single" w:sz="8" w:color="2C2C2C"/>
            </w:tcBorders>
            <w:gridSpan w:val="7"/>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18,231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5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21,408</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15.96</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39,639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21,408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73.0914</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18,231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21,408</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15.96</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06/02/2026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2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3"/>
                <w:szCs w:val="13"/>
                <w:color w:val="0000FF"/>
              </w:rPr>
              <w:t>21,408</w:t>
            </w:r>
          </w:p>
        </w:tc>
        <w:tc>
          <w:tcPr>
            <w:tcW w:w="780" w:type="dxa"/>
            <w:vAlign w:val="bottom"/>
            <w:vMerge w:val="continue"/>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10/09/2029</w:t>
            </w: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23,592</w:t>
            </w:r>
          </w:p>
        </w:tc>
        <w:tc>
          <w:tcPr>
            <w:tcW w:w="260" w:type="dxa"/>
            <w:vAlign w:val="bottom"/>
          </w:tcPr>
          <w:p>
            <w:pPr>
              <w:spacing w:after="0"/>
              <w:rPr>
                <w:sz w:val="11"/>
                <w:szCs w:val="11"/>
                <w:color w:val="auto"/>
              </w:rPr>
            </w:pPr>
          </w:p>
        </w:tc>
        <w:tc>
          <w:tcPr>
            <w:tcW w:w="6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pursuant to Rule 10b5-1 Plan adopted on December 11, 2025.</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$72.535 to $73.435.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with respect to the remaining shares on October 9, 2026, subject to the achievement of certain stock price thresholds described in the option award.</w:t>
      </w:r>
    </w:p>
    <w:p>
      <w:pPr>
        <w:spacing w:after="0" w:line="8"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Stacy Nguyen, Attorney-in-</w:t>
      </w:r>
      <w:r>
        <w:rPr>
          <w:sz w:val="20"/>
          <w:szCs w:val="20"/>
          <w:color w:val="auto"/>
        </w:rPr>
        <w:tab/>
      </w:r>
      <w:r>
        <w:rPr>
          <w:rFonts w:ascii="Times New Roman" w:cs="Times New Roman" w:eastAsia="Times New Roman" w:hAnsi="Times New Roman"/>
          <w:sz w:val="25"/>
          <w:szCs w:val="25"/>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16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18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6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2819"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2026-06-03T15:25:59Z</dcterms:created>
  <dcterms:modified xsi:type="dcterms:W3CDTF">2026-06-03T15:25:59Z</dcterms:modified>
</cp:coreProperties>
</file>