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101600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3" w:lineRule="exact"/>
        <w:rPr>
          <w:sz w:val="24"/>
          <w:szCs w:val="24"/>
          <w:color w:val="auto"/>
        </w:rPr>
      </w:pPr>
    </w:p>
    <w:p>
      <w:pPr>
        <w:ind w:left="3540" w:right="1540" w:hanging="3532"/>
        <w:spacing w:after="0" w:line="311" w:lineRule="auto"/>
        <w:tabs>
          <w:tab w:leader="none" w:pos="51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2018.</w:t>
      </w: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60"/>
        <w:spacing w:after="0"/>
        <w:tabs>
          <w:tab w:leader="none" w:pos="68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7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VIASAT, INC.</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00"/>
          </w:cols>
          <w:pgMar w:left="240" w:top="719" w:right="359" w:bottom="1440" w:gutter="0" w:footer="0" w:header="0"/>
        </w:sectPr>
      </w:pPr>
    </w:p>
    <w:p>
      <w:pPr>
        <w:spacing w:after="0" w:line="161"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33-0174996</w:t>
      </w:r>
    </w:p>
    <w:p>
      <w:pPr>
        <w:spacing w:after="0" w:line="7" w:lineRule="exact"/>
        <w:rPr>
          <w:sz w:val="24"/>
          <w:szCs w:val="24"/>
          <w:color w:val="auto"/>
        </w:rPr>
      </w:pPr>
    </w:p>
    <w:p>
      <w:pPr>
        <w:sectPr>
          <w:pgSz w:w="11900" w:h="16838" w:orient="portrait"/>
          <w:cols w:equalWidth="0" w:num="2">
            <w:col w:w="7360" w:space="720"/>
            <w:col w:w="3220"/>
          </w:cols>
          <w:pgMar w:left="240" w:top="719" w:right="359" w:bottom="1440" w:gutter="0" w:footer="0" w:header="0"/>
          <w:type w:val="continuous"/>
        </w:sectPr>
      </w:pPr>
    </w:p>
    <w:p>
      <w:pPr>
        <w:spacing w:after="0" w:line="23"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ind w:left="19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4"/>
          <w:szCs w:val="14"/>
          <w:b w:val="1"/>
          <w:bCs w:val="1"/>
          <w:color w:val="auto"/>
        </w:rPr>
        <w:t>(I.R.S. Employer</w:t>
      </w:r>
    </w:p>
    <w:p>
      <w:pPr>
        <w:jc w:val="center"/>
        <w:ind w:right="2160"/>
        <w:spacing w:after="0"/>
        <w:rPr>
          <w:sz w:val="20"/>
          <w:szCs w:val="20"/>
          <w:color w:val="auto"/>
        </w:rPr>
      </w:pPr>
      <w:r>
        <w:rPr>
          <w:rFonts w:ascii="Arial" w:cs="Arial" w:eastAsia="Arial" w:hAnsi="Arial"/>
          <w:sz w:val="12"/>
          <w:szCs w:val="12"/>
          <w:b w:val="1"/>
          <w:bCs w:val="1"/>
          <w:color w:val="auto"/>
        </w:rPr>
        <w:t>Identification No.)</w:t>
      </w:r>
    </w:p>
    <w:p>
      <w:pPr>
        <w:spacing w:after="0" w:line="67" w:lineRule="exact"/>
        <w:rPr>
          <w:sz w:val="24"/>
          <w:szCs w:val="24"/>
          <w:color w:val="auto"/>
        </w:rPr>
      </w:pPr>
    </w:p>
    <w:p>
      <w:pPr>
        <w:sectPr>
          <w:pgSz w:w="11900" w:h="16838" w:orient="portrait"/>
          <w:cols w:equalWidth="0" w:num="2">
            <w:col w:w="7280" w:space="720"/>
            <w:col w:w="3300"/>
          </w:cols>
          <w:pgMar w:left="240" w:top="719"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6155 El Camino Real</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Carlsbad, California 92009</w:t>
      </w:r>
    </w:p>
    <w:p>
      <w:pPr>
        <w:jc w:val="center"/>
        <w:ind w:right="-119"/>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00"/>
          </w:cols>
          <w:pgMar w:left="240" w:top="719" w:right="359" w:bottom="1440" w:gutter="0" w:footer="0" w:header="0"/>
          <w:type w:val="continuous"/>
        </w:sectPr>
      </w:pPr>
    </w:p>
    <w:p>
      <w:pPr>
        <w:spacing w:after="0" w:line="149" w:lineRule="exact"/>
        <w:rPr>
          <w:sz w:val="24"/>
          <w:szCs w:val="24"/>
          <w:color w:val="auto"/>
        </w:rPr>
      </w:pPr>
    </w:p>
    <w:p>
      <w:pPr>
        <w:ind w:right="320" w:firstLine="518"/>
        <w:spacing w:after="0" w:line="24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59" w:lineRule="exact"/>
        <w:rPr>
          <w:sz w:val="24"/>
          <w:szCs w:val="24"/>
          <w:color w:val="auto"/>
        </w:rPr>
      </w:pPr>
    </w:p>
    <w:p>
      <w:pPr>
        <w:ind w:firstLine="518"/>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 w:lineRule="exact"/>
        <w:rPr>
          <w:sz w:val="24"/>
          <w:szCs w:val="24"/>
          <w:color w:val="auto"/>
        </w:rPr>
      </w:pPr>
    </w:p>
    <w:p>
      <w:pPr>
        <w:jc w:val="both"/>
        <w:ind w:right="40" w:firstLine="5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0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9" w:lineRule="exact"/>
        <w:rPr>
          <w:sz w:val="24"/>
          <w:szCs w:val="24"/>
          <w:color w:val="auto"/>
        </w:rPr>
      </w:pPr>
    </w:p>
    <w:p>
      <w:pPr>
        <w:ind w:right="600" w:firstLine="518"/>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340"/>
        <w:spacing w:after="0" w:line="27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January 25, 2019 was 60,481,263.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71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5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20" w:type="dxa"/>
            <w:vAlign w:val="bottom"/>
            <w:gridSpan w:val="18"/>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7240" w:type="dxa"/>
            <w:vAlign w:val="bottom"/>
            <w:gridSpan w:val="8"/>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(Loss)</w:t>
              </w:r>
            </w:hyperlink>
          </w:p>
        </w:tc>
        <w:tc>
          <w:tcPr>
            <w:tcW w:w="3100" w:type="dxa"/>
            <w:vAlign w:val="bottom"/>
            <w:gridSpan w:val="2"/>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 of Equity</w:t>
              </w:r>
            </w:hyperlink>
          </w:p>
        </w:tc>
        <w:tc>
          <w:tcPr>
            <w:tcW w:w="5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7100" w:type="dxa"/>
            <w:vAlign w:val="bottom"/>
            <w:tcBorders>
              <w:top w:val="single" w:sz="8" w:color="0000EE"/>
            </w:tcBorders>
            <w:gridSpan w:val="15"/>
          </w:tcPr>
          <w:p>
            <w:pPr>
              <w:ind w:left="2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2840" w:type="dxa"/>
            <w:vAlign w:val="bottom"/>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2020" w:type="dxa"/>
            <w:vAlign w:val="bottom"/>
            <w:tcBorders>
              <w:top w:val="single" w:sz="8" w:color="0000EE"/>
              <w:bottom w:val="single" w:sz="8" w:color="0000EE"/>
            </w:tcBorders>
            <w:gridSpan w:val="5"/>
          </w:tcPr>
          <w:p>
            <w:pPr>
              <w:ind w:left="20"/>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Controls and Procedures</w:t>
              </w:r>
            </w:hyperlink>
          </w:p>
        </w:tc>
        <w:tc>
          <w:tcPr>
            <w:tcW w:w="2720" w:type="dxa"/>
            <w:vAlign w:val="bottom"/>
            <w:tcBorders>
              <w:top w:val="single" w:sz="8" w:color="0000EE"/>
            </w:tcBorders>
            <w:gridSpan w:val="8"/>
          </w:tcPr>
          <w:p>
            <w:pPr>
              <w:spacing w:after="0"/>
              <w:rPr>
                <w:sz w:val="17"/>
                <w:szCs w:val="17"/>
                <w:color w:val="auto"/>
              </w:rPr>
            </w:pPr>
          </w:p>
        </w:tc>
        <w:tc>
          <w:tcPr>
            <w:tcW w:w="5200" w:type="dxa"/>
            <w:vAlign w:val="bottom"/>
            <w:gridSpan w:val="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56">
              <w:r>
                <w:rPr>
                  <w:rFonts w:ascii="Arial" w:cs="Arial" w:eastAsia="Arial" w:hAnsi="Arial"/>
                  <w:sz w:val="18"/>
                  <w:szCs w:val="18"/>
                  <w:b w:val="1"/>
                  <w:bCs w:val="1"/>
                  <w:color w:val="0000EE"/>
                  <w:w w:val="98"/>
                </w:rPr>
                <w:t>PART II. OTHER INFORMATION</w:t>
              </w:r>
            </w:hyperlink>
          </w:p>
        </w:tc>
        <w:tc>
          <w:tcPr>
            <w:tcW w:w="78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1.</w:t>
              </w:r>
            </w:hyperlink>
          </w:p>
        </w:tc>
        <w:tc>
          <w:tcPr>
            <w:tcW w:w="15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Legal Proceedings</w:t>
              </w:r>
            </w:hyperlink>
          </w:p>
        </w:tc>
        <w:tc>
          <w:tcPr>
            <w:tcW w:w="8420" w:type="dxa"/>
            <w:vAlign w:val="bottom"/>
            <w:gridSpan w:val="1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1A. 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57">
              <w:r>
                <w:rPr>
                  <w:rFonts w:ascii="Arial" w:cs="Arial" w:eastAsia="Arial" w:hAnsi="Arial"/>
                  <w:sz w:val="18"/>
                  <w:szCs w:val="18"/>
                  <w:color w:val="0000EE"/>
                  <w:w w:val="98"/>
                </w:rPr>
                <w:t>Exhibits</w:t>
              </w:r>
            </w:hyperlink>
          </w:p>
        </w:tc>
        <w:tc>
          <w:tcPr>
            <w:tcW w:w="48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700"/>
        </w:trPr>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60" w:type="dxa"/>
            <w:vAlign w:val="bottom"/>
            <w:gridSpan w:val="13"/>
          </w:tcPr>
          <w:p>
            <w:pPr>
              <w:jc w:val="right"/>
              <w:ind w:right="1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652"/>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32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43,365</w:t>
            </w:r>
          </w:p>
        </w:tc>
        <w:tc>
          <w:tcPr>
            <w:tcW w:w="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295,325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267,665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230,122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115,844</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684,656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Satellites,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1,239,987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865,343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722,488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121,506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744,851</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3,629,716</w:t>
            </w:r>
          </w:p>
        </w:tc>
        <w:tc>
          <w:tcPr>
            <w:tcW w:w="2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3,414,109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FF0FC"/>
          </w:tcPr>
          <w:p>
            <w:pPr>
              <w:ind w:left="246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160,850</w:t>
            </w:r>
          </w:p>
        </w:tc>
        <w:tc>
          <w:tcPr>
            <w:tcW w:w="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292,260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263,676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21,755</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474,865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466,457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691,803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long-term debt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445,032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287,519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131,970</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1,743,670</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1,566,102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1,630,441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243,070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285,960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1,880,564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1,837,166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5,482</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1,886,046</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3,629,716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December 31, 2018</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880" w:type="dxa"/>
            <w:vAlign w:val="bottom"/>
            <w:gridSpan w:val="2"/>
          </w:tcPr>
          <w:p>
            <w:pPr>
              <w:jc w:val="right"/>
              <w:ind w:right="23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301,865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175,957</w:t>
            </w:r>
          </w:p>
        </w:tc>
        <w:tc>
          <w:tcPr>
            <w:tcW w:w="140" w:type="dxa"/>
            <w:vAlign w:val="bottom"/>
          </w:tcPr>
          <w:p>
            <w:pPr>
              <w:spacing w:after="0"/>
              <w:rPr>
                <w:sz w:val="18"/>
                <w:szCs w:val="18"/>
                <w:color w:val="auto"/>
              </w:rPr>
            </w:pPr>
          </w:p>
        </w:tc>
        <w:tc>
          <w:tcPr>
            <w:tcW w:w="44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800,429</w:t>
            </w:r>
          </w:p>
        </w:tc>
        <w:tc>
          <w:tcPr>
            <w:tcW w:w="240" w:type="dxa"/>
            <w:vAlign w:val="bottom"/>
          </w:tcPr>
          <w:p>
            <w:pPr>
              <w:spacing w:after="0"/>
              <w:rPr>
                <w:sz w:val="18"/>
                <w:szCs w:val="18"/>
                <w:color w:val="auto"/>
              </w:rPr>
            </w:pPr>
          </w:p>
        </w:tc>
        <w:tc>
          <w:tcPr>
            <w:tcW w:w="580" w:type="dxa"/>
            <w:vAlign w:val="bottom"/>
            <w:gridSpan w:val="2"/>
          </w:tcPr>
          <w:p>
            <w:pPr>
              <w:jc w:val="right"/>
              <w:ind w:right="40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4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252,829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710,608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 revenues</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554,694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1,511,037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1,154,955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226,020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616,368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176,686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523,348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114,566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340,328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93,661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4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(70,043)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(14,896)</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(40,294)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(8,858)</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(3,230)</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(2,172)</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income of unconsolidated affiliate, net</w:t>
            </w:r>
          </w:p>
        </w:tc>
        <w:tc>
          <w:tcPr>
            <w:tcW w:w="4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(71,832)</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spacing w:after="0" w:line="194" w:lineRule="exact"/>
              <w:rPr>
                <w:sz w:val="20"/>
                <w:szCs w:val="20"/>
                <w:color w:val="auto"/>
              </w:rPr>
            </w:pPr>
            <w:r>
              <w:rPr>
                <w:rFonts w:ascii="Arial" w:cs="Arial" w:eastAsia="Arial" w:hAnsi="Arial"/>
                <w:sz w:val="18"/>
                <w:szCs w:val="18"/>
                <w:color w:val="auto"/>
              </w:rPr>
              <w:t>Less: net loss attributable to noncontrolling</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160"/>
              <w:spacing w:after="0"/>
              <w:rPr>
                <w:sz w:val="20"/>
                <w:szCs w:val="20"/>
                <w:color w:val="auto"/>
              </w:rPr>
            </w:pPr>
            <w:r>
              <w:rPr>
                <w:rFonts w:ascii="Arial" w:cs="Arial" w:eastAsia="Arial" w:hAnsi="Arial"/>
                <w:sz w:val="18"/>
                <w:szCs w:val="18"/>
                <w:color w:val="auto"/>
              </w:rPr>
              <w:t>interests, net of tax</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(1,694)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Viasat, Inc.</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Basic net loss per share attributable to Viasat, Inc.</w:t>
            </w: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160"/>
              <w:spacing w:after="0"/>
              <w:rPr>
                <w:sz w:val="20"/>
                <w:szCs w:val="20"/>
                <w:color w:val="auto"/>
              </w:rPr>
            </w:pPr>
            <w:r>
              <w:rPr>
                <w:rFonts w:ascii="Arial" w:cs="Arial" w:eastAsia="Arial" w:hAnsi="Arial"/>
                <w:sz w:val="18"/>
                <w:szCs w:val="18"/>
                <w:color w:val="auto"/>
              </w:rPr>
              <w:t>common stockholders</w:t>
            </w:r>
          </w:p>
        </w:tc>
        <w:tc>
          <w:tcPr>
            <w:tcW w:w="880" w:type="dxa"/>
            <w:vAlign w:val="bottom"/>
            <w:gridSpan w:val="2"/>
          </w:tcPr>
          <w:p>
            <w:pPr>
              <w:jc w:val="right"/>
              <w:ind w:right="236"/>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c>
          <w:tcPr>
            <w:tcW w:w="44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580" w:type="dxa"/>
            <w:vAlign w:val="bottom"/>
            <w:gridSpan w:val="2"/>
          </w:tcPr>
          <w:p>
            <w:pPr>
              <w:jc w:val="right"/>
              <w:ind w:right="406"/>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193"/>
        </w:trPr>
        <w:tc>
          <w:tcPr>
            <w:tcW w:w="45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Diluted net loss per share attributable to Viasat,</w:t>
            </w:r>
          </w:p>
        </w:tc>
        <w:tc>
          <w:tcPr>
            <w:tcW w:w="4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 common stockholders</w:t>
            </w:r>
          </w:p>
        </w:tc>
        <w:tc>
          <w:tcPr>
            <w:tcW w:w="880" w:type="dxa"/>
            <w:vAlign w:val="bottom"/>
            <w:gridSpan w:val="2"/>
            <w:shd w:val="clear" w:color="auto" w:fill="CFF0FC"/>
          </w:tcPr>
          <w:p>
            <w:pPr>
              <w:jc w:val="right"/>
              <w:ind w:right="236"/>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w:t>
            </w:r>
          </w:p>
        </w:tc>
        <w:tc>
          <w:tcPr>
            <w:tcW w:w="580" w:type="dxa"/>
            <w:vAlign w:val="bottom"/>
            <w:gridSpan w:val="2"/>
            <w:shd w:val="clear" w:color="auto" w:fill="CFF0FC"/>
          </w:tcPr>
          <w:p>
            <w:pPr>
              <w:jc w:val="right"/>
              <w:ind w:right="406"/>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Shares used in computing basic net loss per share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59,698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Shares used in computing diluted net loss</w:t>
            </w:r>
          </w:p>
        </w:tc>
        <w:tc>
          <w:tcPr>
            <w:tcW w:w="4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per share</w:t>
            </w: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FF0FC"/>
          </w:tcPr>
          <w:p>
            <w:pPr>
              <w:jc w:val="right"/>
              <w:ind w:right="236"/>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(10,737)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(25,621)</w:t>
            </w:r>
          </w:p>
        </w:tc>
        <w:tc>
          <w:tcPr>
            <w:tcW w:w="440" w:type="dxa"/>
            <w:vAlign w:val="bottom"/>
            <w:gridSpan w:val="2"/>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(71,832)</w:t>
            </w:r>
          </w:p>
        </w:tc>
        <w:tc>
          <w:tcPr>
            <w:tcW w:w="580" w:type="dxa"/>
            <w:vAlign w:val="bottom"/>
            <w:gridSpan w:val="2"/>
            <w:shd w:val="clear" w:color="auto" w:fill="CFF0FC"/>
          </w:tcPr>
          <w:p>
            <w:pPr>
              <w:jc w:val="right"/>
              <w:ind w:right="406"/>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(48,759)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hedging, net of tax</w:t>
            </w:r>
          </w:p>
        </w:tc>
        <w:tc>
          <w:tcPr>
            <w:tcW w:w="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tcPr>
          <w:p>
            <w:pPr>
              <w:ind w:left="260"/>
              <w:spacing w:after="0" w:line="194" w:lineRule="exact"/>
              <w:rPr>
                <w:sz w:val="20"/>
                <w:szCs w:val="20"/>
                <w:color w:val="auto"/>
              </w:rPr>
            </w:pPr>
            <w:r>
              <w:rPr>
                <w:rFonts w:ascii="Arial" w:cs="Arial" w:eastAsia="Arial" w:hAnsi="Arial"/>
                <w:sz w:val="18"/>
                <w:szCs w:val="18"/>
                <w:color w:val="auto"/>
              </w:rPr>
              <w:t>Foreign currency translation adjustments, net</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400"/>
              <w:spacing w:after="0"/>
              <w:rPr>
                <w:sz w:val="20"/>
                <w:szCs w:val="20"/>
                <w:color w:val="auto"/>
              </w:rPr>
            </w:pPr>
            <w:r>
              <w:rPr>
                <w:rFonts w:ascii="Arial" w:cs="Arial" w:eastAsia="Arial" w:hAnsi="Arial"/>
                <w:sz w:val="18"/>
                <w:szCs w:val="18"/>
                <w:color w:val="auto"/>
              </w:rPr>
              <w:t>of tax</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(1,279)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(8,180)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4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Comprehensive loss</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Less: comprehensive loss attributable to</w:t>
            </w:r>
          </w:p>
        </w:tc>
        <w:tc>
          <w:tcPr>
            <w:tcW w:w="4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noncontrolling interests, net of tax</w:t>
            </w: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(1,694)</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Comprehensive loss attributable to Viasat, Inc.</w:t>
            </w:r>
          </w:p>
        </w:tc>
        <w:tc>
          <w:tcPr>
            <w:tcW w:w="4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(11,733)</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40" w:type="dxa"/>
            <w:vAlign w:val="bottom"/>
            <w:gridSpan w:val="5"/>
          </w:tcPr>
          <w:p>
            <w:pPr>
              <w:jc w:val="right"/>
              <w:ind w:right="152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6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940" w:type="dxa"/>
            <w:vAlign w:val="bottom"/>
            <w:tcBorders>
              <w:top w:val="single" w:sz="8" w:color="auto"/>
              <w:bottom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December 31, 2018</w:t>
            </w:r>
          </w:p>
        </w:tc>
        <w:tc>
          <w:tcPr>
            <w:tcW w:w="3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w w:val="95"/>
              </w:rPr>
              <w:t>December 31, 2017</w:t>
            </w:r>
          </w:p>
        </w:tc>
        <w:tc>
          <w:tcPr>
            <w:tcW w:w="120" w:type="dxa"/>
            <w:vAlign w:val="bottom"/>
          </w:tcPr>
          <w:p>
            <w:pPr>
              <w:spacing w:after="0"/>
              <w:rPr>
                <w:sz w:val="13"/>
                <w:szCs w:val="13"/>
                <w:color w:val="auto"/>
              </w:rPr>
            </w:pPr>
          </w:p>
        </w:tc>
      </w:tr>
      <w:tr>
        <w:trPr>
          <w:trHeight w:val="156"/>
        </w:trPr>
        <w:tc>
          <w:tcPr>
            <w:tcW w:w="6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(71,832)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(48,759)</w:t>
            </w:r>
          </w:p>
        </w:tc>
      </w:tr>
      <w:tr>
        <w:trPr>
          <w:trHeight w:val="182"/>
        </w:trPr>
        <w:tc>
          <w:tcPr>
            <w:tcW w:w="64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Adjustments to reconcile net loss to net cash provided by operating</w:t>
            </w: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9"/>
        </w:trPr>
        <w:tc>
          <w:tcPr>
            <w:tcW w:w="64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activities:</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42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195,562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153,211</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42,543</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33,165</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(37,137)</w:t>
            </w:r>
          </w:p>
        </w:tc>
        <w:tc>
          <w:tcPr>
            <w:tcW w:w="3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(19,940)</w:t>
            </w:r>
          </w:p>
        </w:tc>
      </w:tr>
      <w:tr>
        <w:trPr>
          <w:trHeight w:val="203"/>
        </w:trPr>
        <w:tc>
          <w:tcPr>
            <w:tcW w:w="6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 expense</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58,658</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49,132</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500"/>
              <w:spacing w:after="0"/>
              <w:rPr>
                <w:sz w:val="20"/>
                <w:szCs w:val="20"/>
                <w:color w:val="auto"/>
              </w:rPr>
            </w:pPr>
            <w:r>
              <w:rPr>
                <w:rFonts w:ascii="Arial" w:cs="Arial" w:eastAsia="Arial" w:hAnsi="Arial"/>
                <w:sz w:val="16"/>
                <w:szCs w:val="16"/>
                <w:color w:val="auto"/>
              </w:rPr>
              <w:t>Loss on disposition of fixed assets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38,374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25,768</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10,217</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500"/>
              <w:spacing w:after="0"/>
              <w:rPr>
                <w:sz w:val="20"/>
                <w:szCs w:val="20"/>
                <w:color w:val="auto"/>
              </w:rPr>
            </w:pPr>
            <w:r>
              <w:rPr>
                <w:rFonts w:ascii="Arial" w:cs="Arial" w:eastAsia="Arial" w:hAnsi="Arial"/>
                <w:sz w:val="16"/>
                <w:szCs w:val="16"/>
                <w:color w:val="auto"/>
              </w:rPr>
              <w:t>Other non-cash adjustments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9,229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4,685</w:t>
            </w:r>
          </w:p>
        </w:tc>
        <w:tc>
          <w:tcPr>
            <w:tcW w:w="120" w:type="dxa"/>
            <w:vAlign w:val="bottom"/>
          </w:tcPr>
          <w:p>
            <w:pPr>
              <w:spacing w:after="0"/>
              <w:rPr>
                <w:sz w:val="17"/>
                <w:szCs w:val="17"/>
                <w:color w:val="auto"/>
              </w:rPr>
            </w:pPr>
          </w:p>
        </w:tc>
      </w:tr>
      <w:tr>
        <w:trPr>
          <w:trHeight w:val="184"/>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(decrease) in cash resulting from changes in operating assets</w:t>
            </w: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7"/>
        </w:trPr>
        <w:tc>
          <w:tcPr>
            <w:tcW w:w="64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liabilities, net of effect of acquisition:</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4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(38,909)</w:t>
            </w: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29,626</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(32,250)</w:t>
            </w:r>
          </w:p>
        </w:tc>
        <w:tc>
          <w:tcPr>
            <w:tcW w:w="3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(24,148)</w:t>
            </w:r>
          </w:p>
        </w:tc>
      </w:tr>
      <w:tr>
        <w:trPr>
          <w:trHeight w:val="203"/>
        </w:trPr>
        <w:tc>
          <w:tcPr>
            <w:tcW w:w="642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(15,430)</w:t>
            </w:r>
          </w:p>
        </w:tc>
        <w:tc>
          <w:tcPr>
            <w:tcW w:w="3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(24,938)</w:t>
            </w:r>
          </w:p>
        </w:tc>
      </w:tr>
      <w:tr>
        <w:trPr>
          <w:trHeight w:val="203"/>
        </w:trPr>
        <w:tc>
          <w:tcPr>
            <w:tcW w:w="6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4,234</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5,804</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52,534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16,965</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liabilities</w:t>
            </w:r>
          </w:p>
        </w:tc>
        <w:tc>
          <w:tcPr>
            <w:tcW w:w="8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9,085</w:t>
            </w:r>
          </w:p>
        </w:tc>
        <w:tc>
          <w:tcPr>
            <w:tcW w:w="2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71,807</w:t>
            </w:r>
          </w:p>
        </w:tc>
        <w:tc>
          <w:tcPr>
            <w:tcW w:w="120" w:type="dxa"/>
            <w:vAlign w:val="bottom"/>
            <w:shd w:val="clear" w:color="auto" w:fill="CFF0FC"/>
          </w:tcPr>
          <w:p>
            <w:pPr>
              <w:spacing w:after="0"/>
              <w:rPr>
                <w:sz w:val="17"/>
                <w:szCs w:val="17"/>
                <w:color w:val="auto"/>
              </w:rPr>
            </w:pPr>
          </w:p>
        </w:tc>
      </w:tr>
      <w:tr>
        <w:trPr>
          <w:trHeight w:val="196"/>
        </w:trPr>
        <w:tc>
          <w:tcPr>
            <w:tcW w:w="6420" w:type="dxa"/>
            <w:vAlign w:val="bottom"/>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214,661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282,595</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260"/>
              <w:spacing w:after="0"/>
              <w:rPr>
                <w:sz w:val="20"/>
                <w:szCs w:val="20"/>
                <w:color w:val="auto"/>
              </w:rPr>
            </w:pPr>
            <w:r>
              <w:rPr>
                <w:rFonts w:ascii="Arial" w:cs="Arial" w:eastAsia="Arial" w:hAnsi="Arial"/>
                <w:sz w:val="16"/>
                <w:szCs w:val="16"/>
                <w:color w:val="auto"/>
              </w:rPr>
              <w:t>Purchase of property, equipment and satellites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(491,839)</w:t>
            </w:r>
          </w:p>
        </w:tc>
        <w:tc>
          <w:tcPr>
            <w:tcW w:w="3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(354,362)</w:t>
            </w: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patents, licenses and other assets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(32,500)</w:t>
            </w:r>
          </w:p>
        </w:tc>
        <w:tc>
          <w:tcPr>
            <w:tcW w:w="3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(55,249)</w:t>
            </w:r>
          </w:p>
        </w:tc>
      </w:tr>
      <w:tr>
        <w:trPr>
          <w:trHeight w:val="203"/>
        </w:trPr>
        <w:tc>
          <w:tcPr>
            <w:tcW w:w="6420" w:type="dxa"/>
            <w:vAlign w:val="bottom"/>
          </w:tcPr>
          <w:p>
            <w:pPr>
              <w:ind w:left="260"/>
              <w:spacing w:after="0"/>
              <w:rPr>
                <w:sz w:val="20"/>
                <w:szCs w:val="20"/>
                <w:color w:val="auto"/>
              </w:rPr>
            </w:pPr>
            <w:r>
              <w:rPr>
                <w:rFonts w:ascii="Arial" w:cs="Arial" w:eastAsia="Arial" w:hAnsi="Arial"/>
                <w:sz w:val="16"/>
                <w:szCs w:val="16"/>
                <w:color w:val="auto"/>
              </w:rPr>
              <w:t>Proceeds from insurance claims on ViaSat-2 satellite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172,206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 of real property</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14,034</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tcPr>
          <w:p>
            <w:pPr>
              <w:ind w:left="260"/>
              <w:spacing w:after="0"/>
              <w:rPr>
                <w:sz w:val="20"/>
                <w:szCs w:val="20"/>
                <w:color w:val="auto"/>
              </w:rPr>
            </w:pPr>
            <w:r>
              <w:rPr>
                <w:rFonts w:ascii="Arial" w:cs="Arial" w:eastAsia="Arial" w:hAnsi="Arial"/>
                <w:sz w:val="16"/>
                <w:szCs w:val="16"/>
                <w:color w:val="auto"/>
              </w:rPr>
              <w:t>Other investing activities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(2,339)</w:t>
            </w:r>
          </w:p>
        </w:tc>
        <w:tc>
          <w:tcPr>
            <w:tcW w:w="320" w:type="dxa"/>
            <w:vAlign w:val="bottom"/>
          </w:tcPr>
          <w:p>
            <w:pPr>
              <w:spacing w:after="0"/>
              <w:rPr>
                <w:sz w:val="17"/>
                <w:szCs w:val="17"/>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6"/>
        </w:trPr>
        <w:tc>
          <w:tcPr>
            <w:tcW w:w="64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(340,438)</w:t>
            </w:r>
          </w:p>
        </w:tc>
        <w:tc>
          <w:tcPr>
            <w:tcW w:w="2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(409,611)</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revolving credit facility borrowings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465,000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tcPr>
          <w:p>
            <w:pPr>
              <w:ind w:left="260"/>
              <w:spacing w:after="0"/>
              <w:rPr>
                <w:sz w:val="20"/>
                <w:szCs w:val="20"/>
                <w:color w:val="auto"/>
              </w:rPr>
            </w:pPr>
            <w:r>
              <w:rPr>
                <w:rFonts w:ascii="Arial" w:cs="Arial" w:eastAsia="Arial" w:hAnsi="Arial"/>
                <w:sz w:val="16"/>
                <w:szCs w:val="16"/>
                <w:color w:val="auto"/>
              </w:rPr>
              <w:t>Payments of revolving credit facility borrowings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(140,000)</w:t>
            </w:r>
          </w:p>
        </w:tc>
        <w:tc>
          <w:tcPr>
            <w:tcW w:w="320" w:type="dxa"/>
            <w:vAlign w:val="bottom"/>
          </w:tcPr>
          <w:p>
            <w:pPr>
              <w:spacing w:after="0"/>
              <w:rPr>
                <w:sz w:val="17"/>
                <w:szCs w:val="17"/>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Ex-Im credit facility borrowings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(210,115)</w:t>
            </w:r>
          </w:p>
        </w:tc>
        <w:tc>
          <w:tcPr>
            <w:tcW w:w="3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tcPr>
          <w:p>
            <w:pPr>
              <w:ind w:left="260"/>
              <w:spacing w:after="0"/>
              <w:rPr>
                <w:sz w:val="20"/>
                <w:szCs w:val="20"/>
                <w:color w:val="auto"/>
              </w:rPr>
            </w:pPr>
            <w:r>
              <w:rPr>
                <w:rFonts w:ascii="Arial" w:cs="Arial" w:eastAsia="Arial" w:hAnsi="Arial"/>
                <w:sz w:val="16"/>
                <w:szCs w:val="16"/>
                <w:color w:val="auto"/>
              </w:rPr>
              <w:t>Proceeds from Ex-Im credit facility borrowings, net of discount</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52,503</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2025 Notes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700,000</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260"/>
              <w:spacing w:after="0"/>
              <w:rPr>
                <w:sz w:val="20"/>
                <w:szCs w:val="20"/>
                <w:color w:val="auto"/>
              </w:rPr>
            </w:pPr>
            <w:r>
              <w:rPr>
                <w:rFonts w:ascii="Arial" w:cs="Arial" w:eastAsia="Arial" w:hAnsi="Arial"/>
                <w:sz w:val="16"/>
                <w:szCs w:val="16"/>
                <w:color w:val="auto"/>
              </w:rPr>
              <w:t>Repayment of 2020 Notes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(575,000)</w:t>
            </w: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debt extinguishment costs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(10,602)</w:t>
            </w:r>
          </w:p>
        </w:tc>
      </w:tr>
      <w:tr>
        <w:trPr>
          <w:trHeight w:val="203"/>
        </w:trPr>
        <w:tc>
          <w:tcPr>
            <w:tcW w:w="6420" w:type="dxa"/>
            <w:vAlign w:val="bottom"/>
          </w:tcPr>
          <w:p>
            <w:pPr>
              <w:ind w:left="260"/>
              <w:spacing w:after="0"/>
              <w:rPr>
                <w:sz w:val="20"/>
                <w:szCs w:val="20"/>
                <w:color w:val="auto"/>
              </w:rPr>
            </w:pPr>
            <w:r>
              <w:rPr>
                <w:rFonts w:ascii="Arial" w:cs="Arial" w:eastAsia="Arial" w:hAnsi="Arial"/>
                <w:sz w:val="16"/>
                <w:szCs w:val="16"/>
                <w:color w:val="auto"/>
              </w:rPr>
              <w:t>Payment of debt issuance costs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(9,759)</w:t>
            </w: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common stock under equity plans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23,595</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25,732</w:t>
            </w:r>
          </w:p>
        </w:tc>
        <w:tc>
          <w:tcPr>
            <w:tcW w:w="120" w:type="dxa"/>
            <w:vAlign w:val="bottom"/>
            <w:shd w:val="clear" w:color="auto" w:fill="CFF0FC"/>
          </w:tcPr>
          <w:p>
            <w:pPr>
              <w:spacing w:after="0"/>
              <w:rPr>
                <w:sz w:val="17"/>
                <w:szCs w:val="17"/>
                <w:color w:val="auto"/>
              </w:rPr>
            </w:pPr>
          </w:p>
        </w:tc>
      </w:tr>
      <w:tr>
        <w:trPr>
          <w:trHeight w:val="184"/>
        </w:trPr>
        <w:tc>
          <w:tcPr>
            <w:tcW w:w="6420" w:type="dxa"/>
            <w:vAlign w:val="bottom"/>
          </w:tcPr>
          <w:p>
            <w:pPr>
              <w:ind w:left="260"/>
              <w:spacing w:after="0"/>
              <w:rPr>
                <w:sz w:val="20"/>
                <w:szCs w:val="20"/>
                <w:color w:val="auto"/>
              </w:rPr>
            </w:pPr>
            <w:r>
              <w:rPr>
                <w:rFonts w:ascii="Arial" w:cs="Arial" w:eastAsia="Arial" w:hAnsi="Arial"/>
                <w:sz w:val="16"/>
                <w:szCs w:val="16"/>
                <w:color w:val="auto"/>
              </w:rPr>
              <w:t>Purchase of common stock in treasury (immediately retired) related to tax</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6420" w:type="dxa"/>
            <w:vAlign w:val="bottom"/>
          </w:tcPr>
          <w:p>
            <w:pPr>
              <w:ind w:left="380"/>
              <w:spacing w:after="0"/>
              <w:rPr>
                <w:sz w:val="20"/>
                <w:szCs w:val="20"/>
                <w:color w:val="auto"/>
              </w:rPr>
            </w:pPr>
            <w:r>
              <w:rPr>
                <w:rFonts w:ascii="Arial" w:cs="Arial" w:eastAsia="Arial" w:hAnsi="Arial"/>
                <w:sz w:val="16"/>
                <w:szCs w:val="16"/>
                <w:color w:val="auto"/>
              </w:rPr>
              <w:t>withholdings for share-based awards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(28,108)</w:t>
            </w:r>
          </w:p>
        </w:tc>
        <w:tc>
          <w:tcPr>
            <w:tcW w:w="3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(23,663)</w:t>
            </w: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financing activities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(9,735)</w:t>
            </w:r>
          </w:p>
        </w:tc>
        <w:tc>
          <w:tcPr>
            <w:tcW w:w="3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(1,267)</w:t>
            </w:r>
          </w:p>
        </w:tc>
      </w:tr>
      <w:tr>
        <w:trPr>
          <w:trHeight w:val="196"/>
        </w:trPr>
        <w:tc>
          <w:tcPr>
            <w:tcW w:w="6420" w:type="dxa"/>
            <w:vAlign w:val="bottom"/>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8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100,637</w:t>
            </w: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157,944</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(2,941)</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FF0FC"/>
          </w:tcPr>
          <w:p>
            <w:pPr>
              <w:spacing w:after="0"/>
              <w:rPr>
                <w:sz w:val="17"/>
                <w:szCs w:val="17"/>
                <w:color w:val="auto"/>
              </w:rPr>
            </w:pPr>
          </w:p>
        </w:tc>
      </w:tr>
      <w:tr>
        <w:trPr>
          <w:trHeight w:val="196"/>
        </w:trPr>
        <w:tc>
          <w:tcPr>
            <w:tcW w:w="642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8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(28,081)</w:t>
            </w: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31,723</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8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71,446</w:t>
            </w:r>
          </w:p>
        </w:tc>
        <w:tc>
          <w:tcPr>
            <w:tcW w:w="28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130,098</w:t>
            </w:r>
          </w:p>
        </w:tc>
        <w:tc>
          <w:tcPr>
            <w:tcW w:w="120" w:type="dxa"/>
            <w:vAlign w:val="bottom"/>
            <w:shd w:val="clear" w:color="auto" w:fill="CFF0FC"/>
          </w:tcPr>
          <w:p>
            <w:pPr>
              <w:spacing w:after="0"/>
              <w:rPr>
                <w:sz w:val="17"/>
                <w:szCs w:val="17"/>
                <w:color w:val="auto"/>
              </w:rPr>
            </w:pPr>
          </w:p>
        </w:tc>
      </w:tr>
      <w:tr>
        <w:trPr>
          <w:trHeight w:val="236"/>
        </w:trPr>
        <w:tc>
          <w:tcPr>
            <w:tcW w:w="6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8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43,365</w:t>
            </w:r>
          </w:p>
        </w:tc>
        <w:tc>
          <w:tcPr>
            <w:tcW w:w="2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161,821</w:t>
            </w:r>
          </w:p>
        </w:tc>
        <w:tc>
          <w:tcPr>
            <w:tcW w:w="120" w:type="dxa"/>
            <w:vAlign w:val="bottom"/>
            <w:tcBorders>
              <w:bottom w:val="single" w:sz="8" w:color="CFF0FC"/>
            </w:tcBorders>
          </w:tcPr>
          <w:p>
            <w:pPr>
              <w:spacing w:after="0"/>
              <w:rPr>
                <w:sz w:val="20"/>
                <w:szCs w:val="20"/>
                <w:color w:val="auto"/>
              </w:rPr>
            </w:pPr>
          </w:p>
        </w:tc>
      </w:tr>
      <w:tr>
        <w:trPr>
          <w:trHeight w:val="183"/>
        </w:trPr>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4"/>
        </w:trPr>
        <w:tc>
          <w:tcPr>
            <w:tcW w:w="6420" w:type="dxa"/>
            <w:vAlign w:val="bottom"/>
          </w:tcPr>
          <w:p>
            <w:pPr>
              <w:ind w:left="260"/>
              <w:spacing w:after="0"/>
              <w:rPr>
                <w:sz w:val="20"/>
                <w:szCs w:val="20"/>
                <w:color w:val="auto"/>
              </w:rPr>
            </w:pPr>
            <w:r>
              <w:rPr>
                <w:rFonts w:ascii="Arial" w:cs="Arial" w:eastAsia="Arial" w:hAnsi="Arial"/>
                <w:sz w:val="16"/>
                <w:szCs w:val="16"/>
                <w:color w:val="auto"/>
              </w:rPr>
              <w:t>Issuance of common stock in satisfaction of certain accrued employee</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6420" w:type="dxa"/>
            <w:vAlign w:val="bottom"/>
          </w:tcPr>
          <w:p>
            <w:pPr>
              <w:ind w:left="380"/>
              <w:spacing w:after="0"/>
              <w:rPr>
                <w:sz w:val="20"/>
                <w:szCs w:val="20"/>
                <w:color w:val="auto"/>
              </w:rPr>
            </w:pPr>
            <w:r>
              <w:rPr>
                <w:rFonts w:ascii="Arial" w:cs="Arial" w:eastAsia="Arial" w:hAnsi="Arial"/>
                <w:sz w:val="16"/>
                <w:szCs w:val="16"/>
                <w:color w:val="auto"/>
              </w:rPr>
              <w:t>compensation liabilities</w:t>
            </w:r>
          </w:p>
        </w:tc>
        <w:tc>
          <w:tcPr>
            <w:tcW w:w="10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32,129</w:t>
            </w:r>
          </w:p>
        </w:tc>
        <w:tc>
          <w:tcPr>
            <w:tcW w:w="2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16,409</w:t>
            </w:r>
          </w:p>
        </w:tc>
        <w:tc>
          <w:tcPr>
            <w:tcW w:w="120" w:type="dxa"/>
            <w:vAlign w:val="bottom"/>
          </w:tcPr>
          <w:p>
            <w:pPr>
              <w:spacing w:after="0"/>
              <w:rPr>
                <w:sz w:val="18"/>
                <w:szCs w:val="18"/>
                <w:color w:val="auto"/>
              </w:rPr>
            </w:pPr>
          </w:p>
        </w:tc>
      </w:tr>
      <w:tr>
        <w:trPr>
          <w:trHeight w:val="203"/>
        </w:trPr>
        <w:tc>
          <w:tcPr>
            <w:tcW w:w="6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expenditures not paid for</w:t>
            </w:r>
          </w:p>
        </w:tc>
        <w:tc>
          <w:tcPr>
            <w:tcW w:w="10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34,237</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27,086</w:t>
            </w:r>
          </w:p>
        </w:tc>
        <w:tc>
          <w:tcPr>
            <w:tcW w:w="120" w:type="dxa"/>
            <w:vAlign w:val="bottom"/>
            <w:shd w:val="clear" w:color="auto" w:fill="CFF0FC"/>
          </w:tcPr>
          <w:p>
            <w:pPr>
              <w:spacing w:after="0"/>
              <w:rPr>
                <w:sz w:val="17"/>
                <w:szCs w:val="17"/>
                <w:color w:val="auto"/>
              </w:rPr>
            </w:pPr>
          </w:p>
        </w:tc>
      </w:tr>
      <w:tr>
        <w:trPr>
          <w:trHeight w:val="219"/>
        </w:trPr>
        <w:tc>
          <w:tcPr>
            <w:tcW w:w="6420" w:type="dxa"/>
            <w:vAlign w:val="bottom"/>
          </w:tcPr>
          <w:p>
            <w:pPr>
              <w:ind w:left="260"/>
              <w:spacing w:after="0"/>
              <w:rPr>
                <w:sz w:val="20"/>
                <w:szCs w:val="20"/>
                <w:color w:val="auto"/>
              </w:rPr>
            </w:pPr>
            <w:r>
              <w:rPr>
                <w:rFonts w:ascii="Arial" w:cs="Arial" w:eastAsia="Arial" w:hAnsi="Arial"/>
                <w:sz w:val="16"/>
                <w:szCs w:val="16"/>
                <w:color w:val="auto"/>
              </w:rPr>
              <w:t>Exposure fees on Ex-Im credit facility financed through Ex-Im credit facility</w:t>
            </w:r>
          </w:p>
        </w:tc>
        <w:tc>
          <w:tcPr>
            <w:tcW w:w="10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5,764</w:t>
            </w:r>
          </w:p>
        </w:tc>
        <w:tc>
          <w:tcPr>
            <w:tcW w:w="120" w:type="dxa"/>
            <w:vAlign w:val="bottom"/>
          </w:tcPr>
          <w:p>
            <w:pPr>
              <w:spacing w:after="0"/>
              <w:rPr>
                <w:sz w:val="19"/>
                <w:szCs w:val="19"/>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4"/>
                <w:szCs w:val="14"/>
                <w:b w:val="1"/>
                <w:bCs w:val="1"/>
                <w:color w:val="auto"/>
              </w:rPr>
              <w:t>Viasat, Inc. Stockholders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 in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40" w:type="dxa"/>
            <w:vAlign w:val="bottom"/>
            <w:tcBorders>
              <w:top w:val="single" w:sz="8" w:color="auto"/>
            </w:tcBorders>
            <w:gridSpan w:val="8"/>
          </w:tcPr>
          <w:p>
            <w:pPr>
              <w:jc w:val="right"/>
              <w:ind w:right="600"/>
              <w:spacing w:after="0"/>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58,905,274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$ 1,535,635</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$ 285,960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$ 1,848,007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225,000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Issuance of stock under Employee Stock</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67,109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Shares and fully-vested RSUs issued in</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 of</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certain accrued employee compensation</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liabilities, net</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of shares withheld for taxes which have</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been retired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00" w:type="dxa"/>
            <w:vAlign w:val="bottom"/>
          </w:tcPr>
          <w:p>
            <w:pPr>
              <w:spacing w:after="0" w:line="194" w:lineRule="exact"/>
              <w:rPr>
                <w:sz w:val="20"/>
                <w:szCs w:val="20"/>
                <w:color w:val="auto"/>
              </w:rPr>
            </w:pPr>
            <w:r>
              <w:rPr>
                <w:rFonts w:ascii="Arial" w:cs="Arial" w:eastAsia="Arial" w:hAnsi="Arial"/>
                <w:sz w:val="18"/>
                <w:szCs w:val="18"/>
                <w:color w:val="auto"/>
              </w:rPr>
              <w:t>RSU awards vesting, net of shares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withheld for taxes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160"/>
              <w:spacing w:after="0"/>
              <w:rPr>
                <w:sz w:val="20"/>
                <w:szCs w:val="20"/>
                <w:color w:val="auto"/>
              </w:rPr>
            </w:pPr>
            <w:r>
              <w:rPr>
                <w:rFonts w:ascii="Arial" w:cs="Arial" w:eastAsia="Arial" w:hAnsi="Arial"/>
                <w:sz w:val="18"/>
                <w:szCs w:val="18"/>
                <w:color w:val="auto"/>
              </w:rPr>
              <w:t>which have been retired</w:t>
            </w:r>
          </w:p>
        </w:tc>
        <w:tc>
          <w:tcPr>
            <w:tcW w:w="1040" w:type="dxa"/>
            <w:vAlign w:val="bottom"/>
          </w:tcPr>
          <w:p>
            <w:pPr>
              <w:jc w:val="right"/>
              <w:spacing w:after="0"/>
              <w:rPr>
                <w:sz w:val="20"/>
                <w:szCs w:val="20"/>
                <w:color w:val="auto"/>
              </w:rPr>
            </w:pPr>
            <w:r>
              <w:rPr>
                <w:rFonts w:ascii="Arial" w:cs="Arial" w:eastAsia="Arial" w:hAnsi="Arial"/>
                <w:sz w:val="18"/>
                <w:szCs w:val="18"/>
                <w:color w:val="auto"/>
              </w:rPr>
              <w:t>622,532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(23,680)</w:t>
            </w:r>
          </w:p>
        </w:tc>
        <w:tc>
          <w:tcPr>
            <w:tcW w:w="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(23,680)</w:t>
            </w:r>
          </w:p>
        </w:tc>
        <w:tc>
          <w:tcPr>
            <w:tcW w:w="0" w:type="dxa"/>
            <w:vAlign w:val="bottom"/>
          </w:tcPr>
          <w:p>
            <w:pPr>
              <w:spacing w:after="0"/>
              <w:rPr>
                <w:sz w:val="1"/>
                <w:szCs w:val="1"/>
                <w:color w:val="auto"/>
              </w:rPr>
            </w:pPr>
          </w:p>
        </w:tc>
      </w:tr>
      <w:tr>
        <w:trPr>
          <w:trHeight w:val="193"/>
        </w:trPr>
        <w:tc>
          <w:tcPr>
            <w:tcW w:w="35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Cumulative effect adjustment upon</w:t>
            </w: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adoption of new</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revenue recognition guidance (ASU</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2014-09)</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27,248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noncontrolling interest activity</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(70,138)</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(1,694)</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(71,832)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(8,518)</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210"/>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60,480,263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$ 1,630,441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$ 243,070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$ 1,886,046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7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accompanying condensed consolidated balance sheet at December 31, 2018, the condensed consolidated statements of operations and comprehensive income (loss) for the three and nine months ended December 31, 2018 and 2017, the condensed consolidated statements of cash flows for the nine months ended December 31, 2018 and 2017 and the condensed consolidated statement of equity for the nine months ended December 31, 2018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2018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2018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During the third quarter of fiscal year 2019, Euro Broadband Retail Sàrl (Euro Broadband Retail), which was previously a majority-owned subsidiary, became a wholly owned subsidiary when the Company purchased the remaining 49% interest in Euro Broadband Retail for an insignificant amount.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25"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3"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Effective April 1, 2018, the Company adopted Accounting Standards Update (ASU) 2014-09, Revenue from Contracts with Customers (commonly referred to as Accounting Standards Codification (ASC) 606). This update established ASC 606, Revenue from Contracts with Customers and ASC 340-40, Other Assets and Deferred Costs – Contracts with Customers.</w:t>
      </w:r>
    </w:p>
    <w:p>
      <w:pPr>
        <w:spacing w:after="0" w:line="151" w:lineRule="exact"/>
        <w:rPr>
          <w:sz w:val="20"/>
          <w:szCs w:val="20"/>
          <w:color w:val="auto"/>
        </w:rPr>
      </w:pPr>
    </w:p>
    <w:p>
      <w:pPr>
        <w:ind w:right="40" w:firstLine="518"/>
        <w:spacing w:after="0" w:line="245" w:lineRule="auto"/>
        <w:rPr>
          <w:sz w:val="20"/>
          <w:szCs w:val="20"/>
          <w:color w:val="auto"/>
        </w:rPr>
      </w:pPr>
      <w:r>
        <w:rPr>
          <w:rFonts w:ascii="Arial" w:cs="Arial" w:eastAsia="Arial" w:hAnsi="Arial"/>
          <w:sz w:val="18"/>
          <w:szCs w:val="18"/>
          <w:color w:val="auto"/>
        </w:rPr>
        <w:t>In order to assess the impact of the new accounting standards, the Company applied the new standards to all open contracts existing as of April 1, 2018. The Company elected the practical expedient to reflect the aggregate effect of all contract modifications occurring before April 1, 2018 when identifying the satisfied and unsatisfied performance obligations, determining the transaction price and allocating the transaction price to the satisfied and unsatisfied performance obligations. The aggregated effect of applying this practical expedient did not have a significant impact on the Company’s conclusions.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17"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560" w:firstLine="518"/>
        <w:spacing w:after="0" w:line="255" w:lineRule="auto"/>
        <w:rPr>
          <w:sz w:val="20"/>
          <w:szCs w:val="20"/>
          <w:color w:val="auto"/>
        </w:rPr>
      </w:pPr>
      <w:r>
        <w:rPr>
          <w:rFonts w:ascii="Arial" w:cs="Arial" w:eastAsia="Arial" w:hAnsi="Arial"/>
          <w:sz w:val="18"/>
          <w:szCs w:val="18"/>
          <w:color w:val="auto"/>
        </w:rPr>
        <w:t>To reflect the adoption of the new standards, the Company and its equity method investment investee elected to use the “modified retrospective method,” which resulted in the Company recording the retrospective cumulative effect to the opening balance of retained earnings. The following table presents the summary of the impact of adopting the new standards: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336"/>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w:t>
            </w:r>
          </w:p>
        </w:tc>
      </w:tr>
      <w:tr>
        <w:trPr>
          <w:trHeight w:val="162"/>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336"/>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660" w:type="dxa"/>
            <w:vAlign w:val="bottom"/>
          </w:tcPr>
          <w:p>
            <w:pPr>
              <w:jc w:val="center"/>
              <w:ind w:right="176"/>
              <w:spacing w:after="0"/>
              <w:rPr>
                <w:sz w:val="20"/>
                <w:szCs w:val="20"/>
                <w:color w:val="auto"/>
              </w:rPr>
            </w:pPr>
            <w:r>
              <w:rPr>
                <w:rFonts w:ascii="Arial" w:cs="Arial" w:eastAsia="Arial" w:hAnsi="Arial"/>
                <w:sz w:val="14"/>
                <w:szCs w:val="14"/>
                <w:b w:val="1"/>
                <w:bCs w:val="1"/>
                <w:color w:val="auto"/>
              </w:rPr>
              <w:t>Adjustments Due to</w:t>
            </w:r>
          </w:p>
        </w:tc>
        <w:tc>
          <w:tcPr>
            <w:tcW w:w="42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April 1,</w:t>
            </w:r>
          </w:p>
        </w:tc>
      </w:tr>
      <w:tr>
        <w:trPr>
          <w:trHeight w:val="177"/>
        </w:trPr>
        <w:tc>
          <w:tcPr>
            <w:tcW w:w="4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ASC 606</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right="176"/>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267,665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(5,664)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262,001</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196,307</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1,623</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197,930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77,135</w:t>
            </w:r>
          </w:p>
        </w:tc>
        <w:tc>
          <w:tcPr>
            <w:tcW w:w="240" w:type="dxa"/>
            <w:vAlign w:val="bottom"/>
          </w:tcPr>
          <w:p>
            <w:pPr>
              <w:spacing w:after="0"/>
              <w:rPr>
                <w:sz w:val="18"/>
                <w:szCs w:val="18"/>
                <w:color w:val="auto"/>
              </w:rPr>
            </w:pPr>
          </w:p>
        </w:tc>
        <w:tc>
          <w:tcPr>
            <w:tcW w:w="1660" w:type="dxa"/>
            <w:vAlign w:val="bottom"/>
          </w:tcPr>
          <w:p>
            <w:pPr>
              <w:jc w:val="right"/>
              <w:ind w:right="96"/>
              <w:spacing w:after="0"/>
              <w:rPr>
                <w:sz w:val="20"/>
                <w:szCs w:val="20"/>
                <w:color w:val="auto"/>
              </w:rPr>
            </w:pPr>
            <w:r>
              <w:rPr>
                <w:rFonts w:ascii="Arial" w:cs="Arial" w:eastAsia="Arial" w:hAnsi="Arial"/>
                <w:sz w:val="18"/>
                <w:szCs w:val="18"/>
                <w:color w:val="auto"/>
              </w:rPr>
              <w:t>18,098</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95,233</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686,134</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19,107</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705,241</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263,676</w:t>
            </w:r>
          </w:p>
        </w:tc>
        <w:tc>
          <w:tcPr>
            <w:tcW w:w="240" w:type="dxa"/>
            <w:vAlign w:val="bottom"/>
          </w:tcPr>
          <w:p>
            <w:pPr>
              <w:spacing w:after="0"/>
              <w:rPr>
                <w:sz w:val="18"/>
                <w:szCs w:val="18"/>
                <w:color w:val="auto"/>
              </w:rPr>
            </w:pPr>
          </w:p>
        </w:tc>
        <w:tc>
          <w:tcPr>
            <w:tcW w:w="1660" w:type="dxa"/>
            <w:vAlign w:val="bottom"/>
          </w:tcPr>
          <w:p>
            <w:pPr>
              <w:jc w:val="right"/>
              <w:ind w:right="96"/>
              <w:spacing w:after="0"/>
              <w:rPr>
                <w:sz w:val="20"/>
                <w:szCs w:val="20"/>
                <w:color w:val="auto"/>
              </w:rPr>
            </w:pPr>
            <w:r>
              <w:rPr>
                <w:rFonts w:ascii="Arial" w:cs="Arial" w:eastAsia="Arial" w:hAnsi="Arial"/>
                <w:sz w:val="18"/>
                <w:szCs w:val="18"/>
                <w:color w:val="auto"/>
              </w:rPr>
              <w:t>5,916</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269,592</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285,960</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27,248</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313,208</w:t>
            </w:r>
          </w:p>
        </w:tc>
        <w:tc>
          <w:tcPr>
            <w:tcW w:w="120" w:type="dxa"/>
            <w:vAlign w:val="bottom"/>
            <w:shd w:val="clear" w:color="auto" w:fill="CFF0FC"/>
          </w:tcPr>
          <w:p>
            <w:pPr>
              <w:spacing w:after="0"/>
              <w:rPr>
                <w:sz w:val="18"/>
                <w:szCs w:val="18"/>
                <w:color w:val="auto"/>
              </w:rPr>
            </w:pPr>
          </w:p>
        </w:tc>
      </w:tr>
    </w:tbl>
    <w:p>
      <w:pPr>
        <w:spacing w:after="0" w:line="180"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The key impact of adoption is the deferral of commissions primarily in the Company’s satellite services segment, which were historically expensed as incurred as further described below.</w:t>
      </w:r>
    </w:p>
    <w:p>
      <w:pPr>
        <w:spacing w:after="0" w:line="132" w:lineRule="exact"/>
        <w:rPr>
          <w:sz w:val="20"/>
          <w:szCs w:val="20"/>
          <w:color w:val="auto"/>
        </w:rPr>
      </w:pPr>
    </w:p>
    <w:p>
      <w:pPr>
        <w:ind w:right="140" w:firstLine="518"/>
        <w:spacing w:after="0" w:line="247" w:lineRule="auto"/>
        <w:rPr>
          <w:sz w:val="20"/>
          <w:szCs w:val="20"/>
          <w:color w:val="auto"/>
        </w:rPr>
      </w:pPr>
      <w:r>
        <w:rPr>
          <w:rFonts w:ascii="Arial" w:cs="Arial" w:eastAsia="Arial" w:hAnsi="Arial"/>
          <w:sz w:val="18"/>
          <w:szCs w:val="18"/>
          <w:color w:val="auto"/>
        </w:rPr>
        <w:t>The Company applied the five-step model under ASC 606 to its contracts with its customers to determine the impact of the new standard. Under this model the Company (1) identifies the contract with the customer, (2) identifies its performance obligations in the contract,</w:t>
      </w:r>
    </w:p>
    <w:p>
      <w:pPr>
        <w:spacing w:after="0" w:line="1" w:lineRule="exact"/>
        <w:rPr>
          <w:sz w:val="20"/>
          <w:szCs w:val="20"/>
          <w:color w:val="auto"/>
        </w:rPr>
      </w:pPr>
    </w:p>
    <w:p>
      <w:pPr>
        <w:ind w:right="300" w:firstLine="8"/>
        <w:spacing w:after="0"/>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requirements to develop and deliver complex equipment built to customer specifications under long-term contracts.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75"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connectivity services including leasing of related broadband equipment.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From a recognition perspective, the leasing of broadband equipment is evaluated in accordance with the authoritative guidance for leases (ASC 840). The Company’s accounting for equipment leases involves specific determinations under ASC 840, which may involve complex provisions and significant judgments. In accordance with ASC 840, the Company applies the following criteria to determine the nature of the lease (e.g., as an operating or sales type lease):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72" w:lineRule="exact"/>
        <w:rPr>
          <w:sz w:val="20"/>
          <w:szCs w:val="20"/>
          <w:color w:val="auto"/>
        </w:rPr>
      </w:pPr>
    </w:p>
    <w:p>
      <w:pPr>
        <w:ind w:right="60" w:firstLine="518"/>
        <w:spacing w:after="0" w:line="241"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6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When estimates of total costs to be incurred on a performance obligation exceed total estimates of revenue to be earned, a provision for the entire loss on the performance obligation is recognized in the period the loss is determined.</w:t>
      </w:r>
    </w:p>
    <w:p>
      <w:pPr>
        <w:spacing w:after="0" w:line="167"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2016 through 2018. As of December 31, 2018,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2018 and March 31, 2018, the Company had $4.9 million and $1.6 million, respectively, in contract-related reserves for its estimate of potential refunds to customers for potential cost adjustments on several multi-year U.S. government cost reimbursable contracts (see Note 8).</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7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68" w:lineRule="exact"/>
        <w:rPr>
          <w:sz w:val="20"/>
          <w:szCs w:val="20"/>
          <w:color w:val="auto"/>
        </w:rPr>
      </w:pPr>
    </w:p>
    <w:p>
      <w:pPr>
        <w:ind w:firstLine="518"/>
        <w:spacing w:after="0" w:line="243"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75"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December 31, 2018, the aggregate amount of the transaction price allocated to remaining performance obligations was $1.8 billion, of which the Company expects to recognize approximately half over the next twelve months, with the balance recognized thereafter.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75" w:lineRule="exact"/>
        <w:rPr>
          <w:sz w:val="20"/>
          <w:szCs w:val="20"/>
          <w:color w:val="auto"/>
        </w:rPr>
      </w:pPr>
    </w:p>
    <w:p>
      <w:pPr>
        <w:ind w:right="80" w:firstLine="518"/>
        <w:spacing w:after="0" w:line="24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 December 31, 2018</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7"/>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Satellite Services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18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115,409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186,456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301,865</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177,651</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252,829</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177,651</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126,977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250,066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554,694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Nine Months Ended December 31, 2018</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7"/>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Satellite Services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18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304,732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495,697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800,429</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494,174</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184,603</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710,608</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494,174</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336,563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680,300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1,511,037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60" w:firstLine="518"/>
        <w:spacing w:after="0" w:line="248" w:lineRule="auto"/>
        <w:rPr>
          <w:sz w:val="20"/>
          <w:szCs w:val="20"/>
          <w:color w:val="auto"/>
        </w:rPr>
      </w:pPr>
      <w:r>
        <w:rPr>
          <w:rFonts w:ascii="Arial" w:cs="Arial" w:eastAsia="Arial" w:hAnsi="Arial"/>
          <w:sz w:val="18"/>
          <w:szCs w:val="18"/>
          <w:color w:val="auto"/>
        </w:rPr>
        <w:t>Revenues from the U.S. government as an individual customer comprised approximately 23% and 27% of total revenues for the three and nine months ended December 31, 2018, respectively, mainly reported within the government systems segment. The Company’s commercial customers, mainly reported within the commercial networks and satellite services segments, comprised approximately 77% and 73% of total revenues for the three and nine months ended December 31, 2018, respectively.</w:t>
      </w:r>
    </w:p>
    <w:p>
      <w:pPr>
        <w:spacing w:after="0" w:line="157"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IFC services and worldwide managed network services.</w:t>
      </w:r>
    </w:p>
    <w:p>
      <w:pPr>
        <w:spacing w:after="0" w:line="132"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89% of the Company’s total revenues for these segments for the three and nine months ended December 31, 2018.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67" w:lineRule="exact"/>
        <w:rPr>
          <w:sz w:val="20"/>
          <w:szCs w:val="20"/>
          <w:color w:val="auto"/>
        </w:rPr>
      </w:pPr>
    </w:p>
    <w:p>
      <w:pPr>
        <w:ind w:right="300" w:firstLine="518"/>
        <w:spacing w:after="0" w:line="243"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18% and 17% of its total revenues for the three and nine months ended December 31, 2018, respectively.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nine months ended December 31, 2018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4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4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760" w:type="dxa"/>
            <w:vAlign w:val="bottom"/>
            <w:tcBorders>
              <w:top w:val="single" w:sz="8" w:color="auto"/>
            </w:tcBorders>
            <w:gridSpan w:val="4"/>
          </w:tcPr>
          <w:p>
            <w:pPr>
              <w:jc w:val="right"/>
              <w:ind w:right="137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3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492,681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1,341,073</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 U.S. customers</w:t>
            </w:r>
          </w:p>
        </w:tc>
        <w:tc>
          <w:tcPr>
            <w:tcW w:w="29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62,013</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169,964</w:t>
            </w:r>
          </w:p>
        </w:tc>
        <w:tc>
          <w:tcPr>
            <w:tcW w:w="100" w:type="dxa"/>
            <w:vAlign w:val="bottom"/>
            <w:tcBorders>
              <w:bottom w:val="single" w:sz="8" w:color="CFF0FC"/>
            </w:tcBorders>
          </w:tcPr>
          <w:p>
            <w:pPr>
              <w:spacing w:after="0"/>
              <w:rPr>
                <w:sz w:val="18"/>
                <w:szCs w:val="18"/>
                <w:color w:val="auto"/>
              </w:rPr>
            </w:pPr>
          </w:p>
        </w:tc>
      </w:tr>
      <w:tr>
        <w:trPr>
          <w:trHeight w:val="210"/>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554,694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1,511,037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75"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Contract balances consist of contract asset and contract liability.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 or delivered products are billed. The Company receives payments from customers based on a billing schedule established in the Company’s contracts.</w:t>
      </w:r>
    </w:p>
    <w:p>
      <w:pPr>
        <w:spacing w:after="0" w:line="159"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December 31, 2018 and April 1,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320"/>
              <w:spacing w:after="0"/>
              <w:rPr>
                <w:sz w:val="20"/>
                <w:szCs w:val="20"/>
                <w:color w:val="auto"/>
              </w:rPr>
            </w:pPr>
            <w:r>
              <w:rPr>
                <w:rFonts w:ascii="Arial" w:cs="Arial" w:eastAsia="Arial" w:hAnsi="Arial"/>
                <w:sz w:val="14"/>
                <w:szCs w:val="14"/>
                <w:b w:val="1"/>
                <w:bCs w:val="1"/>
                <w:color w:val="auto"/>
              </w:rPr>
              <w:t>As of</w:t>
            </w:r>
          </w:p>
        </w:tc>
        <w:tc>
          <w:tcPr>
            <w:tcW w:w="64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r>
      <w:tr>
        <w:trPr>
          <w:trHeight w:val="162"/>
        </w:trPr>
        <w:tc>
          <w:tcPr>
            <w:tcW w:w="5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April 1,</w:t>
            </w:r>
          </w:p>
        </w:tc>
      </w:tr>
      <w:tr>
        <w:trPr>
          <w:trHeight w:val="177"/>
        </w:trPr>
        <w:tc>
          <w:tcPr>
            <w:tcW w:w="5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0"/>
        </w:trPr>
        <w:tc>
          <w:tcPr>
            <w:tcW w:w="5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87,085</w:t>
            </w:r>
          </w:p>
        </w:tc>
        <w:tc>
          <w:tcPr>
            <w:tcW w:w="6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79,492</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80"/>
              <w:spacing w:after="0"/>
              <w:rPr>
                <w:sz w:val="20"/>
                <w:szCs w:val="20"/>
                <w:color w:val="auto"/>
              </w:rPr>
            </w:pPr>
            <w:r>
              <w:rPr>
                <w:rFonts w:ascii="Arial" w:cs="Arial" w:eastAsia="Arial" w:hAnsi="Arial"/>
                <w:sz w:val="18"/>
                <w:szCs w:val="18"/>
                <w:color w:val="auto"/>
              </w:rPr>
              <w:t>127,286</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127,355</w:t>
            </w: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81,877</w:t>
            </w:r>
          </w:p>
        </w:tc>
        <w:tc>
          <w:tcPr>
            <w:tcW w:w="6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77,831</w:t>
            </w:r>
          </w:p>
        </w:tc>
        <w:tc>
          <w:tcPr>
            <w:tcW w:w="100" w:type="dxa"/>
            <w:vAlign w:val="bottom"/>
            <w:shd w:val="clear" w:color="auto" w:fill="CFF0FC"/>
          </w:tcPr>
          <w:p>
            <w:pPr>
              <w:spacing w:after="0"/>
              <w:rPr>
                <w:sz w:val="18"/>
                <w:szCs w:val="18"/>
                <w:color w:val="auto"/>
              </w:rPr>
            </w:pPr>
          </w:p>
        </w:tc>
      </w:tr>
    </w:tbl>
    <w:p>
      <w:pPr>
        <w:spacing w:after="0" w:line="180" w:lineRule="exact"/>
        <w:rPr>
          <w:sz w:val="20"/>
          <w:szCs w:val="20"/>
          <w:color w:val="auto"/>
        </w:rPr>
      </w:pPr>
    </w:p>
    <w:p>
      <w:pPr>
        <w:ind w:right="520" w:firstLine="518"/>
        <w:spacing w:after="0" w:line="276" w:lineRule="auto"/>
        <w:rPr>
          <w:sz w:val="20"/>
          <w:szCs w:val="20"/>
          <w:color w:val="auto"/>
        </w:rPr>
      </w:pPr>
      <w:r>
        <w:rPr>
          <w:rFonts w:ascii="Arial" w:cs="Arial" w:eastAsia="Arial" w:hAnsi="Arial"/>
          <w:sz w:val="18"/>
          <w:szCs w:val="18"/>
          <w:color w:val="auto"/>
        </w:rPr>
        <w:t>During the three and nine months ended December 31, 2018, the Company recognized revenue of $12.6 million and $94.7 million, respectively, related to the Company’s collections in excess of revenues and deferred revenues at April 1,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7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adoption of ASU 2014-09 also included the establishment of ASC 340-40, Other Assets and Deferred Costs – Contracts with Customers. The new standard requires the recognition of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Adoption of the standard has resulted in the recognition of an asset related to commission costs incurred primarily in the Company’s satellite services segment, and recognition of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$49.5 million and $8.7 million as of December 31, 2018, respectively. Of the Company’s total deferred customer contract acquisition costs and costs to fulfill contracts, $19.6 million was included in prepaid expenses and other current assets and $38.6 million was included in other assets on the Company’s condensed consolidated balance sheet as of December 31, 2018. For total deferred customer contract acquisition costs and contract fulfillment costs, the Company’s amortization and reduction of carrying value associated with contract termination was $10.6 million and $30.9 million, for the three and nine months ended December 31, 2018,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Comparative results</w:t>
      </w:r>
    </w:p>
    <w:p>
      <w:pPr>
        <w:spacing w:after="0" w:line="75" w:lineRule="exact"/>
        <w:rPr>
          <w:sz w:val="20"/>
          <w:szCs w:val="20"/>
          <w:color w:val="auto"/>
        </w:rPr>
      </w:pPr>
    </w:p>
    <w:p>
      <w:pPr>
        <w:ind w:right="120" w:firstLine="518"/>
        <w:spacing w:after="0" w:line="248" w:lineRule="auto"/>
        <w:rPr>
          <w:sz w:val="20"/>
          <w:szCs w:val="20"/>
          <w:color w:val="auto"/>
        </w:rPr>
      </w:pPr>
      <w:r>
        <w:rPr>
          <w:rFonts w:ascii="Arial" w:cs="Arial" w:eastAsia="Arial" w:hAnsi="Arial"/>
          <w:sz w:val="18"/>
          <w:szCs w:val="18"/>
          <w:color w:val="auto"/>
        </w:rPr>
        <w:t>The Company adopted ASC 606 as of April 1, 2018 using the “modified retrospective method” under which the Company is required to provide additional disclosures comparing results to previous accounting standards. Accordingly, the following table presents the Company’s reported results under ASC 606 and the Company’s pro forma results using the historical accounting method under ASC 605 for the three and nine months ended December 31, 2018 and as of December 31,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Three Months Ended December 31, 2018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13"/>
              <w:spacing w:after="0" w:line="154" w:lineRule="exact"/>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332"/>
              <w:spacing w:after="0"/>
              <w:rPr>
                <w:sz w:val="20"/>
                <w:szCs w:val="20"/>
                <w:color w:val="auto"/>
              </w:rPr>
            </w:pPr>
            <w:r>
              <w:rPr>
                <w:rFonts w:ascii="Arial" w:cs="Arial" w:eastAsia="Arial" w:hAnsi="Arial"/>
                <w:sz w:val="14"/>
                <w:szCs w:val="14"/>
                <w:b w:val="1"/>
                <w:bCs w:val="1"/>
                <w:color w:val="auto"/>
              </w:rPr>
              <w:t>Impact of</w:t>
            </w:r>
          </w:p>
        </w:tc>
        <w:tc>
          <w:tcPr>
            <w:tcW w:w="2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333"/>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Pr>
          <w:p>
            <w:pPr>
              <w:spacing w:after="0"/>
              <w:rPr>
                <w:sz w:val="15"/>
                <w:szCs w:val="15"/>
                <w:color w:val="auto"/>
              </w:rPr>
            </w:pPr>
          </w:p>
        </w:tc>
        <w:tc>
          <w:tcPr>
            <w:tcW w:w="1300" w:type="dxa"/>
            <w:vAlign w:val="bottom"/>
          </w:tcPr>
          <w:p>
            <w:pPr>
              <w:jc w:val="center"/>
              <w:ind w:right="312"/>
              <w:spacing w:after="0"/>
              <w:rPr>
                <w:sz w:val="20"/>
                <w:szCs w:val="20"/>
                <w:color w:val="auto"/>
              </w:rPr>
            </w:pPr>
            <w:r>
              <w:rPr>
                <w:rFonts w:ascii="Arial" w:cs="Arial" w:eastAsia="Arial" w:hAnsi="Arial"/>
                <w:sz w:val="14"/>
                <w:szCs w:val="14"/>
                <w:b w:val="1"/>
                <w:bCs w:val="1"/>
                <w:color w:val="auto"/>
              </w:rPr>
              <w:t>ASC 606</w:t>
            </w:r>
          </w:p>
        </w:tc>
        <w:tc>
          <w:tcPr>
            <w:tcW w:w="2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Method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420" w:type="dxa"/>
            <w:vAlign w:val="bottom"/>
            <w:tcBorders>
              <w:top w:val="single" w:sz="8" w:color="auto"/>
            </w:tcBorders>
            <w:gridSpan w:val="5"/>
          </w:tcPr>
          <w:p>
            <w:pPr>
              <w:jc w:val="center"/>
              <w:ind w:right="113"/>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Condensed Consolidated Statements of Operations</w:t>
            </w: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and Comprehensive Income (Loss):</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Product revenues</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301,865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301,076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252,829</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(771)</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revenues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554,694</w:t>
            </w:r>
          </w:p>
        </w:tc>
        <w:tc>
          <w:tcPr>
            <w:tcW w:w="32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(1,560)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226,020</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176,686</w:t>
            </w:r>
          </w:p>
        </w:tc>
        <w:tc>
          <w:tcPr>
            <w:tcW w:w="32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114,566</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1,038</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Independent research and development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28,928</w:t>
            </w:r>
          </w:p>
        </w:tc>
        <w:tc>
          <w:tcPr>
            <w:tcW w:w="32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1,658</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6,007</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(3,687)</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(14,896)</w:t>
            </w:r>
          </w:p>
        </w:tc>
        <w:tc>
          <w:tcPr>
            <w:tcW w:w="32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1,084</w:t>
            </w: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(8,858)</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(2,603)</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(3,230)</w:t>
            </w:r>
          </w:p>
        </w:tc>
        <w:tc>
          <w:tcPr>
            <w:tcW w:w="32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1,970</w:t>
            </w: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(10,737)</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(10,404)</w:t>
            </w:r>
          </w:p>
        </w:tc>
        <w:tc>
          <w:tcPr>
            <w:tcW w:w="32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000" w:type="dxa"/>
            <w:vAlign w:val="bottom"/>
          </w:tcPr>
          <w:p>
            <w:pPr>
              <w:spacing w:after="0" w:line="194" w:lineRule="exact"/>
              <w:rPr>
                <w:sz w:val="20"/>
                <w:szCs w:val="20"/>
                <w:color w:val="auto"/>
              </w:rPr>
            </w:pPr>
            <w:r>
              <w:rPr>
                <w:rFonts w:ascii="Arial" w:cs="Arial" w:eastAsia="Arial" w:hAnsi="Arial"/>
                <w:sz w:val="18"/>
                <w:szCs w:val="18"/>
                <w:color w:val="auto"/>
              </w:rPr>
              <w:t>Basic net loss per share attributable to Viasat, Inc.</w:t>
            </w: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common stockholders</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(0.17)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Diluted net loss per share attributable to Viasat, Inc.</w:t>
            </w: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(0.17)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right="1580" w:hanging="149"/>
        <w:spacing w:after="0" w:line="256" w:lineRule="auto"/>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 from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Viasat,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Basic net loss per share attributable to Viasat, Inc.</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common stockholders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per share attributable to Viasat, Inc.</w:t>
      </w:r>
    </w:p>
    <w:p>
      <w:pPr>
        <w:ind w:left="160"/>
        <w:spacing w:after="0"/>
        <w:rPr>
          <w:sz w:val="20"/>
          <w:szCs w:val="20"/>
          <w:color w:val="auto"/>
        </w:rPr>
      </w:pPr>
      <w:r>
        <w:rPr>
          <w:rFonts w:ascii="Arial" w:cs="Arial" w:eastAsia="Arial" w:hAnsi="Arial"/>
          <w:sz w:val="18"/>
          <w:szCs w:val="18"/>
          <w:color w:val="auto"/>
        </w:rPr>
        <w:t>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Nine Months Ended December 31, 2018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14"/>
              <w:spacing w:after="0" w:line="154" w:lineRule="exact"/>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3"/>
                <w:szCs w:val="13"/>
                <w:color w:val="auto"/>
              </w:rPr>
            </w:pPr>
          </w:p>
        </w:tc>
      </w:tr>
      <w:tr>
        <w:trPr>
          <w:trHeight w:val="162"/>
        </w:trPr>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center"/>
              <w:ind w:right="293"/>
              <w:spacing w:after="0"/>
              <w:rPr>
                <w:sz w:val="20"/>
                <w:szCs w:val="20"/>
                <w:color w:val="auto"/>
              </w:rPr>
            </w:pPr>
            <w:r>
              <w:rPr>
                <w:rFonts w:ascii="Arial" w:cs="Arial" w:eastAsia="Arial" w:hAnsi="Arial"/>
                <w:sz w:val="14"/>
                <w:szCs w:val="14"/>
                <w:b w:val="1"/>
                <w:bCs w:val="1"/>
                <w:color w:val="auto"/>
              </w:rPr>
              <w:t>Impact of</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Accounting</w:t>
            </w:r>
          </w:p>
        </w:tc>
      </w:tr>
      <w:tr>
        <w:trPr>
          <w:trHeight w:val="177"/>
        </w:trPr>
        <w:tc>
          <w:tcPr>
            <w:tcW w:w="180" w:type="dxa"/>
            <w:vAlign w:val="bottom"/>
          </w:tcPr>
          <w:p>
            <w:pPr>
              <w:spacing w:after="0"/>
              <w:rPr>
                <w:sz w:val="15"/>
                <w:szCs w:val="15"/>
                <w:color w:val="auto"/>
              </w:rPr>
            </w:pPr>
          </w:p>
        </w:tc>
        <w:tc>
          <w:tcPr>
            <w:tcW w:w="1240" w:type="dxa"/>
            <w:vAlign w:val="bottom"/>
          </w:tcPr>
          <w:p>
            <w:pPr>
              <w:jc w:val="right"/>
              <w:ind w:right="232"/>
              <w:spacing w:after="0"/>
              <w:rPr>
                <w:sz w:val="20"/>
                <w:szCs w:val="20"/>
                <w:color w:val="auto"/>
              </w:rPr>
            </w:pPr>
            <w:r>
              <w:rPr>
                <w:rFonts w:ascii="Arial" w:cs="Arial" w:eastAsia="Arial" w:hAnsi="Arial"/>
                <w:sz w:val="14"/>
                <w:szCs w:val="14"/>
                <w:b w:val="1"/>
                <w:bCs w:val="1"/>
                <w:color w:val="auto"/>
              </w:rPr>
              <w:t>As Reported</w:t>
            </w:r>
          </w:p>
        </w:tc>
        <w:tc>
          <w:tcPr>
            <w:tcW w:w="340" w:type="dxa"/>
            <w:vAlign w:val="bottom"/>
          </w:tcPr>
          <w:p>
            <w:pPr>
              <w:spacing w:after="0"/>
              <w:rPr>
                <w:sz w:val="15"/>
                <w:szCs w:val="15"/>
                <w:color w:val="auto"/>
              </w:rPr>
            </w:pPr>
          </w:p>
        </w:tc>
        <w:tc>
          <w:tcPr>
            <w:tcW w:w="1420" w:type="dxa"/>
            <w:vAlign w:val="bottom"/>
          </w:tcPr>
          <w:p>
            <w:pPr>
              <w:jc w:val="center"/>
              <w:ind w:right="273"/>
              <w:spacing w:after="0"/>
              <w:rPr>
                <w:sz w:val="20"/>
                <w:szCs w:val="20"/>
                <w:color w:val="auto"/>
              </w:rPr>
            </w:pPr>
            <w:r>
              <w:rPr>
                <w:rFonts w:ascii="Arial" w:cs="Arial" w:eastAsia="Arial" w:hAnsi="Arial"/>
                <w:sz w:val="14"/>
                <w:szCs w:val="14"/>
                <w:b w:val="1"/>
                <w:bCs w:val="1"/>
                <w:color w:val="auto"/>
              </w:rPr>
              <w:t>ASC 606</w:t>
            </w:r>
          </w:p>
        </w:tc>
        <w:tc>
          <w:tcPr>
            <w:tcW w:w="2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Method</w:t>
            </w:r>
          </w:p>
        </w:tc>
      </w:tr>
      <w:tr>
        <w:trPr>
          <w:trHeight w:val="196"/>
        </w:trPr>
        <w:tc>
          <w:tcPr>
            <w:tcW w:w="180" w:type="dxa"/>
            <w:vAlign w:val="bottom"/>
            <w:tcBorders>
              <w:top w:val="single" w:sz="8" w:color="auto"/>
            </w:tcBorders>
          </w:tcPr>
          <w:p>
            <w:pPr>
              <w:spacing w:after="0"/>
              <w:rPr>
                <w:sz w:val="17"/>
                <w:szCs w:val="17"/>
                <w:color w:val="auto"/>
              </w:rPr>
            </w:pPr>
          </w:p>
        </w:tc>
        <w:tc>
          <w:tcPr>
            <w:tcW w:w="4420" w:type="dxa"/>
            <w:vAlign w:val="bottom"/>
            <w:tcBorders>
              <w:top w:val="single" w:sz="8" w:color="auto"/>
            </w:tcBorders>
            <w:gridSpan w:val="5"/>
          </w:tcPr>
          <w:p>
            <w:pPr>
              <w:jc w:val="center"/>
              <w:ind w:right="114"/>
              <w:spacing w:after="0"/>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Pr>
          <w:p>
            <w:pPr>
              <w:spacing w:after="0"/>
              <w:rPr>
                <w:sz w:val="17"/>
                <w:szCs w:val="17"/>
                <w:color w:val="auto"/>
              </w:rPr>
            </w:pPr>
          </w:p>
        </w:tc>
      </w:tr>
      <w:tr>
        <w:trPr>
          <w:trHeight w:val="59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800,429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(4,990)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795,439</w:t>
            </w:r>
          </w:p>
        </w:tc>
        <w:tc>
          <w:tcPr>
            <w:tcW w:w="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710,608</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(2,348)</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708,260</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1,511,037</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1,503,699</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616,368</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(3,669)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612,699</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523,348</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523,231</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340,328</w:t>
            </w:r>
          </w:p>
        </w:tc>
        <w:tc>
          <w:tcPr>
            <w:tcW w:w="340" w:type="dxa"/>
            <w:vAlign w:val="bottom"/>
          </w:tcPr>
          <w:p>
            <w:pPr>
              <w:spacing w:after="0"/>
              <w:rPr>
                <w:sz w:val="18"/>
                <w:szCs w:val="18"/>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7,247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347,575</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93,661</w:t>
            </w:r>
          </w:p>
        </w:tc>
        <w:tc>
          <w:tcPr>
            <w:tcW w:w="340" w:type="dxa"/>
            <w:vAlign w:val="bottom"/>
          </w:tcPr>
          <w:p>
            <w:pPr>
              <w:spacing w:after="0"/>
              <w:rPr>
                <w:sz w:val="18"/>
                <w:szCs w:val="18"/>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5,903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99,564</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(70,043)</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(16,702)</w:t>
            </w: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(86,745)</w:t>
            </w: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(40,294)</w:t>
            </w:r>
          </w:p>
        </w:tc>
        <w:tc>
          <w:tcPr>
            <w:tcW w:w="340" w:type="dxa"/>
            <w:vAlign w:val="bottom"/>
          </w:tcPr>
          <w:p>
            <w:pPr>
              <w:spacing w:after="0"/>
              <w:rPr>
                <w:sz w:val="18"/>
                <w:szCs w:val="18"/>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3,087</w:t>
            </w: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(37,207)</w:t>
            </w: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(110,241)</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(13,614)</w:t>
            </w: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(123,855)</w:t>
            </w: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35,679</w:t>
            </w:r>
          </w:p>
        </w:tc>
        <w:tc>
          <w:tcPr>
            <w:tcW w:w="340" w:type="dxa"/>
            <w:vAlign w:val="bottom"/>
          </w:tcPr>
          <w:p>
            <w:pPr>
              <w:spacing w:after="0"/>
              <w:rPr>
                <w:sz w:val="18"/>
                <w:szCs w:val="18"/>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3,725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39,404</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(71,832)</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(9,890)</w:t>
            </w: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(81,722)</w:t>
            </w:r>
          </w:p>
        </w:tc>
      </w:tr>
      <w:tr>
        <w:trPr>
          <w:trHeight w:val="243"/>
        </w:trPr>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(70,138)</w:t>
            </w:r>
          </w:p>
        </w:tc>
        <w:tc>
          <w:tcPr>
            <w:tcW w:w="340" w:type="dxa"/>
            <w:vAlign w:val="bottom"/>
          </w:tcPr>
          <w:p>
            <w:pPr>
              <w:spacing w:after="0"/>
              <w:rPr>
                <w:sz w:val="21"/>
                <w:szCs w:val="21"/>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(9,890)</w:t>
            </w:r>
          </w:p>
        </w:tc>
        <w:tc>
          <w:tcPr>
            <w:tcW w:w="2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(80,028)</w:t>
            </w:r>
          </w:p>
        </w:tc>
      </w:tr>
      <w:tr>
        <w:trPr>
          <w:trHeight w:val="63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41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442"/>
        </w:trPr>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4"/>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14"/>
              <w:spacing w:after="0" w:line="154" w:lineRule="exact"/>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3"/>
                <w:szCs w:val="13"/>
                <w:color w:val="auto"/>
              </w:rPr>
            </w:pPr>
          </w:p>
        </w:tc>
      </w:tr>
      <w:tr>
        <w:trPr>
          <w:trHeight w:val="162"/>
        </w:trPr>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center"/>
              <w:ind w:right="293"/>
              <w:spacing w:after="0"/>
              <w:rPr>
                <w:sz w:val="20"/>
                <w:szCs w:val="20"/>
                <w:color w:val="auto"/>
              </w:rPr>
            </w:pPr>
            <w:r>
              <w:rPr>
                <w:rFonts w:ascii="Arial" w:cs="Arial" w:eastAsia="Arial" w:hAnsi="Arial"/>
                <w:sz w:val="14"/>
                <w:szCs w:val="14"/>
                <w:b w:val="1"/>
                <w:bCs w:val="1"/>
                <w:color w:val="auto"/>
              </w:rPr>
              <w:t>Impact of</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Accounting</w:t>
            </w:r>
          </w:p>
        </w:tc>
      </w:tr>
      <w:tr>
        <w:trPr>
          <w:trHeight w:val="177"/>
        </w:trPr>
        <w:tc>
          <w:tcPr>
            <w:tcW w:w="180" w:type="dxa"/>
            <w:vAlign w:val="bottom"/>
          </w:tcPr>
          <w:p>
            <w:pPr>
              <w:spacing w:after="0"/>
              <w:rPr>
                <w:sz w:val="15"/>
                <w:szCs w:val="15"/>
                <w:color w:val="auto"/>
              </w:rPr>
            </w:pPr>
          </w:p>
        </w:tc>
        <w:tc>
          <w:tcPr>
            <w:tcW w:w="1240" w:type="dxa"/>
            <w:vAlign w:val="bottom"/>
          </w:tcPr>
          <w:p>
            <w:pPr>
              <w:jc w:val="right"/>
              <w:ind w:right="232"/>
              <w:spacing w:after="0"/>
              <w:rPr>
                <w:sz w:val="20"/>
                <w:szCs w:val="20"/>
                <w:color w:val="auto"/>
              </w:rPr>
            </w:pPr>
            <w:r>
              <w:rPr>
                <w:rFonts w:ascii="Arial" w:cs="Arial" w:eastAsia="Arial" w:hAnsi="Arial"/>
                <w:sz w:val="14"/>
                <w:szCs w:val="14"/>
                <w:b w:val="1"/>
                <w:bCs w:val="1"/>
                <w:color w:val="auto"/>
              </w:rPr>
              <w:t>As Reported</w:t>
            </w:r>
          </w:p>
        </w:tc>
        <w:tc>
          <w:tcPr>
            <w:tcW w:w="340" w:type="dxa"/>
            <w:vAlign w:val="bottom"/>
          </w:tcPr>
          <w:p>
            <w:pPr>
              <w:spacing w:after="0"/>
              <w:rPr>
                <w:sz w:val="15"/>
                <w:szCs w:val="15"/>
                <w:color w:val="auto"/>
              </w:rPr>
            </w:pPr>
          </w:p>
        </w:tc>
        <w:tc>
          <w:tcPr>
            <w:tcW w:w="1420" w:type="dxa"/>
            <w:vAlign w:val="bottom"/>
          </w:tcPr>
          <w:p>
            <w:pPr>
              <w:jc w:val="center"/>
              <w:ind w:right="273"/>
              <w:spacing w:after="0"/>
              <w:rPr>
                <w:sz w:val="20"/>
                <w:szCs w:val="20"/>
                <w:color w:val="auto"/>
              </w:rPr>
            </w:pPr>
            <w:r>
              <w:rPr>
                <w:rFonts w:ascii="Arial" w:cs="Arial" w:eastAsia="Arial" w:hAnsi="Arial"/>
                <w:sz w:val="14"/>
                <w:szCs w:val="14"/>
                <w:b w:val="1"/>
                <w:bCs w:val="1"/>
                <w:color w:val="auto"/>
              </w:rPr>
              <w:t>ASC 606</w:t>
            </w:r>
          </w:p>
        </w:tc>
        <w:tc>
          <w:tcPr>
            <w:tcW w:w="2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Method</w:t>
            </w:r>
          </w:p>
        </w:tc>
      </w:tr>
      <w:tr>
        <w:trPr>
          <w:trHeight w:val="196"/>
        </w:trPr>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39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295,325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2,047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297,372</w:t>
            </w:r>
          </w:p>
        </w:tc>
        <w:tc>
          <w:tcPr>
            <w:tcW w:w="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230,122</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(1,744)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228,378</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115,844</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(17,620)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98,224</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744,851</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(25,104)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719,747</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292,260</w:t>
            </w:r>
          </w:p>
        </w:tc>
        <w:tc>
          <w:tcPr>
            <w:tcW w:w="34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(5,282)</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286,978</w:t>
            </w:r>
          </w:p>
        </w:tc>
        <w:tc>
          <w:tcPr>
            <w:tcW w:w="60" w:type="dxa"/>
            <w:vAlign w:val="bottom"/>
          </w:tcPr>
          <w:p>
            <w:pPr>
              <w:spacing w:after="0"/>
              <w:rPr>
                <w:sz w:val="18"/>
                <w:szCs w:val="18"/>
                <w:color w:val="auto"/>
              </w:rPr>
            </w:pPr>
          </w:p>
        </w:tc>
      </w:tr>
      <w:tr>
        <w:trPr>
          <w:trHeight w:val="243"/>
        </w:trPr>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243,070</w:t>
            </w:r>
          </w:p>
        </w:tc>
        <w:tc>
          <w:tcPr>
            <w:tcW w:w="340" w:type="dxa"/>
            <w:vAlign w:val="bottom"/>
          </w:tcPr>
          <w:p>
            <w:pPr>
              <w:spacing w:after="0"/>
              <w:rPr>
                <w:sz w:val="21"/>
                <w:szCs w:val="21"/>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(37,138)</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205,932</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-4427220</wp:posOffset>
            </wp:positionV>
            <wp:extent cx="724662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-4023995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-3749675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-3475355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-3200400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-2926080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-2651760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-2377440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-1974215</wp:posOffset>
            </wp:positionV>
            <wp:extent cx="724662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-970915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-696595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-422275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-147955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13" w:lineRule="exact"/>
        <w:rPr>
          <w:sz w:val="20"/>
          <w:szCs w:val="20"/>
          <w:color w:val="auto"/>
        </w:rPr>
      </w:pPr>
    </w:p>
    <w:p>
      <w:pPr>
        <w:sectPr>
          <w:pgSz w:w="11900" w:h="16838" w:orient="portrait"/>
          <w:cols w:equalWidth="0" w:num="2">
            <w:col w:w="6000" w:space="720"/>
            <w:col w:w="4700"/>
          </w:cols>
          <w:pgMar w:left="240" w:top="114" w:right="239" w:bottom="1440" w:gutter="0" w:footer="0" w:header="0"/>
          <w:type w:val="continuous"/>
        </w:sectPr>
      </w:pPr>
    </w:p>
    <w:p>
      <w:pPr>
        <w:ind w:right="280" w:firstLine="518"/>
        <w:spacing w:after="0" w:line="248"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(SG&amp;A) expenses. Advertising expenses for the three months ended December 31, 2018 and 2017 were $ 12.2 million and $3.2 million, respectively, and for the nine months ended December 31, 2018 and 2017 were $29.1 million and $6.7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3"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of each satellite’s performance against the original manufacturer’s orbital design life, estimated fuel levels and related consumption rates, as well as historical satellite operating trends. Costs related to internally developed software for internal uses are capitalized after the preliminary project stage is complete and are amortized over the estimated useful lives of the assets.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27" w:lineRule="exact"/>
        <w:rPr>
          <w:sz w:val="20"/>
          <w:szCs w:val="20"/>
          <w:color w:val="auto"/>
        </w:rPr>
      </w:pPr>
    </w:p>
    <w:p>
      <w:pPr>
        <w:ind w:firstLine="518"/>
        <w:spacing w:after="0" w:line="243"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$15.6 million and $29.3 million of interest expense for the three and nine months ended December 31, 2018, respectively. With respect to the ViaSat-2 satellite, ViaSat-3 class satellites, gateway and networking equipment and other assets under construction, the Company capitalized $15.8 million and $46.5 million of interest expense for the three and nine months ended December 31, 2017, respectively.</w:t>
      </w:r>
    </w:p>
    <w:p>
      <w:pPr>
        <w:spacing w:after="0" w:line="120"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The Company owns three satellites in service: ViaSat-2 (its second-generation high-capacity Ka-band spot-beam satellite, which was placed into service in the fourth quarter of fiscal year 2018), ViaSat-1 (its first-generation high-capacity Ka-band spot-beam satellite, which was placed into service in January 2012) and WildBlue-1 (which was placed into service in March 2007). The Company currently has two third-generation ViaSat-3 class satellites that have entered the phase of full construction.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December 31, 2018 were $354.4 million and</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$137.6 million, respectively. The total cost and accumulated depreciation of CPE units included in property and equipment, net, as of March 31, 2018 were $298.7 million and $129.0 million, respectively.</w:t>
      </w:r>
    </w:p>
    <w:p>
      <w:pPr>
        <w:spacing w:after="0" w:line="112"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the second and third quarters of fiscal year 2019, the Company received $172.2 million in insurance recovery proceeds related to such claims. The Company recorded an insurance receivable of $12.3 million as of December 31, 2018 with respect to probable remaining ViaSat-2 related insurance claims. As a result, during the third quarter of fiscal year 2019, the Company recorded a $4.0 million gain related to ViaSat-2 insurance claims in SG&amp;A expenses in its satellite services segment in the condensed consolidated statements of operations and comprehensive incomes (loss). The ViaSat-2 satellite was primarily financed by the Ex-Im Credit Facility (see Note 6 — Senior Notes and Other Long-Term Debt for more information). Pursuant to the terms of the Ex-Im Credit Facility, insurance proceeds received from such claims were used to pay down outstanding borrowings under the Ex-Im Credit Facility.</w:t>
      </w:r>
    </w:p>
    <w:p>
      <w:pPr>
        <w:spacing w:after="0" w:line="125"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77"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December 31, 2018 and March 31, 2018. The Company capitalized costs of $16.4 million and $15.4 million related to acquiring and obtaining orbital slots and other licenses included in other assets as of December 31, 2018 and March 31, 2018, respectively. Accumulated amortization related to these assets was $2.9 million and $2.5 million as of December 31, 2018 and March 31, 2018, respectively. Amortization expense related to these assets was an insignificant amount for the three and nine months ended December 31, 2018 and 2017. If a patent, orbital slot or orbital license is rejected, abandoned or otherwise invalidated, the unamortized cost is expensed in that period. During the three and nine months ended December 31, 2018 and 2017, the Company did not write off any significant costs due to abandonment or impairment.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63"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December 31, 2018 and 2017, no debt issuance costs were capitalized. The Company capitalized no and $9.8 million of debt issuance costs during the nine months ended December 31, 2018 and 2017,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and the Ex-Im Credit Facility are recorded as a direct deduction from the carrying amount of the related debt, consistent with debt discounts, in accordance with the authoritative guidance for imputation of interest (ASC 835-30).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63"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$244.9 million and $246.8 million related to software developed for resale were included in other assets as of December 31, 2018 and March 31, 2018, respectively. The Company capitalized $11.7 million and $32.7 million of costs related to software developed for resale for the three and nine months ended December 31, 2018, respectively. The Company capitalized $20.2 million and $58.0 million of costs related to software developed for resale for the three and nine months ended December 31, 2017, respectively. Amortization expense for capitalized software development costs was $11.5 million and $34.6 million for the three and nine months ended December 31, 2018, respectively, and $6.8 million and $23.1 million for the three and nine months ended December 31, 2017,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77"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$5.2 million and $4.5 million in accrued liabilities in the condensed consolidated balance sheets as of December 31, 2018 and March 31, 2018,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77"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2018 and March 31, 2018, no such amounts were accrued related to the aforementioned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63"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63"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2018 and March 31, 2018, the Company had no shares of common stock held in treasury.</w:t>
      </w:r>
    </w:p>
    <w:p>
      <w:pPr>
        <w:spacing w:after="0" w:line="158"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During the nine months ended December 31, 2018 and 2017, the Company issued 1,172,049 and 872,271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nine months ended December 31, 2018 and 2017, the Company repurchased 417,465 and 327,585 shares of common stock, respectively, at cost and with a total value of $28.1 million and $23.7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63" w:lineRule="exact"/>
        <w:rPr>
          <w:sz w:val="20"/>
          <w:szCs w:val="20"/>
          <w:color w:val="auto"/>
        </w:rPr>
      </w:pPr>
    </w:p>
    <w:p>
      <w:pPr>
        <w:ind w:right="40" w:firstLine="518"/>
        <w:spacing w:after="0" w:line="243"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During the three and nine months ended December 31, 2018 and 2017,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accrued liability as of December 31, 2018 and an other current asset as of March 31, 2018. The notional value of foreign currency forward contracts outstanding was $12.4 million as of December 31, 2018 and an insignificant amount as of March 31, 2018.</w:t>
      </w:r>
    </w:p>
    <w:p>
      <w:pPr>
        <w:spacing w:after="0" w:line="118" w:lineRule="exact"/>
        <w:rPr>
          <w:sz w:val="20"/>
          <w:szCs w:val="20"/>
          <w:color w:val="auto"/>
        </w:rPr>
      </w:pPr>
    </w:p>
    <w:p>
      <w:pPr>
        <w:ind w:right="100" w:firstLine="518"/>
        <w:spacing w:after="0" w:line="248" w:lineRule="auto"/>
        <w:rPr>
          <w:sz w:val="20"/>
          <w:szCs w:val="20"/>
          <w:color w:val="auto"/>
        </w:rPr>
      </w:pPr>
      <w:r>
        <w:rPr>
          <w:rFonts w:ascii="Arial" w:cs="Arial" w:eastAsia="Arial" w:hAnsi="Arial"/>
          <w:sz w:val="18"/>
          <w:szCs w:val="18"/>
          <w:color w:val="auto"/>
        </w:rPr>
        <w:t>As of December 31, 2018, the estimated net amount of unrealized gains or losses related to foreign currency forward contracts that was expected to be reclassified to earnings within the next 12 months was insignificant. The Company’s foreign currency forward contracts outstanding as of December 31, 2018 will mature within approximately 21 months from their inception. There were no gains or losses from ineffectiveness of these derivative instruments recorded for the three and nine months ended December 31, 2018 and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forfeitures as they occur. The Company recognized $20.2 million and $58.7 million of stock-based compensation expense for the three and nine months ended December 31, 2018, respectively. The Company recognized $17.6 million and $49.1 million of stock-based compensation expense for the three and nine months ended December 31,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63"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7" w:lineRule="exact"/>
        <w:rPr>
          <w:sz w:val="20"/>
          <w:szCs w:val="20"/>
          <w:color w:val="auto"/>
        </w:rPr>
      </w:pPr>
    </w:p>
    <w:p>
      <w:pPr>
        <w:ind w:right="260" w:firstLine="518"/>
        <w:spacing w:after="0" w:line="276" w:lineRule="auto"/>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w:t>
      </w:r>
    </w:p>
    <w:p>
      <w:pPr>
        <w:spacing w:after="0" w:line="91"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77"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 xml:space="preserve">In May 2014, the Financial Accounting Standards Board (FASB) issued ASU 2014-09, Revenue from Contracts with Customers. ASU 2014-09 requires an entity to recognize the amount of revenue to which it expects to be entitled for the transfer of promised goods or services to a customer. This guidance replaced most existing revenue recognition guidance and became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2016-20, Technical Corrections and Improvements to ASC 606, Revenue from Contracts with Customers, which provides for correction or improvement to the guidance previously issued in ASU 2014-09. These standards permit the use of either the retrospective or cumulative effect transition method. The Company adopted this standard effective as of April 1, 2018 utilizing the “modified retrospective method.” For additional information see Note 1 –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2"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(ASC 825-10). ASU 2016-01 requires that most equity investments (except those accounted for under the equity method for accounting or those that result in consolidation of the investee) be measured at fair value, with subsequent changes in fair value recognized in net income (loss). The new guidance also impacts financial liabilities under the fair value option and the presentation and disclosure requirements for financial instruments. The new guidance was required to be applied by means of a cumulative-effect adjustment to the balance sheet as of the beginning of the fiscal year of adoption. In February 2018, the FASB issued ASU 2018-03, Technical Corrections and Improvements to Financial Instruments – Overall (ASC 825-10), which clarified certain aspects of the guidance issued in ASU 2016-01. ASU 2016-01 became effective for the Company in fiscal year 2019. The Company adopted the guidance in ASU 2016-01 beginning in the first quarter of fiscal year 2019 on a modified retrospective basis and adopted the guidance in ASU 2018-03 beginning in the second quarter of fiscal year 2019. The guidance in both ASU 2016-01 and ASU 2018-03 did not have a material impact on the Company’s consolidated financial statements and disclosures.</w:t>
      </w:r>
    </w:p>
    <w:p>
      <w:pPr>
        <w:spacing w:after="0" w:line="12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February 2016, the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In July 2018, the FASB issued ASU 2018-10, Codification Improvements to ASC 842, Leases, which was issued to provide more detailed guidance and additional clarification for implementing ASU 2016-02. In July 2018, the FASB issued ASU 2018-11, Leases (ASC 842): Targeted Improvements, which provides an additional (and optional) transition method whereby the new lease standard is applied at the adoption date and recognized as an adjustment to retained earnings. In December 2018, the FASB issued ASU 2018-20, Leases (ASC 842): Narrow-Scope Improvements for Lessors, which provides certain amendments that affect narrow aspects of the guidance issued in ASU 2016-</w:t>
      </w:r>
    </w:p>
    <w:p>
      <w:pPr>
        <w:spacing w:after="0" w:line="6" w:lineRule="exact"/>
        <w:rPr>
          <w:sz w:val="20"/>
          <w:szCs w:val="20"/>
          <w:color w:val="auto"/>
        </w:rPr>
      </w:pPr>
    </w:p>
    <w:p>
      <w:pPr>
        <w:ind w:right="20" w:firstLine="8"/>
        <w:spacing w:after="0" w:line="238"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new guidance will become effective for the Company beginning in the first quarter of fiscal year 2020, with early adoption permitted. The Company expects to adopt the new guidance on April 1, 2019, using the optional transition method. Therefore, it is expected that periods prior to the effective date of adoption will continue to be reported under the current authoritative guidance for leases (ASC 840). Upon adoption, the Company expects a material impact to its consolidated balance sheet due to the recognition of lease liabilities and right-of-use assets. The Company does not expect the new guidance to have a material impact on its consolidated statement of operations and comprehensive income (loss) or statement of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Subsequently, in November 2018, the FASB issued ASU 2018-19, Codification Improvements to Topic 326, Financial Instruments – Credit Losses (ASC 326), which clarifies that impairment of receivables arising from operating leases should be accounted for in accordance with ASC 842, Leases.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22" w:lineRule="exact"/>
        <w:rPr>
          <w:sz w:val="20"/>
          <w:szCs w:val="20"/>
          <w:color w:val="auto"/>
        </w:rPr>
      </w:pPr>
    </w:p>
    <w:p>
      <w:pPr>
        <w:ind w:right="120" w:firstLine="518"/>
        <w:spacing w:after="0" w:line="241" w:lineRule="auto"/>
        <w:rPr>
          <w:sz w:val="20"/>
          <w:szCs w:val="20"/>
          <w:color w:val="auto"/>
        </w:rPr>
      </w:pPr>
      <w:r>
        <w:rPr>
          <w:rFonts w:ascii="Arial" w:cs="Arial" w:eastAsia="Arial" w:hAnsi="Arial"/>
          <w:sz w:val="18"/>
          <w:szCs w:val="18"/>
          <w:color w:val="auto"/>
        </w:rPr>
        <w:t>In August 2016, the FASB issued ASU 2016-15, Statement of Cash Flows (ASC 230). ASU 2016-15 makes eight targeted changes to how companies present and classify certain cash receipts and cash payments in the statement of cash flows. The new standard became effective for the Company beginning in fiscal year 2019, with early adoption permitted. The new standard required adoption on a retrospective basis unless impracticable to apply, in which case the Company would have been required to apply the amendments prospectively as of the earliest date practicable. The Company early adopted the guidance on a retrospective basis in the second quarter of fiscal year 2018 and as a result cash payments for debt prepayment and extinguishment were classified as cash outflows for financing activities in fiscal year 2018. Otherwise the adoption of this guidance did not have a material impact on the Company’s consolidated financial statements and disclosures.</w:t>
      </w:r>
    </w:p>
    <w:p>
      <w:pPr>
        <w:spacing w:after="0" w:line="125" w:lineRule="exact"/>
        <w:rPr>
          <w:sz w:val="20"/>
          <w:szCs w:val="20"/>
          <w:color w:val="auto"/>
        </w:rPr>
      </w:pPr>
    </w:p>
    <w:p>
      <w:pPr>
        <w:ind w:right="60" w:firstLine="518"/>
        <w:spacing w:after="0" w:line="243" w:lineRule="auto"/>
        <w:rPr>
          <w:sz w:val="20"/>
          <w:szCs w:val="20"/>
          <w:color w:val="auto"/>
        </w:rPr>
      </w:pPr>
      <w:r>
        <w:rPr>
          <w:rFonts w:ascii="Arial" w:cs="Arial" w:eastAsia="Arial" w:hAnsi="Arial"/>
          <w:sz w:val="18"/>
          <w:szCs w:val="18"/>
          <w:color w:val="auto"/>
        </w:rPr>
        <w:t>In October 2016, the FASB issued ASU 2016-16, Income Taxes (ASC 740). ASU 2016-16 requires that an entity should recognize the income tax consequences of an intra-entity transfer of an asset other than inventory when the transfer occurs as opposed to when the asset has been sold to an outside party. The new standard became effective for the Company beginning in the first quarter of fiscal year 2019. The new standard requires adoption on a modified retrospective basis through a cumulative-effect adjustment directly to retained earnings as of the beginning of the period. The Company adopted this guidance beginning in the first quarter of fiscal year 2019 on a modified retrospective basis and the guidance did not have a material impact on the Company’s consolidated financial statements and disclosures.</w:t>
      </w:r>
    </w:p>
    <w:p>
      <w:pPr>
        <w:spacing w:after="0" w:line="120" w:lineRule="exact"/>
        <w:rPr>
          <w:sz w:val="20"/>
          <w:szCs w:val="20"/>
          <w:color w:val="auto"/>
        </w:rPr>
      </w:pPr>
    </w:p>
    <w:p>
      <w:pPr>
        <w:ind w:right="100" w:firstLine="518"/>
        <w:spacing w:after="0" w:line="243"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(ASC 805).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new standard became effective for the Company beginning in the first quarter of fiscal year 2019. The Company adopted this guidance beginning in the first quarter of fiscal year 2019 on a prospective basis and the guidance did not have a material impact on the Company’s consolidated financial statements and disclosures.</w:t>
      </w:r>
    </w:p>
    <w:p>
      <w:pPr>
        <w:spacing w:after="0" w:line="120" w:lineRule="exact"/>
        <w:rPr>
          <w:sz w:val="20"/>
          <w:szCs w:val="20"/>
          <w:color w:val="auto"/>
        </w:rPr>
      </w:pPr>
    </w:p>
    <w:p>
      <w:pPr>
        <w:ind w:right="140" w:firstLine="518"/>
        <w:spacing w:after="0" w:line="248"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17" w:lineRule="exact"/>
        <w:rPr>
          <w:sz w:val="20"/>
          <w:szCs w:val="20"/>
          <w:color w:val="auto"/>
        </w:rPr>
      </w:pPr>
    </w:p>
    <w:p>
      <w:pPr>
        <w:ind w:right="20" w:firstLine="518"/>
        <w:spacing w:after="0" w:line="243" w:lineRule="auto"/>
        <w:rPr>
          <w:sz w:val="20"/>
          <w:szCs w:val="20"/>
          <w:color w:val="auto"/>
        </w:rPr>
      </w:pPr>
      <w:r>
        <w:rPr>
          <w:rFonts w:ascii="Arial" w:cs="Arial" w:eastAsia="Arial" w:hAnsi="Arial"/>
          <w:sz w:val="18"/>
          <w:szCs w:val="18"/>
          <w:color w:val="auto"/>
        </w:rPr>
        <w:t>In February 2017, the FASB issued ASU 2017-05, Other Income — Gains and Losses from the Derecognition of Nonfinancial Assets (ASC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became effective for the Company beginning in the first quarter of fiscal year 2019. The Company adopted this guidance beginning in the first quarter of fiscal year 2019 on a prospective basis and the guidance did not have a material impact on the Company’s consolidated financial statements and disclosures.</w:t>
      </w:r>
    </w:p>
    <w:p>
      <w:pPr>
        <w:spacing w:after="0" w:line="120"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In May 2017, the FASB issued ASU 2017-09, Compensation — Stock Compensation (ASC 718): Scope of Modification Accounting. ASU 2017-09 provides guidance about which changes to the terms or conditions of a share-based payment award require an entity to apply modification accounting. The standard became effective for the Company beginning in the first quarter of fiscal year 2019. The Company early adopted this standard beginning in the fourth quarter of fiscal year 2018. The guidance did not have a material impact on the Company’s consolidated financial statements and disclosures.</w:t>
      </w:r>
    </w:p>
    <w:p>
      <w:pPr>
        <w:spacing w:after="0" w:line="118"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In October 2018, the FASB issued ASU 2018-16, Derivatives and Hedging (ASC 815): Inclusion of the Secured Overnight Financing Rate (SOFR) Overnight Index SWAP (OIS) Rate as a Benchmark Interest Rate for Hedge Accounting Purposes. ASU 2018-16 permits use of the OIS rate based on SOFR as a U.S. benchmark interest rate for hedge accounting purposes. These standards will become effective for the Company beginning in fiscal year 2020, with early adoption permitted. The Company is currently evaluating the impact of these standards on its consolidated financial statements and disclosures.</w:t>
      </w:r>
    </w:p>
    <w:p>
      <w:pPr>
        <w:spacing w:after="0" w:line="167" w:lineRule="exact"/>
        <w:rPr>
          <w:sz w:val="20"/>
          <w:szCs w:val="20"/>
          <w:color w:val="auto"/>
        </w:rPr>
      </w:pPr>
    </w:p>
    <w:p>
      <w:pPr>
        <w:ind w:right="60" w:firstLine="518"/>
        <w:spacing w:after="0" w:line="245" w:lineRule="auto"/>
        <w:rPr>
          <w:sz w:val="20"/>
          <w:szCs w:val="20"/>
          <w:color w:val="auto"/>
        </w:rPr>
      </w:pPr>
      <w:r>
        <w:rPr>
          <w:rFonts w:ascii="Arial" w:cs="Arial" w:eastAsia="Arial" w:hAnsi="Arial"/>
          <w:sz w:val="18"/>
          <w:szCs w:val="18"/>
          <w:color w:val="auto"/>
        </w:rPr>
        <w:t>In June 2018, the FASB issued ASU 2018-07, Compensation – Stock Compensation (ASC 718): Improvements to Nonemployee Share-Based Payment Accounting. ASU 2018-07 simplifies the accounting for nonemployee share-based payment transactions. Consequently, the accounting for share-based payments to nonemployees and employees will be substantially aligned. The new standard will become effective for the Company beginning in fiscal year 2020, with early adoption permitted. The Company early adopted the guidance in the first quarter of fiscal year 2019 and the guidance did not have a material impact on the Company’s consolidated financial statements and disclosures.</w:t>
      </w:r>
    </w:p>
    <w:p>
      <w:pPr>
        <w:spacing w:after="0" w:line="118" w:lineRule="exact"/>
        <w:rPr>
          <w:sz w:val="20"/>
          <w:szCs w:val="20"/>
          <w:color w:val="auto"/>
        </w:rPr>
      </w:pPr>
    </w:p>
    <w:p>
      <w:pPr>
        <w:ind w:right="60" w:firstLine="518"/>
        <w:spacing w:after="0" w:line="241" w:lineRule="auto"/>
        <w:rPr>
          <w:sz w:val="20"/>
          <w:szCs w:val="20"/>
          <w:color w:val="auto"/>
        </w:rPr>
      </w:pPr>
      <w:r>
        <w:rPr>
          <w:rFonts w:ascii="Arial" w:cs="Arial" w:eastAsia="Arial" w:hAnsi="Arial"/>
          <w:sz w:val="18"/>
          <w:szCs w:val="18"/>
          <w:color w:val="auto"/>
        </w:rPr>
        <w:t>In July 2018, the FASB issued ASU 2018-09, Codification Improvements, which is related to a project by the FASB to facilitate codification updates for technical corrections, clarifications and other minor improvements. The new standard contains amendments that affect a wide variety of topics in the ASC. The effective date of the standard is dependent on the facts and circumstances of each amendment. Some amendments do not require transition guidance and were effective upon the issuance of this standard. A majority of the amendments in</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ASU 2018-09 will become effective for the Company beginning in fiscal year 2020. The Company is currently evaluating the impact of this standard on its consolidated financial statements and disclosures, however this standard has not and is not expected to have a material impact on its consolidated financial statements and disclosures.</w:t>
      </w:r>
    </w:p>
    <w:p>
      <w:pPr>
        <w:spacing w:after="0" w:line="122" w:lineRule="exact"/>
        <w:rPr>
          <w:sz w:val="20"/>
          <w:szCs w:val="20"/>
          <w:color w:val="auto"/>
        </w:rPr>
      </w:pPr>
    </w:p>
    <w:p>
      <w:pPr>
        <w:ind w:right="180" w:firstLine="518"/>
        <w:spacing w:after="0" w:line="248"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new standard will become effective for the Company beginning in fiscal year 2021, with early adoption permitted. The Company is currently evaluating the impact of this standard on its consolidated financial statements and disclosures.</w:t>
      </w:r>
    </w:p>
    <w:p>
      <w:pPr>
        <w:spacing w:after="0" w:line="117"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In August 2018, the FASB issued ASU 2018-15, Intangibles—Goodwill and Other—Internal-Use Software (ASC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new standard will become effective for the Company beginning in fiscal year 2021, with early adoption permitted. The Company early adopted the guidance in the second quarter of fiscal year 2019 on a prospective basis and the adoption of the guidance did not have a material impact on the Company’s consolidated financial statements and disclosures.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8"/>
              </w:rPr>
              <w:t>As of</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35"/>
        </w:trPr>
        <w:tc>
          <w:tcPr>
            <w:tcW w:w="6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59"/>
        </w:trPr>
        <w:tc>
          <w:tcPr>
            <w:tcW w:w="6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77"/>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right"/>
              <w:ind w:right="73"/>
              <w:spacing w:after="0" w:line="143" w:lineRule="exact"/>
              <w:rPr>
                <w:sz w:val="20"/>
                <w:szCs w:val="20"/>
                <w:color w:val="auto"/>
              </w:rPr>
            </w:pPr>
            <w:r>
              <w:rPr>
                <w:rFonts w:ascii="Arial" w:cs="Arial" w:eastAsia="Arial" w:hAnsi="Arial"/>
                <w:sz w:val="13"/>
                <w:szCs w:val="13"/>
                <w:b w:val="1"/>
                <w:bCs w:val="1"/>
                <w:color w:val="auto"/>
              </w:rPr>
              <w:t>(In thousands)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spacing w:after="0"/>
              <w:rPr>
                <w:sz w:val="20"/>
                <w:szCs w:val="20"/>
                <w:color w:val="auto"/>
              </w:rPr>
            </w:pPr>
            <w:r>
              <w:rPr>
                <w:rFonts w:ascii="Arial" w:cs="Arial" w:eastAsia="Arial" w:hAnsi="Arial"/>
                <w:sz w:val="13"/>
                <w:szCs w:val="13"/>
                <w:color w:val="auto"/>
              </w:rPr>
              <w:t>Accounts receivable, net:</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Billed</w:t>
            </w:r>
          </w:p>
        </w:tc>
        <w:tc>
          <w:tcPr>
            <w:tcW w:w="184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209,587</w:t>
            </w:r>
          </w:p>
        </w:tc>
        <w:tc>
          <w:tcPr>
            <w:tcW w:w="180" w:type="dxa"/>
            <w:vAlign w:val="bottom"/>
          </w:tcPr>
          <w:p>
            <w:pPr>
              <w:spacing w:after="0"/>
              <w:rPr>
                <w:sz w:val="12"/>
                <w:szCs w:val="12"/>
                <w:color w:val="auto"/>
              </w:rPr>
            </w:pPr>
          </w:p>
        </w:tc>
        <w:tc>
          <w:tcPr>
            <w:tcW w:w="520" w:type="dxa"/>
            <w:vAlign w:val="bottom"/>
            <w:gridSpan w:val="2"/>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184,536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Unbilled</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87,085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85,156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Allowance for doubtful accounts</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(1,347)</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42"/>
        </w:trPr>
        <w:tc>
          <w:tcPr>
            <w:tcW w:w="6220" w:type="dxa"/>
            <w:vAlign w:val="bottom"/>
            <w:tcBorders>
              <w:top w:val="single" w:sz="8" w:color="CFF0FC"/>
              <w:bottom w:val="single" w:sz="8" w:color="CFF0FC"/>
            </w:tcBorders>
            <w:shd w:val="clear" w:color="auto" w:fill="CFF0FC"/>
          </w:tcPr>
          <w:p>
            <w:pPr>
              <w:spacing w:after="0"/>
              <w:rPr>
                <w:sz w:val="12"/>
                <w:szCs w:val="12"/>
                <w:color w:val="auto"/>
              </w:rPr>
            </w:pPr>
          </w:p>
        </w:tc>
        <w:tc>
          <w:tcPr>
            <w:tcW w:w="16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295,325</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267,665</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3"/>
                <w:szCs w:val="13"/>
                <w:color w:val="auto"/>
              </w:rPr>
              <w:t>Inventories:</w:t>
            </w: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Raw materials</w:t>
            </w:r>
          </w:p>
        </w:tc>
        <w:tc>
          <w:tcPr>
            <w:tcW w:w="184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78,850</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Work in process</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52,240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47,465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Finished goods</w:t>
            </w:r>
          </w:p>
        </w:tc>
        <w:tc>
          <w:tcPr>
            <w:tcW w:w="16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99,032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Borders>
              <w:bottom w:val="single" w:sz="8" w:color="CFF0FC"/>
            </w:tcBorders>
          </w:tcPr>
          <w:p>
            <w:pPr>
              <w:spacing w:after="0"/>
              <w:rPr>
                <w:sz w:val="15"/>
                <w:szCs w:val="15"/>
                <w:color w:val="auto"/>
              </w:rPr>
            </w:pPr>
          </w:p>
        </w:tc>
        <w:tc>
          <w:tcPr>
            <w:tcW w:w="16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230,122</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196,307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Prepaid expenses and other current assets:</w:t>
            </w:r>
          </w:p>
        </w:tc>
        <w:tc>
          <w:tcPr>
            <w:tcW w:w="1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Prepaid expenses</w:t>
            </w:r>
          </w:p>
        </w:tc>
        <w:tc>
          <w:tcPr>
            <w:tcW w:w="184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81,155</w:t>
            </w:r>
          </w:p>
        </w:tc>
        <w:tc>
          <w:tcPr>
            <w:tcW w:w="180" w:type="dxa"/>
            <w:vAlign w:val="bottom"/>
          </w:tcPr>
          <w:p>
            <w:pPr>
              <w:spacing w:after="0"/>
              <w:rPr>
                <w:sz w:val="12"/>
                <w:szCs w:val="12"/>
                <w:color w:val="auto"/>
              </w:rPr>
            </w:pPr>
          </w:p>
        </w:tc>
        <w:tc>
          <w:tcPr>
            <w:tcW w:w="520" w:type="dxa"/>
            <w:vAlign w:val="bottom"/>
            <w:gridSpan w:val="2"/>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68,516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Insurance receivable</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22,372</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FF0FC"/>
            </w:tcBorders>
            <w:shd w:val="clear" w:color="auto" w:fill="CFF0FC"/>
          </w:tcPr>
          <w:p>
            <w:pPr>
              <w:spacing w:after="0"/>
              <w:rPr>
                <w:sz w:val="12"/>
                <w:szCs w:val="12"/>
                <w:color w:val="auto"/>
              </w:rPr>
            </w:pPr>
          </w:p>
        </w:tc>
        <w:tc>
          <w:tcPr>
            <w:tcW w:w="16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115,844</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77,135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3"/>
                <w:szCs w:val="13"/>
                <w:color w:val="auto"/>
              </w:rPr>
              <w:t>Satellites, net:</w:t>
            </w: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Satellites (estimated useful life of 10-17 years)</w:t>
            </w:r>
          </w:p>
        </w:tc>
        <w:tc>
          <w:tcPr>
            <w:tcW w:w="184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978,114</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1,152,503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Capital lease of satellite capacity — Anik F2 (estimated useful life of 10 years)</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99,090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99,090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Satellites under construction</w:t>
            </w:r>
          </w:p>
        </w:tc>
        <w:tc>
          <w:tcPr>
            <w:tcW w:w="16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543,556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362,342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Arial" w:cs="Arial" w:eastAsia="Arial" w:hAnsi="Arial"/>
                <w:sz w:val="13"/>
                <w:szCs w:val="13"/>
                <w:color w:val="auto"/>
              </w:rPr>
              <w:t>1,620,760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1,613,935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Less: accumulated depreciation and amortization</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(432,160)</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(373,948)</w:t>
            </w:r>
          </w:p>
        </w:tc>
        <w:tc>
          <w:tcPr>
            <w:tcW w:w="0" w:type="dxa"/>
            <w:vAlign w:val="bottom"/>
          </w:tcPr>
          <w:p>
            <w:pPr>
              <w:spacing w:after="0"/>
              <w:rPr>
                <w:sz w:val="1"/>
                <w:szCs w:val="1"/>
                <w:color w:val="auto"/>
              </w:rPr>
            </w:pPr>
          </w:p>
        </w:tc>
      </w:tr>
      <w:tr>
        <w:trPr>
          <w:trHeight w:val="182"/>
        </w:trPr>
        <w:tc>
          <w:tcPr>
            <w:tcW w:w="6220" w:type="dxa"/>
            <w:vAlign w:val="bottom"/>
            <w:tcBorders>
              <w:bottom w:val="single" w:sz="8" w:color="CFF0FC"/>
            </w:tcBorders>
          </w:tcPr>
          <w:p>
            <w:pPr>
              <w:spacing w:after="0"/>
              <w:rPr>
                <w:sz w:val="15"/>
                <w:szCs w:val="15"/>
                <w:color w:val="auto"/>
              </w:rPr>
            </w:pPr>
          </w:p>
        </w:tc>
        <w:tc>
          <w:tcPr>
            <w:tcW w:w="16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1,188,600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1,239,987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Property and equipment, net:</w:t>
            </w:r>
          </w:p>
        </w:tc>
        <w:tc>
          <w:tcPr>
            <w:tcW w:w="1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Equipment and software (estimated useful life of 2-7 years)</w:t>
            </w:r>
          </w:p>
        </w:tc>
        <w:tc>
          <w:tcPr>
            <w:tcW w:w="184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970,351</w:t>
            </w:r>
          </w:p>
        </w:tc>
        <w:tc>
          <w:tcPr>
            <w:tcW w:w="180" w:type="dxa"/>
            <w:vAlign w:val="bottom"/>
          </w:tcPr>
          <w:p>
            <w:pPr>
              <w:spacing w:after="0"/>
              <w:rPr>
                <w:sz w:val="12"/>
                <w:szCs w:val="12"/>
                <w:color w:val="auto"/>
              </w:rPr>
            </w:pPr>
          </w:p>
        </w:tc>
        <w:tc>
          <w:tcPr>
            <w:tcW w:w="520" w:type="dxa"/>
            <w:vAlign w:val="bottom"/>
            <w:gridSpan w:val="2"/>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864,140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CPE leased equipment (estimated useful life of 4-5 years)</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354,430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298,746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Furniture and fixtures (estimated useful life of 7 years)</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46,049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35,234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Leasehold improvements (estimated useful life of 2-17 years)</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122,021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Building (estimated useful life of 24 years)</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8,923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Land</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Construction in progress</w:t>
            </w:r>
          </w:p>
        </w:tc>
        <w:tc>
          <w:tcPr>
            <w:tcW w:w="16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167,897</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108,192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1,671,962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1,442,398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Less: accumulated depreciation</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(806,619)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(719,910)</w:t>
            </w:r>
          </w:p>
        </w:tc>
        <w:tc>
          <w:tcPr>
            <w:tcW w:w="0" w:type="dxa"/>
            <w:vAlign w:val="bottom"/>
          </w:tcPr>
          <w:p>
            <w:pPr>
              <w:spacing w:after="0"/>
              <w:rPr>
                <w:sz w:val="1"/>
                <w:szCs w:val="1"/>
                <w:color w:val="auto"/>
              </w:rPr>
            </w:pPr>
          </w:p>
        </w:tc>
      </w:tr>
      <w:tr>
        <w:trPr>
          <w:trHeight w:val="142"/>
        </w:trPr>
        <w:tc>
          <w:tcPr>
            <w:tcW w:w="6220" w:type="dxa"/>
            <w:vAlign w:val="bottom"/>
            <w:tcBorders>
              <w:top w:val="single" w:sz="8" w:color="CFF0FC"/>
              <w:bottom w:val="single" w:sz="8" w:color="CFF0FC"/>
            </w:tcBorders>
            <w:shd w:val="clear" w:color="auto" w:fill="CFF0FC"/>
          </w:tcPr>
          <w:p>
            <w:pPr>
              <w:spacing w:after="0"/>
              <w:rPr>
                <w:sz w:val="12"/>
                <w:szCs w:val="12"/>
                <w:color w:val="auto"/>
              </w:rPr>
            </w:pPr>
          </w:p>
        </w:tc>
        <w:tc>
          <w:tcPr>
            <w:tcW w:w="16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865,343</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400" w:type="dxa"/>
            <w:vAlign w:val="bottom"/>
            <w:tcBorders>
              <w:top w:val="single" w:sz="8" w:color="auto"/>
              <w:bottom w:val="single" w:sz="8" w:color="auto"/>
            </w:tcBorders>
            <w:shd w:val="clear" w:color="auto" w:fill="CFF0FC"/>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722,488</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3"/>
                <w:szCs w:val="13"/>
                <w:color w:val="auto"/>
              </w:rPr>
              <w:t>Other acquired intangible assets, net:</w:t>
            </w: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Technology (weighted average useful life of 6 years)</w:t>
            </w:r>
          </w:p>
        </w:tc>
        <w:tc>
          <w:tcPr>
            <w:tcW w:w="184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90,046</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Contracts and customer relationships (weighted average useful life of 7 years)</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103,321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103,808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 co-location rights (weighted average useful life of 9 years)</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Trade name (weighted average useful life of 3 years)</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5,940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(weighted average useful life of 6 years)</w:t>
            </w:r>
          </w:p>
        </w:tc>
        <w:tc>
          <w:tcPr>
            <w:tcW w:w="16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10,013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10,137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3" w:lineRule="exact"/>
              <w:rPr>
                <w:sz w:val="20"/>
                <w:szCs w:val="20"/>
                <w:color w:val="auto"/>
              </w:rPr>
            </w:pPr>
            <w:r>
              <w:rPr>
                <w:rFonts w:ascii="Arial" w:cs="Arial" w:eastAsia="Arial" w:hAnsi="Arial"/>
                <w:sz w:val="13"/>
                <w:szCs w:val="13"/>
                <w:color w:val="auto"/>
              </w:rPr>
              <w:t>217,920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219,137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Less: accumulated amortization</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(193,160)</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(187,275)</w:t>
            </w:r>
          </w:p>
        </w:tc>
        <w:tc>
          <w:tcPr>
            <w:tcW w:w="0" w:type="dxa"/>
            <w:vAlign w:val="bottom"/>
          </w:tcPr>
          <w:p>
            <w:pPr>
              <w:spacing w:after="0"/>
              <w:rPr>
                <w:sz w:val="1"/>
                <w:szCs w:val="1"/>
                <w:color w:val="auto"/>
              </w:rPr>
            </w:pPr>
          </w:p>
        </w:tc>
      </w:tr>
      <w:tr>
        <w:trPr>
          <w:trHeight w:val="182"/>
        </w:trPr>
        <w:tc>
          <w:tcPr>
            <w:tcW w:w="6220" w:type="dxa"/>
            <w:vAlign w:val="bottom"/>
            <w:tcBorders>
              <w:bottom w:val="single" w:sz="8" w:color="CFF0FC"/>
            </w:tcBorders>
          </w:tcPr>
          <w:p>
            <w:pPr>
              <w:spacing w:after="0"/>
              <w:rPr>
                <w:sz w:val="15"/>
                <w:szCs w:val="15"/>
                <w:color w:val="auto"/>
              </w:rPr>
            </w:pPr>
          </w:p>
        </w:tc>
        <w:tc>
          <w:tcPr>
            <w:tcW w:w="16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24,760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31,862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Other assets:</w:t>
            </w:r>
          </w:p>
        </w:tc>
        <w:tc>
          <w:tcPr>
            <w:tcW w:w="1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Investment in unconsolidated affiliate</w:t>
            </w:r>
          </w:p>
        </w:tc>
        <w:tc>
          <w:tcPr>
            <w:tcW w:w="184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162,617</w:t>
            </w:r>
          </w:p>
        </w:tc>
        <w:tc>
          <w:tcPr>
            <w:tcW w:w="180" w:type="dxa"/>
            <w:vAlign w:val="bottom"/>
          </w:tcPr>
          <w:p>
            <w:pPr>
              <w:spacing w:after="0"/>
              <w:rPr>
                <w:sz w:val="12"/>
                <w:szCs w:val="12"/>
                <w:color w:val="auto"/>
              </w:rPr>
            </w:pPr>
          </w:p>
        </w:tc>
        <w:tc>
          <w:tcPr>
            <w:tcW w:w="520" w:type="dxa"/>
            <w:vAlign w:val="bottom"/>
            <w:gridSpan w:val="2"/>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163,835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251,992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222,274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Capitalized software costs, net</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244,924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246,792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Patents, orbital slots and other licenses, net</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68,618</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37,133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FF0FC"/>
            </w:tcBorders>
            <w:shd w:val="clear" w:color="auto" w:fill="CFF0FC"/>
          </w:tcPr>
          <w:p>
            <w:pPr>
              <w:spacing w:after="0"/>
              <w:rPr>
                <w:sz w:val="12"/>
                <w:szCs w:val="12"/>
                <w:color w:val="auto"/>
              </w:rPr>
            </w:pPr>
          </w:p>
        </w:tc>
        <w:tc>
          <w:tcPr>
            <w:tcW w:w="16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744,851</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686,134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3"/>
                <w:szCs w:val="13"/>
                <w:color w:val="auto"/>
              </w:rPr>
              <w:t>Accrued liabilities:</w:t>
            </w: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Collections in excess of revenues and deferred revenues</w:t>
            </w:r>
          </w:p>
        </w:tc>
        <w:tc>
          <w:tcPr>
            <w:tcW w:w="184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127,286</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121,439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Accrued employee compensation</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55,418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vacation</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39,971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Warranty reserve, current portion</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5,311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64,274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51,752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Borders>
              <w:bottom w:val="single" w:sz="8" w:color="CFF0FC"/>
            </w:tcBorders>
          </w:tcPr>
          <w:p>
            <w:pPr>
              <w:spacing w:after="0"/>
              <w:rPr>
                <w:sz w:val="15"/>
                <w:szCs w:val="15"/>
                <w:color w:val="auto"/>
              </w:rPr>
            </w:pPr>
          </w:p>
        </w:tc>
        <w:tc>
          <w:tcPr>
            <w:tcW w:w="16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292,260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263,676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Other liabilities:</w:t>
            </w:r>
          </w:p>
        </w:tc>
        <w:tc>
          <w:tcPr>
            <w:tcW w:w="1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Deferred revenues, long-term portion</w:t>
            </w:r>
          </w:p>
        </w:tc>
        <w:tc>
          <w:tcPr>
            <w:tcW w:w="184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81,877</w:t>
            </w:r>
          </w:p>
        </w:tc>
        <w:tc>
          <w:tcPr>
            <w:tcW w:w="180" w:type="dxa"/>
            <w:vAlign w:val="bottom"/>
          </w:tcPr>
          <w:p>
            <w:pPr>
              <w:spacing w:after="0"/>
              <w:rPr>
                <w:sz w:val="12"/>
                <w:szCs w:val="12"/>
                <w:color w:val="auto"/>
              </w:rPr>
            </w:pPr>
          </w:p>
        </w:tc>
        <w:tc>
          <w:tcPr>
            <w:tcW w:w="520" w:type="dxa"/>
            <w:vAlign w:val="bottom"/>
            <w:gridSpan w:val="2"/>
          </w:tcPr>
          <w:p>
            <w:pPr>
              <w:jc w:val="right"/>
              <w:ind w:right="29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77,831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rent, long-term portion</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16,525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Warranty reserve, long-term portion</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1,696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 performance incentive obligations, long-term portion</w:t>
            </w:r>
          </w:p>
        </w:tc>
        <w:tc>
          <w:tcPr>
            <w:tcW w:w="1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25,292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6,580</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FF0FC"/>
            </w:tcBorders>
            <w:shd w:val="clear" w:color="auto" w:fill="CFF0FC"/>
          </w:tcPr>
          <w:p>
            <w:pPr>
              <w:spacing w:after="0"/>
              <w:rPr>
                <w:sz w:val="12"/>
                <w:szCs w:val="12"/>
                <w:color w:val="auto"/>
              </w:rPr>
            </w:pPr>
          </w:p>
        </w:tc>
        <w:tc>
          <w:tcPr>
            <w:tcW w:w="16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131,970</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293"/>
              <w:spacing w:after="0"/>
              <w:rPr>
                <w:sz w:val="20"/>
                <w:szCs w:val="20"/>
                <w:color w:val="auto"/>
              </w:rPr>
            </w:pPr>
            <w:r>
              <w:rPr>
                <w:rFonts w:ascii="Arial" w:cs="Arial" w:eastAsia="Arial" w:hAnsi="Arial"/>
                <w:sz w:val="9"/>
                <w:szCs w:val="9"/>
                <w:color w:val="auto"/>
                <w:w w:val="78"/>
              </w:rPr>
              <w:t>$</w:t>
            </w:r>
          </w:p>
        </w:tc>
        <w:tc>
          <w:tcPr>
            <w:tcW w:w="1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121,240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65" w:lineRule="exact"/>
        <w:rPr>
          <w:sz w:val="20"/>
          <w:szCs w:val="20"/>
          <w:color w:val="auto"/>
        </w:rPr>
      </w:pPr>
    </w:p>
    <w:p>
      <w:pPr>
        <w:ind w:right="40" w:firstLine="518"/>
        <w:spacing w:after="0" w:line="24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63"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040" w:hanging="519"/>
        <w:spacing w:after="0" w:line="25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6" w:lineRule="exact"/>
        <w:rPr>
          <w:rFonts w:ascii="Arial" w:cs="Arial" w:eastAsia="Arial" w:hAnsi="Arial"/>
          <w:sz w:val="18"/>
          <w:szCs w:val="18"/>
          <w:color w:val="auto"/>
        </w:rPr>
      </w:pPr>
    </w:p>
    <w:p>
      <w:pPr>
        <w:ind w:left="1040" w:hanging="519"/>
        <w:spacing w:after="0" w:line="27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91" w:lineRule="exact"/>
        <w:rPr>
          <w:sz w:val="20"/>
          <w:szCs w:val="20"/>
          <w:color w:val="auto"/>
        </w:rPr>
      </w:pPr>
    </w:p>
    <w:p>
      <w:pPr>
        <w:ind w:right="420" w:firstLine="518"/>
        <w:spacing w:after="0" w:line="255" w:lineRule="auto"/>
        <w:rPr>
          <w:sz w:val="20"/>
          <w:szCs w:val="20"/>
          <w:color w:val="auto"/>
        </w:rPr>
      </w:pPr>
      <w:r>
        <w:rPr>
          <w:rFonts w:ascii="Arial" w:cs="Arial" w:eastAsia="Arial" w:hAnsi="Arial"/>
          <w:sz w:val="18"/>
          <w:szCs w:val="18"/>
          <w:color w:val="auto"/>
        </w:rPr>
        <w:t>The Company had no assets and an insignificant amount of liabilities (Level 2) measured at fair value on a recurring basis as of December 31, 2018, and had an insignificant amount of assets (Level 1) and no liabilities measured at fair value on a recurring basis as of March 31, 2018.</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58" w:lineRule="exact"/>
        <w:rPr>
          <w:sz w:val="20"/>
          <w:szCs w:val="20"/>
          <w:color w:val="auto"/>
        </w:rPr>
      </w:pPr>
    </w:p>
    <w:p>
      <w:pPr>
        <w:ind w:right="380" w:firstLine="518"/>
        <w:spacing w:after="0" w:line="276"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91" w:lineRule="exact"/>
        <w:rPr>
          <w:sz w:val="20"/>
          <w:szCs w:val="20"/>
          <w:color w:val="auto"/>
        </w:rPr>
      </w:pPr>
    </w:p>
    <w:p>
      <w:pPr>
        <w:ind w:right="80" w:firstLine="518"/>
        <w:spacing w:after="0"/>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27"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as well as $700.0 million in aggregate principal amount of 2025 Notes. Long-term debt related to the Revolving Credit Facility is reported at the outstanding principal amount of borrowings, while long-term debt related to the Ex-Im Credit Facility and the Company’s current and former senior notes (including the 2025 Notes) is reported at amortized cost. However, for disclosure purposes, the Company is required to measure the fair value of outstanding debt on a recurring basis. As of December 31, 2018 and March 31, 2018, the estimated fair value of the Company’s outstanding long-term debt related to the 2025 Notes was determined based on actual or estimated bids and offers for the 2025 Notes in an over-the-counter market (Level 2) and was $644.0 million and $674.0 million, respectively. The fair value of the Company’s long-term debt related to the Revolving Credit Facility approximates its carrying amount due to its variable interest rate, which approximates a market interest rate. As of December 31, 2018 and March 31, 2018, the fair value of the Company’s long-term debt related to the Ex-Im Credit Facility was determined based on a discounted cash flow analysis using observable market interest rates for instruments with similar terms (Level 2) and was approximately $144.7 million and $347.4 million, respectively</w:t>
      </w:r>
      <w:r>
        <w:rPr>
          <w:rFonts w:ascii="Arial" w:cs="Arial" w:eastAsia="Arial" w:hAnsi="Arial"/>
          <w:sz w:val="18"/>
          <w:szCs w:val="18"/>
          <w:i w:val="1"/>
          <w:iCs w:val="1"/>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60" w:firstLine="518"/>
        <w:spacing w:after="0"/>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approximately fiscal year 2028, subject to the continued satisfactory performance of the applicable satellites. The Company records the net present value of these expected future payments as a liability and as a component of the cost of the satellite.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December 31, 2018 and March 31, 2018, the Company’s estimated satellite performance incentive obligations relating to the ViaSat-1 and ViaSat-2 satellites, including accrued interest, were $33.4 million and $21.0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Loss Per Share</w:t>
      </w:r>
    </w:p>
    <w:p>
      <w:pPr>
        <w:spacing w:after="0" w:line="79"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and nine months ended December 31, 2018 and 2017, as the Company incurred a net loss attributable to Viasat, Inc. common stockholders for such periods and inclusion of potentially dilutive weighted average shares of common stock would be antidilutive. Potentially dilutive weighted average shares of common stock excluded from the calculation for the three and nine months ended December 31, 2018 were 1,276,242 and 1,297,427 shares relating to stock options (other than TSR performance stock options), respectively, 1,101,149 and 707,353 shares relating to restricted stock units, respectively, 630,102 and 498,062 relating to TSR performance stock options, respectively, and 289,006 and 249,077 shares relating to certain terms of the ViaSat 401(k) Profit Sharing Plan and Employee Stock Purchase Plan, respectively. Potentially dilutive weighted average shares of common stock excluded from the calculation for the three and nine months ended December 31, 2017 were 1,355,232 and 1,376,667 shares relating to stock options (other than TSR performance stock options), respectively, 270,256 and 90,413 shares relating to TSR performance stock options, respectively, 1,208,047 and 811,747 shares relating to restricted stock units, respectively, and 183,537 and 163,440 shares relating to certain terms of the ViaSat 401(k) Profit Sharing Plan and Employee Stock Purchase Plan,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65" w:lineRule="exact"/>
        <w:rPr>
          <w:sz w:val="20"/>
          <w:szCs w:val="20"/>
          <w:color w:val="auto"/>
        </w:rPr>
      </w:pPr>
    </w:p>
    <w:p>
      <w:pPr>
        <w:ind w:right="640" w:firstLine="518"/>
        <w:spacing w:after="0" w:line="276" w:lineRule="auto"/>
        <w:rPr>
          <w:sz w:val="20"/>
          <w:szCs w:val="20"/>
          <w:color w:val="auto"/>
        </w:rPr>
      </w:pPr>
      <w:r>
        <w:rPr>
          <w:rFonts w:ascii="Arial" w:cs="Arial" w:eastAsia="Arial" w:hAnsi="Arial"/>
          <w:sz w:val="18"/>
          <w:szCs w:val="18"/>
          <w:color w:val="auto"/>
        </w:rPr>
        <w:t>During the nine months ended December 31, 2018, the increase in the Company’s goodwill related to an insignificant acquisition, partially offset by the effects of foreign currency translation recorded within all three of the Company’s segments.</w:t>
      </w:r>
    </w:p>
    <w:p>
      <w:pPr>
        <w:spacing w:after="0" w:line="91"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$2.5 million and $3.2 million for the three months ended December 31, 2018 and 2017, respectively, and $7.4 million and $9.8 million for the nine months ended December 31, 2018 and 2017, respectively.</w:t>
      </w:r>
    </w:p>
    <w:p>
      <w:pPr>
        <w:spacing w:after="0" w:line="11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rPr>
              <w:t>Amortization</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For the nine months ended December 31, 2018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jc w:val="right"/>
              <w:ind w:right="1070"/>
              <w:spacing w:after="0"/>
              <w:rPr>
                <w:sz w:val="20"/>
                <w:szCs w:val="20"/>
                <w:color w:val="auto"/>
              </w:rPr>
            </w:pPr>
            <w:r>
              <w:rPr>
                <w:rFonts w:ascii="Arial" w:cs="Arial" w:eastAsia="Arial" w:hAnsi="Arial"/>
                <w:sz w:val="18"/>
                <w:szCs w:val="18"/>
                <w:color w:val="auto"/>
              </w:rPr>
              <w:t>24</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69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300" w:type="dxa"/>
            <w:vAlign w:val="bottom"/>
            <w:tcBorders>
              <w:bottom w:val="single" w:sz="8" w:color="9A9A9A"/>
            </w:tcBorders>
          </w:tcPr>
          <w:p>
            <w:pPr>
              <w:spacing w:after="0"/>
              <w:rPr>
                <w:sz w:val="8"/>
                <w:szCs w:val="8"/>
                <w:color w:val="auto"/>
              </w:rPr>
            </w:pPr>
          </w:p>
        </w:tc>
        <w:tc>
          <w:tcPr>
            <w:tcW w:w="46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December 31, 2018 and March 31, 2018:</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77"/>
        </w:trPr>
        <w:tc>
          <w:tcPr>
            <w:tcW w:w="50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 2018</w:t>
            </w:r>
          </w:p>
        </w:tc>
      </w:tr>
      <w:tr>
        <w:trPr>
          <w:trHeight w:val="169"/>
        </w:trPr>
        <w:tc>
          <w:tcPr>
            <w:tcW w:w="50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600" w:type="dxa"/>
            <w:vAlign w:val="bottom"/>
            <w:tcBorders>
              <w:top w:val="single" w:sz="8" w:color="auto"/>
            </w:tcBorders>
            <w:gridSpan w:val="5"/>
          </w:tcPr>
          <w:p>
            <w:pPr>
              <w:jc w:val="right"/>
              <w:ind w:right="87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152,286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362,401</w:t>
            </w:r>
          </w:p>
        </w:tc>
        <w:tc>
          <w:tcPr>
            <w:tcW w:w="80" w:type="dxa"/>
            <w:vAlign w:val="bottom"/>
            <w:shd w:val="clear" w:color="auto" w:fill="CFF0FC"/>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1,177,286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1,062,401</w:t>
            </w:r>
          </w:p>
        </w:tc>
        <w:tc>
          <w:tcPr>
            <w:tcW w:w="8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(18,696)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(38,696)</w:t>
            </w:r>
          </w:p>
        </w:tc>
      </w:tr>
      <w:tr>
        <w:trPr>
          <w:trHeight w:val="216"/>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21,755</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45,300</w:t>
            </w:r>
          </w:p>
        </w:tc>
        <w:tc>
          <w:tcPr>
            <w:tcW w:w="80" w:type="dxa"/>
            <w:vAlign w:val="bottom"/>
            <w:tcBorders>
              <w:bottom w:val="single" w:sz="8" w:color="CFF0FC"/>
            </w:tcBorders>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1,136,835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978,405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63" w:lineRule="exact"/>
        <w:rPr>
          <w:sz w:val="20"/>
          <w:szCs w:val="20"/>
          <w:color w:val="auto"/>
        </w:rPr>
      </w:pPr>
    </w:p>
    <w:p>
      <w:pPr>
        <w:ind w:right="120" w:firstLine="518"/>
        <w:spacing w:after="0" w:line="276" w:lineRule="auto"/>
        <w:rPr>
          <w:sz w:val="20"/>
          <w:szCs w:val="20"/>
          <w:color w:val="auto"/>
        </w:rPr>
      </w:pPr>
      <w:r>
        <w:rPr>
          <w:rFonts w:ascii="Arial" w:cs="Arial" w:eastAsia="Arial" w:hAnsi="Arial"/>
          <w:sz w:val="18"/>
          <w:szCs w:val="18"/>
          <w:color w:val="auto"/>
        </w:rPr>
        <w:t>As of December 31, 2018, the Revolving Credit Facility provided an $800.0 million revolving line of credit (including up to $150.0 million of letters of credit), with a maturity date of May 24, 2021.</w:t>
      </w:r>
    </w:p>
    <w:p>
      <w:pPr>
        <w:spacing w:after="0" w:line="91"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December 31, 2018, the weighted average effective interest rate on the Company’s outstanding borrowings under the Revolving Credit Facility was 5.18%.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December 31, 2018, none of the Company’s subsidiaries guaranteed the Revolving Credit Facility.</w:t>
      </w:r>
    </w:p>
    <w:p>
      <w:pPr>
        <w:spacing w:after="0" w:line="127" w:lineRule="exact"/>
        <w:rPr>
          <w:sz w:val="20"/>
          <w:szCs w:val="20"/>
          <w:color w:val="auto"/>
        </w:rPr>
      </w:pPr>
    </w:p>
    <w:p>
      <w:pPr>
        <w:jc w:val="both"/>
        <w:ind w:right="160" w:firstLine="518"/>
        <w:spacing w:after="0" w:line="255"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10" w:lineRule="exact"/>
        <w:rPr>
          <w:sz w:val="20"/>
          <w:szCs w:val="20"/>
          <w:color w:val="auto"/>
        </w:rPr>
      </w:pPr>
    </w:p>
    <w:p>
      <w:pPr>
        <w:ind w:right="180" w:firstLine="518"/>
        <w:spacing w:after="0" w:line="248" w:lineRule="auto"/>
        <w:rPr>
          <w:sz w:val="20"/>
          <w:szCs w:val="20"/>
          <w:color w:val="auto"/>
        </w:rPr>
      </w:pPr>
      <w:r>
        <w:rPr>
          <w:rFonts w:ascii="Arial" w:cs="Arial" w:eastAsia="Arial" w:hAnsi="Arial"/>
          <w:sz w:val="18"/>
          <w:szCs w:val="18"/>
          <w:color w:val="auto"/>
        </w:rPr>
        <w:t>The Company was in compliance with its financial covenants under the Revolving Credit Facility as of December 31, 2018. At December 31, 2018, the Company had $325.0 million in principal amount of outstanding borrowings under the Revolving Credit Facility and $19.8 million outstanding under standby letters of credit, leaving borrowing availability under the Revolving Credit Facility as of December 31, 2018 of $455.2 million.</w:t>
      </w:r>
    </w:p>
    <w:p>
      <w:pPr>
        <w:spacing w:after="0" w:line="117" w:lineRule="exact"/>
        <w:rPr>
          <w:sz w:val="20"/>
          <w:szCs w:val="20"/>
          <w:color w:val="auto"/>
        </w:rPr>
      </w:pPr>
    </w:p>
    <w:p>
      <w:pPr>
        <w:ind w:right="520" w:firstLine="518"/>
        <w:spacing w:after="0" w:line="276" w:lineRule="auto"/>
        <w:rPr>
          <w:sz w:val="20"/>
          <w:szCs w:val="20"/>
          <w:color w:val="auto"/>
        </w:rPr>
      </w:pPr>
      <w:r>
        <w:rPr>
          <w:rFonts w:ascii="Arial" w:cs="Arial" w:eastAsia="Arial" w:hAnsi="Arial"/>
          <w:sz w:val="18"/>
          <w:szCs w:val="18"/>
          <w:color w:val="auto"/>
        </w:rPr>
        <w:t>On January 18, 2019, subsequent to the end of the fiscal third quarter, the Revolving Credit Facility was amended to, among other matters, extend the maturity date from May 2021 to January 2024, reduce the interest margin and provide additional covenant flexibility.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63" w:lineRule="exact"/>
        <w:rPr>
          <w:sz w:val="20"/>
          <w:szCs w:val="20"/>
          <w:color w:val="auto"/>
        </w:rPr>
      </w:pPr>
    </w:p>
    <w:p>
      <w:pPr>
        <w:ind w:firstLine="518"/>
        <w:spacing w:after="0" w:line="243" w:lineRule="auto"/>
        <w:rPr>
          <w:sz w:val="20"/>
          <w:szCs w:val="20"/>
          <w:color w:val="auto"/>
        </w:rPr>
      </w:pPr>
      <w:r>
        <w:rPr>
          <w:rFonts w:ascii="Arial" w:cs="Arial" w:eastAsia="Arial" w:hAnsi="Arial"/>
          <w:sz w:val="18"/>
          <w:szCs w:val="18"/>
          <w:color w:val="auto"/>
        </w:rPr>
        <w:t>As of December 31, 2018,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As of December 31, 2018, the Company had $152.3 million in principal amount of outstanding borrowings under the Ex-Im Credit Facility.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4.52%. Borrowings under the Ex-Im Credit Facility are required to be repaid in 16 approximately equal semi-annual principal installments, which commenced on April 15, 2018, with a maturity date of October 15, 2025. Pursuant to the terms of the Ex-Im Credit Facility, certain insurance recovery proceeds related to the ViaSat-2 satellite must be used to pay down outstanding borrowings under the Ex-Im Credit Facility upon receipt. During the second and third quarters of fiscal year 2019, the Company received $172.2 million of insurance proceeds related to the ViaSat-2 satellite, all of which were used to pay down outstanding borrowings under the Ex-Im Credit Facility upon receipt (see Note 1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27"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December 31, 2018.</w:t>
      </w:r>
    </w:p>
    <w:p>
      <w:pPr>
        <w:spacing w:after="0" w:line="117" w:lineRule="exact"/>
        <w:rPr>
          <w:sz w:val="20"/>
          <w:szCs w:val="20"/>
          <w:color w:val="auto"/>
        </w:rPr>
      </w:pPr>
    </w:p>
    <w:p>
      <w:pPr>
        <w:ind w:right="180" w:firstLine="518"/>
        <w:spacing w:after="0" w:line="245"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 -term debt, net of unamortized discount and debt issuance costs, in the Company’s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is amortized to interest expense on an effective interest rate basis over the weighted average term of the Ex-Im Credit Facility and in accordance with the related payment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firstLine="518"/>
        <w:spacing w:after="0" w:line="243"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20"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December 31, 2018,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2025 Notes, and are senior in right of payment to all of their existing and future subordinated indebtedness.</w:t>
      </w:r>
    </w:p>
    <w:p>
      <w:pPr>
        <w:spacing w:after="0" w:line="125" w:lineRule="exact"/>
        <w:rPr>
          <w:sz w:val="20"/>
          <w:szCs w:val="20"/>
          <w:color w:val="auto"/>
        </w:rPr>
      </w:pPr>
    </w:p>
    <w:p>
      <w:pPr>
        <w:ind w:right="100" w:firstLine="518"/>
        <w:spacing w:after="0" w:line="245"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w:t>
      </w:r>
    </w:p>
    <w:p>
      <w:pPr>
        <w:spacing w:after="0" w:line="4"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101.406%, and at any time on or after September 15, 2022 at a redemption price of 100%, in each case plus accrued and unpaid interest, if any, thereon to the redemption date.</w:t>
      </w:r>
    </w:p>
    <w:p>
      <w:pPr>
        <w:spacing w:after="0" w:line="112" w:lineRule="exact"/>
        <w:rPr>
          <w:sz w:val="20"/>
          <w:szCs w:val="20"/>
          <w:color w:val="auto"/>
        </w:rPr>
      </w:pPr>
    </w:p>
    <w:p>
      <w:pPr>
        <w:jc w:val="both"/>
        <w:ind w:right="460" w:firstLine="518"/>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7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In connection with the Company’s issuance of the 2025 Notes in September 2017, the Company repurchased and redeemed all of its $575.0 million in aggregate principal amount of 6.875% Notes due 2020 (the 2020 Notes) then outstanding through a cash tender offer and redemption, and the indenture governing the 2020 Notes was satisfied and discharged in accordance with its terms. In September 2017, the Company repurchased $ 298.2 million in aggregate principal amount of the 2020 Notes pursuant to the tender offer. The total cash payment to repurchase the tendered 2020 Notes in the tender offer, including accrued and unpaid interest to, but excluding, the repurchase date, was $309.3 million. Also in September 2017, in connection with the redemption of the remaining $276.8 million in aggregate principal amount of 2020 Notes, the Company irrevocably deposited $ 287.4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2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connection with the satisfaction and discharge of the indenture governing the 2020 Notes, all of the obligations of the Company (other than certain customary provisions of the indenture that expressly survive pursuant to the terms of the indenture) were discharged in September 2017.</w:t>
      </w:r>
    </w:p>
    <w:p>
      <w:pPr>
        <w:spacing w:after="0" w:line="110"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the Company recognized a $10.2 million loss on extinguishment of debt during the second quarter of fiscal year 2018, which was comprised of $10.6 million in cash payments (including tender offer consideration, redemption premium and related professional fees), net of $0.4 million in non-cash gain (including unamortized premium, net of unamortized debt issuance costs).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79"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2018 and 2017:</w:t>
      </w:r>
    </w:p>
    <w:p>
      <w:pPr>
        <w:spacing w:after="0" w:line="265" w:lineRule="exact"/>
        <w:rPr>
          <w:sz w:val="20"/>
          <w:szCs w:val="20"/>
          <w:color w:val="auto"/>
        </w:rPr>
      </w:pPr>
    </w:p>
    <w:tbl>
      <w:tblPr>
        <w:tblLayout w:type="fixed"/>
        <w:tblInd w:w="1720" w:type="dxa"/>
        <w:tblCellMar>
          <w:top w:w="0" w:type="dxa"/>
          <w:left w:w="0" w:type="dxa"/>
          <w:bottom w:w="0" w:type="dxa"/>
          <w:right w:w="0" w:type="dxa"/>
        </w:tblCellMar>
      </w:tblPr>
      <w:tr>
        <w:trPr>
          <w:trHeight w:val="177"/>
        </w:trPr>
        <w:tc>
          <w:tcPr>
            <w:tcW w:w="50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left="136"/>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4"/>
          </w:tcPr>
          <w:p>
            <w:pPr>
              <w:jc w:val="center"/>
              <w:ind w:left="116"/>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80" w:type="dxa"/>
            <w:vAlign w:val="bottom"/>
            <w:shd w:val="clear" w:color="auto" w:fill="CFF0FC"/>
          </w:tcPr>
          <w:p>
            <w:pPr>
              <w:spacing w:after="0"/>
              <w:rPr>
                <w:sz w:val="18"/>
                <w:szCs w:val="18"/>
                <w:color w:val="auto"/>
              </w:rPr>
            </w:pPr>
          </w:p>
        </w:tc>
      </w:tr>
      <w:tr>
        <w:trPr>
          <w:trHeight w:val="216"/>
        </w:trPr>
        <w:tc>
          <w:tcPr>
            <w:tcW w:w="500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r>
      <w:tr>
        <w:trPr>
          <w:trHeight w:val="193"/>
        </w:trPr>
        <w:tc>
          <w:tcPr>
            <w:tcW w:w="5000" w:type="dxa"/>
            <w:vAlign w:val="bottom"/>
            <w:shd w:val="clear" w:color="auto" w:fill="CFF0FC"/>
          </w:tcPr>
          <w:p>
            <w:pPr>
              <w:ind w:left="240"/>
              <w:spacing w:after="0" w:line="194" w:lineRule="exact"/>
              <w:rPr>
                <w:sz w:val="20"/>
                <w:szCs w:val="20"/>
                <w:color w:val="auto"/>
              </w:rPr>
            </w:pPr>
            <w:r>
              <w:rPr>
                <w:rFonts w:ascii="Arial" w:cs="Arial" w:eastAsia="Arial" w:hAnsi="Arial"/>
                <w:sz w:val="18"/>
                <w:szCs w:val="18"/>
                <w:color w:val="auto"/>
              </w:rPr>
              <w:t>Settlements made (in cash or in kind) during the</w:t>
            </w: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25"/>
        </w:trPr>
        <w:tc>
          <w:tcPr>
            <w:tcW w:w="50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period</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(2,889)</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(3,931)</w:t>
            </w: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7,345</w:t>
            </w: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65"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In July 2016, the Company entered into two separate agreements with Boeing for the construction and purchase of two ViaSat-3 class satellites and the integration of Viasat’s payload technologies into the satellites. Pursuant to these agreements, as amended, the aggregate purchase price for the two satellites is approximately $390.1 million (subject to purchase price adjustments based on factors such as launch delay and early delivery), plus an additional amount for launch support services to be performed by Boeing. In addition, under one of these agreements, the Company has the option to order one additional ViaSat-3 class satellite, with respect to which the Company signed an agreement to proceed in January 2019 for the third ViaSat-3 class satellite. The first ViaSat-3 class satellite is expected to provide broadband services over the Americas, the second is expected to provide broadband services over the Europe, Middle East and Africa (EMEA) region, and the third is expected to provide broadband services over the Asia and Pacific (APAC) region, enabling the Company to deliver affordable connectivity worldwide.</w:t>
      </w:r>
    </w:p>
    <w:p>
      <w:pPr>
        <w:spacing w:after="0" w:line="16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25"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2016 through 2018. As of December 31, 2018, the DCAA had completed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2018 and March 31, 2018, the Company had $4.9 million and $1.6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65" w:lineRule="exact"/>
        <w:rPr>
          <w:sz w:val="20"/>
          <w:szCs w:val="20"/>
          <w:color w:val="auto"/>
        </w:rPr>
      </w:pPr>
    </w:p>
    <w:p>
      <w:pPr>
        <w:ind w:right="260" w:firstLine="518"/>
        <w:spacing w:after="0" w:line="276" w:lineRule="auto"/>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w:t>
      </w:r>
    </w:p>
    <w:p>
      <w:pPr>
        <w:spacing w:after="0" w:line="91" w:lineRule="exact"/>
        <w:rPr>
          <w:sz w:val="20"/>
          <w:szCs w:val="20"/>
          <w:color w:val="auto"/>
        </w:rPr>
      </w:pPr>
    </w:p>
    <w:p>
      <w:pPr>
        <w:ind w:right="80" w:firstLine="518"/>
        <w:spacing w:after="0" w:line="248" w:lineRule="auto"/>
        <w:rPr>
          <w:sz w:val="20"/>
          <w:szCs w:val="20"/>
          <w:color w:val="auto"/>
        </w:rPr>
      </w:pPr>
      <w:r>
        <w:rPr>
          <w:rFonts w:ascii="Arial" w:cs="Arial" w:eastAsia="Arial" w:hAnsi="Arial"/>
          <w:sz w:val="18"/>
          <w:szCs w:val="18"/>
          <w:color w:val="auto"/>
        </w:rPr>
        <w:t>For the three and nine months ended December 31, 2018, the Company recorded an income tax expense of $3.2 million and an income tax benefit of $35.7 million, respectively, resulting in a negative effective tax rate of 36% and an effective tax benefit rate of 32%, respectively. The effective tax rates for the periods differed from the U.S. statutory rate due primarily to the benefit of research and development tax credits, offset by an increase in valuation allowances on state net operating losses and state research and development tax credits.</w:t>
      </w:r>
    </w:p>
    <w:p>
      <w:pPr>
        <w:spacing w:after="0" w:line="117" w:lineRule="exact"/>
        <w:rPr>
          <w:sz w:val="20"/>
          <w:szCs w:val="20"/>
          <w:color w:val="auto"/>
        </w:rPr>
      </w:pPr>
    </w:p>
    <w:p>
      <w:pPr>
        <w:ind w:right="80" w:firstLine="518"/>
        <w:spacing w:after="0" w:line="243" w:lineRule="auto"/>
        <w:rPr>
          <w:sz w:val="20"/>
          <w:szCs w:val="20"/>
          <w:color w:val="auto"/>
        </w:rPr>
      </w:pPr>
      <w:r>
        <w:rPr>
          <w:rFonts w:ascii="Arial" w:cs="Arial" w:eastAsia="Arial" w:hAnsi="Arial"/>
          <w:sz w:val="18"/>
          <w:szCs w:val="18"/>
          <w:color w:val="auto"/>
        </w:rPr>
        <w:t>For the three and nine months ended December 31, 2017, the Company recorded an income tax expense of $2.2 million and an income tax benefit of $18.5 million, respectively, resulting in a negative effective tax rate of 9% and an effective tax benefit rate of 27%, respectively. The effective tax rates for the periods differed from the U.S. statutory rate due primarily to the benefit of research and development tax credits, offset by additional income tax expense due to the revaluation of net deferred tax assets resulting from the lowering of the corporate federal income tax rate from 35% to 21% under H.R.1, informally known as the Tax Cuts and Jobs Act, which was enacted into law on December 22, 2017 (the Tax Reform).</w:t>
      </w:r>
    </w:p>
    <w:p>
      <w:pPr>
        <w:spacing w:after="0" w:line="120"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For the three and nine months ended December 31, 2018, the Company’s gross unrecognized tax benefits decreased by an insignificant amount and increased by $5.1 million, respectively. In the next 12 months it is reasonably possible that the amount of unrecognized tax benefits will not change significantly.</w:t>
      </w:r>
    </w:p>
    <w:p>
      <w:pPr>
        <w:spacing w:after="0" w:line="110" w:lineRule="exact"/>
        <w:rPr>
          <w:sz w:val="20"/>
          <w:szCs w:val="20"/>
          <w:color w:val="auto"/>
        </w:rPr>
      </w:pPr>
    </w:p>
    <w:p>
      <w:pPr>
        <w:ind w:right="280" w:firstLine="518"/>
        <w:spacing w:after="0" w:line="276" w:lineRule="auto"/>
        <w:rPr>
          <w:sz w:val="20"/>
          <w:szCs w:val="20"/>
          <w:color w:val="auto"/>
        </w:rPr>
      </w:pPr>
      <w:r>
        <w:rPr>
          <w:rFonts w:ascii="Arial" w:cs="Arial" w:eastAsia="Arial" w:hAnsi="Arial"/>
          <w:sz w:val="18"/>
          <w:szCs w:val="18"/>
          <w:color w:val="auto"/>
        </w:rPr>
        <w:t>Among other matters, the Tax Reform lowered the corporate federal income tax rate from 35% to 21%, effective January 1, 2018, and transitioned U.S. international taxation from a worldwide tax system to a modified territorial tax system.</w:t>
      </w:r>
    </w:p>
    <w:p>
      <w:pPr>
        <w:spacing w:after="0" w:line="91"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The Securities and Exchange Commission issued rules under SAB 118 that allowed for a measurement period of up to one year after the enactment date of the Tax Reform to finalize the recording of the related enactment-date tax impacts. The Company finalized its accounting for the related enactment-date tax impacts during the three and nine months ended December 31, 2018 with no adjustments to the provisional estimate recorded at December 31, 2017. For the three and nine months ended December 31, 2018, the Company has accounted for the fiscal year 2019 impacts of the Tax Reform in its (provision for) benefit from income taxes in accordance with its interpretation of the Tax Reform and available guidance. However, additional Treasury regulations and other interpretive guidance are expected. The impact of any additional guidance will be recorded in the subsequent periods in which the additional guidance is released.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ind w:right="5340"/>
        <w:spacing w:after="0" w:line="322"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Eutelsat strategic partnering arrangement</w:t>
      </w:r>
    </w:p>
    <w:p>
      <w:pPr>
        <w:ind w:firstLine="518"/>
        <w:spacing w:after="0" w:line="237"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S.A. (together with its affiliates,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foreign currency translation losses, net of tax, of an insignificant amount and $3.8 million for the three and nine months ended December 31, 2018, respectively, in accumulated other comprehensive income (loss). The Company recorded foreign currency translation gains, net of tax, of approximately $3.2 million and $ 10.9 million for the three and nine months ended December 31, 2017,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and nine months ended September 30, 2018 in its condensed consolidated financial statements for the three and nine months ended December 31, 2018,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33"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December 31, 2018 and March 31, 2018 is summarized as follows:</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3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162,617</w:t>
            </w:r>
          </w:p>
        </w:tc>
        <w:tc>
          <w:tcPr>
            <w:tcW w:w="1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61"/>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163,835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line="175" w:lineRule="exact"/>
              <w:rPr>
                <w:sz w:val="20"/>
                <w:szCs w:val="20"/>
                <w:color w:val="auto"/>
              </w:rPr>
            </w:pPr>
            <w:r>
              <w:rPr>
                <w:rFonts w:ascii="Arial" w:cs="Arial" w:eastAsia="Arial" w:hAnsi="Arial"/>
                <w:sz w:val="17"/>
                <w:szCs w:val="17"/>
                <w:color w:val="auto"/>
              </w:rPr>
              <w:t>Less: proportionate share of net assets of Euro</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146,250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147,115</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00" w:type="dxa"/>
            <w:vAlign w:val="bottom"/>
            <w:shd w:val="clear" w:color="auto" w:fill="CFF0FC"/>
          </w:tcPr>
          <w:p>
            <w:pPr>
              <w:ind w:left="240"/>
              <w:spacing w:after="0" w:line="168" w:lineRule="exact"/>
              <w:rPr>
                <w:sz w:val="20"/>
                <w:szCs w:val="20"/>
                <w:color w:val="auto"/>
              </w:rPr>
            </w:pPr>
            <w:r>
              <w:rPr>
                <w:rFonts w:ascii="Arial" w:cs="Arial" w:eastAsia="Arial" w:hAnsi="Arial"/>
                <w:sz w:val="17"/>
                <w:szCs w:val="17"/>
                <w:color w:val="auto"/>
              </w:rPr>
              <w:t>Excess carrying value of investment over</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FF0FC"/>
          </w:tcPr>
          <w:p>
            <w:pPr>
              <w:ind w:left="400"/>
              <w:spacing w:after="0"/>
              <w:rPr>
                <w:sz w:val="20"/>
                <w:szCs w:val="20"/>
                <w:color w:val="auto"/>
              </w:rPr>
            </w:pPr>
            <w:r>
              <w:rPr>
                <w:rFonts w:ascii="Arial" w:cs="Arial" w:eastAsia="Arial" w:hAnsi="Arial"/>
                <w:sz w:val="17"/>
                <w:szCs w:val="17"/>
                <w:color w:val="auto"/>
              </w:rPr>
              <w:t>proportionate share of net assets</w:t>
            </w:r>
          </w:p>
        </w:tc>
        <w:tc>
          <w:tcPr>
            <w:tcW w:w="3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16,367</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1"/>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22,791</w:t>
            </w:r>
          </w:p>
        </w:tc>
        <w:tc>
          <w:tcPr>
            <w:tcW w:w="1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61"/>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(19,255)</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(21,342)</w:t>
            </w: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16,367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61"/>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16,720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120" w:firstLine="518"/>
        <w:spacing w:after="0" w:line="255" w:lineRule="auto"/>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The Company’s share of income on its investment in Euro Infrastructure Co. was income of $1.4 million and $2.7 million for the three and nine months ended December 31, 2018, respectively, and income of $1.4 million and $ 1.6 million for the three and nine months ended December 31, 2017, consisting of the Company’s share of equity in Euro Infrastructure Co.’s income, including amortization of the difference in the historical basis of the Company’s contribution.</w:t>
      </w:r>
    </w:p>
    <w:p>
      <w:pPr>
        <w:spacing w:after="0" w:line="117" w:lineRule="exact"/>
        <w:rPr>
          <w:sz w:val="20"/>
          <w:szCs w:val="20"/>
          <w:color w:val="auto"/>
        </w:rPr>
      </w:pPr>
    </w:p>
    <w:p>
      <w:pPr>
        <w:ind w:right="580" w:firstLine="518"/>
        <w:spacing w:after="0" w:line="276" w:lineRule="auto"/>
        <w:rPr>
          <w:sz w:val="20"/>
          <w:szCs w:val="20"/>
          <w:color w:val="auto"/>
        </w:rPr>
      </w:pPr>
      <w:r>
        <w:rPr>
          <w:rFonts w:ascii="Arial" w:cs="Arial" w:eastAsia="Arial" w:hAnsi="Arial"/>
          <w:sz w:val="18"/>
          <w:szCs w:val="18"/>
          <w:color w:val="auto"/>
        </w:rPr>
        <w:t>Since acquiring its interest in Euro Infrastructure Co., the Company has recorded $5.7 million in retained earnings of undistributed cumulative earnings in equity interests, net of tax, as of December 31,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77"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Transactions with the equity method investee are considered related-party transactions. In addition, Richard Baldridge, the President and Chief Operating Officer and a Director of the Company, also serves on the board of directors of Ducommun Inc. The following tables set forth the material related-party transactions entered into between Euro Infrastructure Co. and its subsidiaries, or Ducommon Inc. (inventory procurement) on the one hand, and the Company and its subsidiaries, on the other hand, in the ordinary course of business for the time periods presented:</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1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175"/>
              <w:spacing w:after="0" w:line="154"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88"/>
              <w:spacing w:after="0" w:line="154" w:lineRule="exact"/>
              <w:rPr>
                <w:sz w:val="20"/>
                <w:szCs w:val="20"/>
                <w:color w:val="auto"/>
              </w:rPr>
            </w:pPr>
            <w:r>
              <w:rPr>
                <w:rFonts w:ascii="Arial" w:cs="Arial" w:eastAsia="Arial" w:hAnsi="Arial"/>
                <w:sz w:val="14"/>
                <w:szCs w:val="14"/>
                <w:b w:val="1"/>
                <w:bCs w:val="1"/>
                <w:color w:val="auto"/>
              </w:rPr>
              <w:t>December 31,</w:t>
            </w:r>
          </w:p>
        </w:tc>
        <w:tc>
          <w:tcPr>
            <w:tcW w:w="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Borders>
              <w:top w:val="single" w:sz="8" w:color="auto"/>
            </w:tcBorders>
            <w:gridSpan w:val="3"/>
          </w:tcPr>
          <w:p>
            <w:pPr>
              <w:jc w:val="right"/>
              <w:ind w:right="174"/>
              <w:spacing w:after="0" w:line="154" w:lineRule="exact"/>
              <w:rPr>
                <w:sz w:val="20"/>
                <w:szCs w:val="20"/>
                <w:color w:val="auto"/>
              </w:rPr>
            </w:pPr>
            <w:r>
              <w:rPr>
                <w:rFonts w:ascii="Arial" w:cs="Arial" w:eastAsia="Arial" w:hAnsi="Arial"/>
                <w:sz w:val="14"/>
                <w:szCs w:val="14"/>
                <w:b w:val="1"/>
                <w:bCs w:val="1"/>
                <w:color w:val="auto"/>
              </w:rPr>
              <w:t>December 31,</w:t>
            </w: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180"/>
              <w:spacing w:after="0" w:line="154"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r>
      <w:tr>
        <w:trPr>
          <w:trHeight w:val="177"/>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6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1,945</w:t>
            </w:r>
          </w:p>
        </w:tc>
        <w:tc>
          <w:tcPr>
            <w:tcW w:w="640" w:type="dxa"/>
            <w:vAlign w:val="bottom"/>
            <w:gridSpan w:val="3"/>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4,798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Expense – Euro Infrastructure Co.</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5,664</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10,254</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8"/>
                <w:szCs w:val="18"/>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4,048</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10,102</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6,540</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Cash paid – Euro Infrastructure Co.</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6,585</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10,677</w:t>
            </w: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5,416</w:t>
            </w:r>
          </w:p>
        </w:tc>
        <w:tc>
          <w:tcPr>
            <w:tcW w:w="120" w:type="dxa"/>
            <w:vAlign w:val="bottom"/>
          </w:tcPr>
          <w:p>
            <w:pPr>
              <w:spacing w:after="0"/>
              <w:rPr>
                <w:sz w:val="18"/>
                <w:szCs w:val="18"/>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 Ducommun Inc.</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8,209</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15,188</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363"/>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2018</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1140" w:type="dxa"/>
            <w:vAlign w:val="bottom"/>
          </w:tcPr>
          <w:p>
            <w:pPr>
              <w:spacing w:after="0"/>
              <w:rPr>
                <w:sz w:val="18"/>
                <w:szCs w:val="18"/>
                <w:color w:val="auto"/>
              </w:rPr>
            </w:pPr>
          </w:p>
        </w:tc>
        <w:tc>
          <w:tcPr>
            <w:tcW w:w="3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receivable – Euro Infrastructure Co.</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80" w:type="dxa"/>
            <w:vAlign w:val="bottom"/>
            <w:tcBorders>
              <w:right w:val="single" w:sz="8" w:color="CFF0FC"/>
            </w:tcBorders>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1140" w:type="dxa"/>
            <w:vAlign w:val="bottom"/>
          </w:tcPr>
          <w:p>
            <w:pPr>
              <w:spacing w:after="0"/>
              <w:rPr>
                <w:sz w:val="16"/>
                <w:szCs w:val="16"/>
                <w:color w:val="auto"/>
              </w:rPr>
            </w:pPr>
          </w:p>
        </w:tc>
        <w:tc>
          <w:tcPr>
            <w:tcW w:w="3780" w:type="dxa"/>
            <w:vAlign w:val="bottom"/>
            <w:gridSpan w:val="3"/>
          </w:tcPr>
          <w:p>
            <w:pPr>
              <w:spacing w:after="0" w:line="194" w:lineRule="exact"/>
              <w:rPr>
                <w:sz w:val="20"/>
                <w:szCs w:val="20"/>
                <w:color w:val="auto"/>
              </w:rPr>
            </w:pPr>
            <w:r>
              <w:rPr>
                <w:rFonts w:ascii="Arial" w:cs="Arial" w:eastAsia="Arial" w:hAnsi="Arial"/>
                <w:sz w:val="18"/>
                <w:szCs w:val="18"/>
                <w:color w:val="auto"/>
              </w:rPr>
              <w:t>Collections in excess of revenues and deferred</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114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revenues – Euro Infrastructure Co.</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8"/>
                <w:szCs w:val="18"/>
                <w:color w:val="auto"/>
              </w:rPr>
              <w:t>7,438</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3,246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 Ducommun Inc.</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4,287</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80" w:type="dxa"/>
            <w:vAlign w:val="bottom"/>
            <w:tcBorders>
              <w:right w:val="single" w:sz="8" w:color="CFF0FC"/>
            </w:tcBorders>
            <w:shd w:val="clear" w:color="auto" w:fill="CFF0FC"/>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690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06" w:lineRule="exact"/>
        <w:rPr>
          <w:sz w:val="20"/>
          <w:szCs w:val="20"/>
          <w:color w:val="auto"/>
        </w:rPr>
      </w:pPr>
    </w:p>
    <w:p>
      <w:pPr>
        <w:ind w:right="6220" w:firstLine="8"/>
        <w:spacing w:after="0" w:line="323" w:lineRule="auto"/>
        <w:tabs>
          <w:tab w:leader="none" w:pos="5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was no related-party activity for the period indicated. ** Amount was insignificant.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79"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consumers,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nine months ended December 31, 2018 and 2017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260"/>
              <w:spacing w:after="0" w:line="154"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2"/>
              <w:spacing w:after="0" w:line="154"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260"/>
              <w:spacing w:after="0" w:line="154"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2"/>
              <w:spacing w:after="0" w:line="154"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Satellite services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Product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Service</w:t>
            </w:r>
          </w:p>
        </w:tc>
        <w:tc>
          <w:tcPr>
            <w:tcW w:w="4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177,651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144,310</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494,174</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443,671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144,543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Commercial networks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Product</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Service</w:t>
            </w:r>
          </w:p>
        </w:tc>
        <w:tc>
          <w:tcPr>
            <w:tcW w:w="4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336,563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Government systems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Product</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128,651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495,697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392,291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Service</w:t>
            </w:r>
          </w:p>
        </w:tc>
        <w:tc>
          <w:tcPr>
            <w:tcW w:w="4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53,107</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184,603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161,276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181,758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Elimination of intersegment revenues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554,694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381,837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1,511,037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1,154,955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Satellite services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(10,196)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(64,971)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networks</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(53,505)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(117,424)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Government systems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119,727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Elimination of intersegment operating profits</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4160" w:type="dxa"/>
            <w:vAlign w:val="bottom"/>
            <w:gridSpan w:val="2"/>
          </w:tcPr>
          <w:p>
            <w:pPr>
              <w:spacing w:after="0" w:line="187" w:lineRule="exact"/>
              <w:rPr>
                <w:sz w:val="20"/>
                <w:szCs w:val="20"/>
                <w:color w:val="auto"/>
              </w:rPr>
            </w:pPr>
            <w:r>
              <w:rPr>
                <w:rFonts w:ascii="Arial" w:cs="Arial" w:eastAsia="Arial" w:hAnsi="Arial"/>
                <w:sz w:val="18"/>
                <w:szCs w:val="18"/>
                <w:color w:val="auto"/>
              </w:rPr>
              <w:t>Segment operating profit (loss) before</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180"/>
              <w:spacing w:after="0" w:line="202" w:lineRule="exact"/>
              <w:rPr>
                <w:sz w:val="20"/>
                <w:szCs w:val="20"/>
                <w:color w:val="auto"/>
              </w:rPr>
            </w:pPr>
            <w:r>
              <w:rPr>
                <w:rFonts w:ascii="Arial" w:cs="Arial" w:eastAsia="Arial" w:hAnsi="Arial"/>
                <w:sz w:val="18"/>
                <w:szCs w:val="18"/>
                <w:color w:val="auto"/>
              </w:rPr>
              <w:t>corporate and amortization of acquired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(22,149)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(62,668)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(2,487)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(70,043)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(59,136)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0" w:firstLine="518"/>
        <w:spacing w:after="0" w:line="24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2018 and March 31, 2018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56"/>
              <w:spacing w:after="0"/>
              <w:rPr>
                <w:sz w:val="20"/>
                <w:szCs w:val="20"/>
                <w:color w:val="auto"/>
              </w:rPr>
            </w:pPr>
            <w:r>
              <w:rPr>
                <w:rFonts w:ascii="Arial" w:cs="Arial" w:eastAsia="Arial" w:hAnsi="Arial"/>
                <w:sz w:val="14"/>
                <w:szCs w:val="14"/>
                <w:b w:val="1"/>
                <w:bCs w:val="1"/>
                <w:color w:val="auto"/>
              </w:rPr>
              <w:t>As of</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7"/>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76"/>
              <w:spacing w:after="0"/>
              <w:rPr>
                <w:sz w:val="20"/>
                <w:szCs w:val="20"/>
                <w:color w:val="auto"/>
              </w:rPr>
            </w:pPr>
            <w:r>
              <w:rPr>
                <w:rFonts w:ascii="Arial" w:cs="Arial" w:eastAsia="Arial" w:hAnsi="Arial"/>
                <w:sz w:val="14"/>
                <w:szCs w:val="14"/>
                <w:b w:val="1"/>
                <w:bCs w:val="1"/>
                <w:color w:val="auto"/>
              </w:rPr>
              <w:t>March 31,</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2018</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tcPr>
          <w:p>
            <w:pPr>
              <w:jc w:val="right"/>
              <w:ind w:right="776"/>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77,548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66,830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4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363,319</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670,924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615,728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4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2,958,792</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2,798,381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3,629,716</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vMerge w:val="restart"/>
          </w:tcPr>
          <w:p>
            <w:pPr>
              <w:jc w:val="right"/>
              <w:ind w:right="1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jc w:val="center"/>
        <w:ind w:right="-29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Other acquired intangible assets, net and goodwill included in segment assets as of December 31, 2018 and March 31, 2018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Other Acquired Intangible</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3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Assets, Net</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Goodwill</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3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398"/>
              <w:spacing w:after="0" w:line="154"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ind w:right="376"/>
              <w:spacing w:after="0" w:line="154"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tcPr>
          <w:p>
            <w:pPr>
              <w:jc w:val="center"/>
              <w:ind w:right="640"/>
              <w:spacing w:after="0" w:line="154" w:lineRule="exact"/>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54"/>
              <w:spacing w:after="0" w:line="154"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3"/>
                <w:szCs w:val="13"/>
                <w:color w:val="auto"/>
              </w:rPr>
            </w:pPr>
          </w:p>
        </w:tc>
      </w:tr>
      <w:tr>
        <w:trPr>
          <w:trHeight w:val="177"/>
        </w:trPr>
        <w:tc>
          <w:tcPr>
            <w:tcW w:w="310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5"/>
                <w:szCs w:val="15"/>
                <w:color w:val="auto"/>
              </w:rPr>
            </w:pPr>
          </w:p>
        </w:tc>
        <w:tc>
          <w:tcPr>
            <w:tcW w:w="12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March 31, 2018</w:t>
            </w:r>
          </w:p>
        </w:tc>
        <w:tc>
          <w:tcPr>
            <w:tcW w:w="1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2018</w:t>
            </w:r>
          </w:p>
        </w:tc>
      </w:tr>
      <w:tr>
        <w:trPr>
          <w:trHeight w:val="169"/>
        </w:trPr>
        <w:tc>
          <w:tcPr>
            <w:tcW w:w="3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6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11,751</w:t>
            </w:r>
          </w:p>
        </w:tc>
        <w:tc>
          <w:tcPr>
            <w:tcW w:w="54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16,580</w:t>
            </w: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13,694</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13,991</w:t>
            </w:r>
          </w:p>
        </w:tc>
        <w:tc>
          <w:tcPr>
            <w:tcW w:w="100" w:type="dxa"/>
            <w:vAlign w:val="bottom"/>
            <w:shd w:val="clear" w:color="auto" w:fill="CFF0FC"/>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networks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44,011</w:t>
            </w:r>
          </w:p>
        </w:tc>
        <w:tc>
          <w:tcPr>
            <w:tcW w:w="100" w:type="dxa"/>
            <w:vAlign w:val="bottom"/>
          </w:tcPr>
          <w:p>
            <w:pPr>
              <w:spacing w:after="0"/>
              <w:rPr>
                <w:sz w:val="18"/>
                <w:szCs w:val="18"/>
                <w:color w:val="auto"/>
              </w:rPr>
            </w:pPr>
          </w:p>
        </w:tc>
      </w:tr>
      <w:tr>
        <w:trPr>
          <w:trHeight w:val="216"/>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4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10,826</w:t>
            </w:r>
          </w:p>
        </w:tc>
        <w:tc>
          <w:tcPr>
            <w:tcW w:w="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11,942</w:t>
            </w:r>
          </w:p>
        </w:tc>
        <w:tc>
          <w:tcPr>
            <w:tcW w:w="20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63,857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63,083</w:t>
            </w:r>
          </w:p>
        </w:tc>
        <w:tc>
          <w:tcPr>
            <w:tcW w:w="100" w:type="dxa"/>
            <w:vAlign w:val="bottom"/>
            <w:shd w:val="clear" w:color="auto" w:fill="CFF0FC"/>
          </w:tcPr>
          <w:p>
            <w:pPr>
              <w:spacing w:after="0"/>
              <w:rPr>
                <w:sz w:val="18"/>
                <w:szCs w:val="18"/>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24,760</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31,862</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121,506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121,085</w:t>
            </w:r>
          </w:p>
        </w:tc>
        <w:tc>
          <w:tcPr>
            <w:tcW w:w="10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300" w:firstLine="518"/>
        <w:spacing w:after="0" w:line="276" w:lineRule="auto"/>
        <w:rPr>
          <w:sz w:val="20"/>
          <w:szCs w:val="20"/>
          <w:color w:val="auto"/>
        </w:rPr>
      </w:pPr>
      <w:r>
        <w:rPr>
          <w:rFonts w:ascii="Arial" w:cs="Arial" w:eastAsia="Arial" w:hAnsi="Arial"/>
          <w:sz w:val="18"/>
          <w:szCs w:val="18"/>
          <w:color w:val="auto"/>
        </w:rPr>
        <w:t>Amortization of acquired intangible assets by segment for the three and nine months ended December 31, 2018 and 2017 was as follows: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ind w:left="54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4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8"/>
              <w:spacing w:after="0" w:line="154" w:lineRule="exact"/>
              <w:rPr>
                <w:sz w:val="20"/>
                <w:szCs w:val="20"/>
                <w:color w:val="auto"/>
              </w:rPr>
            </w:pPr>
            <w:r>
              <w:rPr>
                <w:rFonts w:ascii="Arial" w:cs="Arial" w:eastAsia="Arial" w:hAnsi="Arial"/>
                <w:sz w:val="14"/>
                <w:szCs w:val="14"/>
                <w:b w:val="1"/>
                <w:bCs w:val="1"/>
                <w:color w:val="auto"/>
              </w:rPr>
              <w:t>December 31,</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78"/>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December 31,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6"/>
              <w:spacing w:after="0" w:line="154"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r>
      <w:tr>
        <w:trPr>
          <w:trHeight w:val="177"/>
        </w:trPr>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r>
      <w:tr>
        <w:trPr>
          <w:trHeight w:val="169"/>
        </w:trPr>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2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Commercial networks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4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9,757</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14" w:right="519" w:bottom="1440" w:gutter="0" w:footer="0" w:header="0"/>
        </w:sectPr>
      </w:pPr>
    </w:p>
    <w:bookmarkStart w:id="33" w:name="page34"/>
    <w:bookmarkEnd w:id="33"/>
    <w:p>
      <w:pPr>
        <w:ind w:right="3140"/>
        <w:spacing w:after="0" w:line="32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518"/>
        <w:spacing w:after="0" w:line="236"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and the entry into a construction contract for our third ViaSat-3 class satellite;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products and services; orbital arc congestion affecting availability of Ka-band spectrum; the effect of changes in the way Ka-band spectrum is used by others;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2018,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65"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Satellite Services</w:t>
      </w:r>
    </w:p>
    <w:p>
      <w:pPr>
        <w:spacing w:after="0" w:line="79"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with multiple applications to consumers, enterprises, commercial airlines and mobile broadband customers both in the United States and abroad. Our Viasat Internet and Viasat Business Internet fixed broadband services offer high-speed, high-quality broadband internet access. We also offer high-speed internet and other in-flight services for a growing number of commercial aircraft. Our satellite services business also provides a platform for the provision of network management services to domestic and international satellite service providers.</w:t>
      </w:r>
    </w:p>
    <w:p>
      <w:pPr>
        <w:spacing w:after="0" w:line="11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Our proprietary Ka-band satellites are at the core of our technology platform. We own three Ka-band satellites in service: ViaSat-2 (our second-generation high capacity Ka-band spot beam satellite, which was placed into service in the fourth quarter of fiscal year 2018), ViaSat-1 (our first-generation high-capacity Ka-band spot-beam satellite), which was placed into service in January 2012, and WildBlue-1 (which was placed into service in March 2007). We also have two third-generation ViaSat-3 class satellites that have entered the phase of full construction. In the fourth quarter of fiscal year 2018, shortly before the launch of commercial broadband services on our ViaSat-2 satellite, we reported an antenna deployment issue. We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we recorded a reduction to the carrying value of the ViaSat-2 satellite of $ 177.4 million, with a corresponding insurance receivable of $177.4 million, based on our estimated ViaSat-2 output capabilities as compared to the anticipated, potential and configured capacity of the ViaSat-2 satellite. During the second and third quarters of fiscal year 2019, we received $172.2 million in insurance recovery proceeds related to such claims. We recorded an insurance receivable of $12.3 million as of December 31, 2018 with respect to probable remaining ViaSat-2 related insurance claims. As a result, during the third quarter of fiscal year 2019, we recorded a $4.0 million gain related to ViaSat-2 insurance claims in selling, general and administrative (SG&amp;A) expenses in the condensed consolidated statements of operations and comprehensive incomes (loss). The ViaSat-2 satellite was primarily financed by our direct loan facility with the Export-Import Bank of the United States for ViaSat-2 (the Ex-Im Credit Facility)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Ex-Im Credit Facility” below). Pursuant to the terms of the Ex-Im Credit Facility, insurance proceeds received from such claims were used to pay down outstanding borrowings under the Ex-Im Credit Facility.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40" w:right="160" w:hanging="519"/>
        <w:spacing w:after="0" w:line="255"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Fixed broadband services, which provide consumers and businesses with high-speed broadband internet access and Voice over Internet Protocol (VoIP) services. As of December 31, 2018, we provided fixed broadband services to approximately 584,000 subscribers. In addition, we offer satellite-enabled community Wi-Fi hotspot services, primarily in Mexico.</w:t>
      </w:r>
    </w:p>
    <w:p>
      <w:pPr>
        <w:spacing w:after="0" w:line="55" w:lineRule="exact"/>
        <w:rPr>
          <w:rFonts w:ascii="Times New Roman" w:cs="Times New Roman" w:eastAsia="Times New Roman" w:hAnsi="Times New Roman"/>
          <w:sz w:val="18"/>
          <w:szCs w:val="18"/>
          <w:color w:val="auto"/>
        </w:rPr>
      </w:pPr>
    </w:p>
    <w:p>
      <w:pPr>
        <w:ind w:left="1040" w:right="160" w:hanging="519"/>
        <w:spacing w:after="0" w:line="275"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In-flight services including our flagship Viasat in-flight internet services and aviation software services. As of December 31, 2018, 1,123 commercial aircraft were in service utilizing our Viasat in-flight connectivity (IFC) systems.</w:t>
      </w:r>
    </w:p>
    <w:p>
      <w:pPr>
        <w:spacing w:after="0" w:line="37" w:lineRule="exact"/>
        <w:rPr>
          <w:rFonts w:ascii="Times New Roman" w:cs="Times New Roman" w:eastAsia="Times New Roman" w:hAnsi="Times New Roman"/>
          <w:sz w:val="18"/>
          <w:szCs w:val="18"/>
          <w:color w:val="auto"/>
        </w:rPr>
      </w:pPr>
    </w:p>
    <w:p>
      <w:pPr>
        <w:ind w:left="1040" w:right="820" w:hanging="519"/>
        <w:spacing w:after="0" w:line="275"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92" w:lineRule="exact"/>
        <w:rPr>
          <w:sz w:val="20"/>
          <w:szCs w:val="20"/>
          <w:color w:val="auto"/>
        </w:rPr>
      </w:pPr>
    </w:p>
    <w:p>
      <w:pPr>
        <w:ind w:right="20" w:firstLine="518"/>
        <w:spacing w:after="0" w:line="276" w:lineRule="auto"/>
        <w:rPr>
          <w:sz w:val="20"/>
          <w:szCs w:val="20"/>
          <w:color w:val="auto"/>
        </w:rPr>
      </w:pPr>
      <w:r>
        <w:rPr>
          <w:rFonts w:ascii="Arial" w:cs="Arial" w:eastAsia="Arial" w:hAnsi="Arial"/>
          <w:sz w:val="18"/>
          <w:szCs w:val="18"/>
          <w:color w:val="auto"/>
        </w:rPr>
        <w:t>We also offer a variety of other broadband services, including business connectivity, live on-line event streaming, oil and natural gas data gathering services and high-definition satellite news gathering.</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Commercial Networks</w:t>
      </w:r>
    </w:p>
    <w:p>
      <w:pPr>
        <w:spacing w:after="0" w:line="65"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Application-Specific Integrated Circuit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68" w:lineRule="exact"/>
        <w:rPr>
          <w:sz w:val="20"/>
          <w:szCs w:val="20"/>
          <w:color w:val="auto"/>
        </w:rPr>
      </w:pPr>
    </w:p>
    <w:p>
      <w:pPr>
        <w:ind w:left="5620" w:right="2260" w:hanging="5099"/>
        <w:spacing w:after="0" w:line="541"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Mobile broadband satellite communication systems, designed for use in aircraft and seagoing vessels.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5" w:name="page36"/>
    <w:bookmarkEnd w:id="35"/>
    <w:p>
      <w:pPr>
        <w:ind w:left="1040" w:right="600" w:hanging="519"/>
        <w:spacing w:after="0" w:line="275"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37" w:lineRule="exact"/>
        <w:rPr>
          <w:rFonts w:ascii="Times New Roman" w:cs="Times New Roman" w:eastAsia="Times New Roman" w:hAnsi="Times New Roman"/>
          <w:sz w:val="18"/>
          <w:szCs w:val="18"/>
          <w:color w:val="auto"/>
        </w:rPr>
      </w:pPr>
    </w:p>
    <w:p>
      <w:pPr>
        <w:ind w:left="1040" w:hanging="519"/>
        <w:spacing w:after="0" w:line="275"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37" w:lineRule="exact"/>
        <w:rPr>
          <w:rFonts w:ascii="Times New Roman" w:cs="Times New Roman" w:eastAsia="Times New Roman" w:hAnsi="Times New Roman"/>
          <w:sz w:val="18"/>
          <w:szCs w:val="18"/>
          <w:color w:val="auto"/>
        </w:rPr>
      </w:pPr>
    </w:p>
    <w:p>
      <w:pPr>
        <w:ind w:left="1040" w:right="100" w:hanging="519"/>
        <w:spacing w:after="0" w:line="243"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Monolithic Microwave Integrated Circuit (MMIC) chips and network function virtualization, as well as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65" w:lineRule="exact"/>
        <w:rPr>
          <w:sz w:val="20"/>
          <w:szCs w:val="20"/>
          <w:color w:val="auto"/>
        </w:rPr>
      </w:pPr>
    </w:p>
    <w:p>
      <w:pPr>
        <w:ind w:right="300" w:firstLine="518"/>
        <w:spacing w:after="0" w:line="243"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allied foreign governments, allied armed forces, public safety first-responders and remote government employees.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04" w:lineRule="exact"/>
        <w:rPr>
          <w:sz w:val="20"/>
          <w:szCs w:val="20"/>
          <w:color w:val="auto"/>
        </w:rPr>
      </w:pPr>
    </w:p>
    <w:p>
      <w:pPr>
        <w:jc w:val="both"/>
        <w:ind w:left="1040" w:right="200" w:hanging="519"/>
        <w:spacing w:after="0" w:line="255"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pacing w:after="0" w:line="55" w:lineRule="exact"/>
        <w:rPr>
          <w:rFonts w:ascii="Times New Roman" w:cs="Times New Roman" w:eastAsia="Times New Roman" w:hAnsi="Times New Roman"/>
          <w:sz w:val="18"/>
          <w:szCs w:val="18"/>
          <w:color w:val="auto"/>
        </w:rPr>
      </w:pPr>
    </w:p>
    <w:p>
      <w:pPr>
        <w:ind w:left="1040" w:right="300" w:hanging="519"/>
        <w:spacing w:after="0" w:line="245"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ground-mobile vehicles and fixed applications.</w:t>
      </w:r>
    </w:p>
    <w:p>
      <w:pPr>
        <w:spacing w:after="0" w:line="63" w:lineRule="exact"/>
        <w:rPr>
          <w:rFonts w:ascii="Times New Roman" w:cs="Times New Roman" w:eastAsia="Times New Roman" w:hAnsi="Times New Roman"/>
          <w:sz w:val="18"/>
          <w:szCs w:val="18"/>
          <w:color w:val="auto"/>
        </w:rPr>
      </w:pPr>
    </w:p>
    <w:p>
      <w:pPr>
        <w:jc w:val="both"/>
        <w:ind w:left="1040" w:right="60" w:hanging="519"/>
        <w:spacing w:after="0" w:line="255"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55" w:lineRule="exact"/>
        <w:rPr>
          <w:rFonts w:ascii="Times New Roman" w:cs="Times New Roman" w:eastAsia="Times New Roman" w:hAnsi="Times New Roman"/>
          <w:sz w:val="18"/>
          <w:szCs w:val="18"/>
          <w:color w:val="auto"/>
        </w:rPr>
      </w:pPr>
    </w:p>
    <w:p>
      <w:pPr>
        <w:ind w:left="1040" w:right="140" w:hanging="519"/>
        <w:spacing w:after="0" w:line="248"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KOR-24A 2-channel Small Tactical Terminal for manned and unmanned applications, “disposable” defense data links, our Multifunctional Information Distribution System (MIDS) terminals for military fighter jets and their successor, MIDS Joint Tactical Radio System (MIDS-JTRS) terminals.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65" w:lineRule="exact"/>
        <w:rPr>
          <w:sz w:val="20"/>
          <w:szCs w:val="20"/>
          <w:color w:val="auto"/>
        </w:rPr>
      </w:pPr>
    </w:p>
    <w:p>
      <w:pPr>
        <w:ind w:right="60" w:firstLine="518"/>
        <w:spacing w:after="0" w:line="276" w:lineRule="auto"/>
        <w:rPr>
          <w:sz w:val="20"/>
          <w:szCs w:val="20"/>
          <w:color w:val="auto"/>
        </w:rPr>
      </w:pPr>
      <w:r>
        <w:rPr>
          <w:rFonts w:ascii="Arial" w:cs="Arial" w:eastAsia="Arial" w:hAnsi="Arial"/>
          <w:sz w:val="18"/>
          <w:szCs w:val="18"/>
          <w:color w:val="auto"/>
        </w:rPr>
        <w:t>Our satellite services segment revenues are primarily derived from our fixed broadband services, IFC services and worldwide managed network services.</w:t>
      </w:r>
    </w:p>
    <w:p>
      <w:pPr>
        <w:spacing w:after="0" w:line="91"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89% and 88% of our total revenues for these segments for the three months ended December 31, 2018 and 2017, respectively, and approximately 89% and 87% of our total revenues for these segments for the nine months ended December 31, 2018 and 2017,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27" w:right="319" w:bottom="1440" w:gutter="0" w:footer="0" w:header="0"/>
        </w:sectPr>
      </w:pPr>
    </w:p>
    <w:bookmarkStart w:id="36" w:name="page37"/>
    <w:bookmarkEnd w:id="36"/>
    <w:p>
      <w:pPr>
        <w:ind w:firstLine="518"/>
        <w:spacing w:after="0" w:line="24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17" w:lineRule="exact"/>
        <w:rPr>
          <w:sz w:val="20"/>
          <w:szCs w:val="20"/>
          <w:color w:val="auto"/>
        </w:rPr>
      </w:pPr>
    </w:p>
    <w:p>
      <w:pPr>
        <w:ind w:right="100" w:firstLine="518"/>
        <w:spacing w:after="0" w:line="243"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18% and 20% of our total revenues for the three months ended December 31, 2018 and 2017, respectively, and approximately 17% and 19% of our total revenue for the nine months ended December 31, 2018 and 2017, respectively.</w:t>
      </w:r>
    </w:p>
    <w:p>
      <w:pPr>
        <w:spacing w:after="0" w:line="120" w:lineRule="exact"/>
        <w:rPr>
          <w:sz w:val="20"/>
          <w:szCs w:val="20"/>
          <w:color w:val="auto"/>
        </w:rPr>
      </w:pPr>
    </w:p>
    <w:p>
      <w:pPr>
        <w:jc w:val="both"/>
        <w:ind w:right="180" w:firstLine="518"/>
        <w:spacing w:after="0" w:line="263" w:lineRule="auto"/>
        <w:rPr>
          <w:sz w:val="20"/>
          <w:szCs w:val="20"/>
          <w:color w:val="auto"/>
        </w:rPr>
      </w:pPr>
      <w:r>
        <w:rPr>
          <w:rFonts w:ascii="Arial" w:cs="Arial" w:eastAsia="Arial" w:hAnsi="Arial"/>
          <w:sz w:val="17"/>
          <w:szCs w:val="17"/>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5% and 11% of total revenues during the three months ended December 31, 2018 and 2017, respectively, and approximately 6% and 11% of total revenues during the nine months ended December 31, 2018 and 2017, respectively. As a government contractor, we are able to recover a portion of our IR&amp;D expenses pursuant to our government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79"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3" w:lineRule="exact"/>
        <w:rPr>
          <w:sz w:val="20"/>
          <w:szCs w:val="20"/>
          <w:color w:val="auto"/>
        </w:rPr>
      </w:pPr>
    </w:p>
    <w:p>
      <w:pPr>
        <w:ind w:right="120" w:firstLine="518"/>
        <w:spacing w:after="0" w:line="24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w:t>
      </w:r>
    </w:p>
    <w:p>
      <w:pPr>
        <w:spacing w:after="0" w:line="1" w:lineRule="exact"/>
        <w:rPr>
          <w:sz w:val="20"/>
          <w:szCs w:val="20"/>
          <w:color w:val="auto"/>
        </w:rPr>
      </w:pPr>
    </w:p>
    <w:p>
      <w:pPr>
        <w:ind w:right="80" w:firstLine="8"/>
        <w:spacing w:after="0" w:line="239"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requirements to develop and deliver complex equipment built to customer specifications under long-term contracts.</w:t>
      </w:r>
    </w:p>
    <w:p>
      <w:pPr>
        <w:spacing w:after="0" w:line="163"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connectivity services including leasing of related broadband equipment.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From a recognition perspective, the leasing of broadband equipment is evaluated in accordance with the authoritative guidance for leases (ASC 840). Our accounting for equipment leases involves specific determinations under ASC 840, which may involve complex provisions and significant judgments. In accordance with ASC 840, we apply the following criteria to determine the nature of the lease (e.g., as an operating or sales type lease):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37" w:name="page38"/>
    <w:bookmarkEnd w:id="37"/>
    <w:p>
      <w:pPr>
        <w:ind w:firstLine="518"/>
        <w:spacing w:after="0" w:line="241"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6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70"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When estimates of total costs to be incurred on a performance obligation exceed total estimates of revenue to be earned, a provision for the entire loss on the performance obligation is recognized in the period the loss is determined. A one percent variance in our future cost estimates on open fixed-price contracts as of December 31, 2018 would change our loss before income taxes by an insignificant amount.</w:t>
      </w:r>
    </w:p>
    <w:p>
      <w:pPr>
        <w:spacing w:after="0" w:line="16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38" w:name="page39"/>
    <w:bookmarkEnd w:id="38"/>
    <w:p>
      <w:pPr>
        <w:ind w:right="180" w:firstLine="518"/>
        <w:spacing w:after="0" w:line="243"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77"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63"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3"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22" w:lineRule="exact"/>
        <w:rPr>
          <w:sz w:val="20"/>
          <w:szCs w:val="20"/>
          <w:color w:val="auto"/>
        </w:rPr>
      </w:pPr>
    </w:p>
    <w:p>
      <w:pPr>
        <w:ind w:right="80" w:firstLine="518"/>
        <w:spacing w:after="0" w:line="241"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We currently have two third-generation ViaSat-3 class satellites that have entered the phase of full construction.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77"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31, 2018 and 2017.</w:t>
      </w:r>
    </w:p>
    <w:p>
      <w:pPr>
        <w:spacing w:after="0" w:line="127"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7"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1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Based on our qualitative assessment performed during the fourth quarter of fiscal year 2018, we concluded that it was more likely than not that the estimated fair value of our reporting units exceeded their carrying value as of March 31, 2018 and, therefore, determined it was not necessary to perform the two-step goodwill impairment test.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63"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$29.0 million at March 31, 2018 to $33.3 million at December 31, 2018. The valuation allowance primarily relates to state net operating loss carryforwards and state research and development tax credit carryforwards.</w:t>
      </w:r>
    </w:p>
    <w:p>
      <w:pPr>
        <w:spacing w:after="0" w:line="127"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18"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0" w:name="page41"/>
    <w:bookmarkEnd w:id="40"/>
    <w:p>
      <w:pPr>
        <w:ind w:right="100" w:firstLine="518"/>
        <w:spacing w:after="0" w:line="243"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00" w:type="dxa"/>
            <w:vAlign w:val="bottom"/>
          </w:tcPr>
          <w:p>
            <w:pPr>
              <w:spacing w:after="0"/>
              <w:rPr>
                <w:sz w:val="15"/>
                <w:szCs w:val="15"/>
                <w:color w:val="auto"/>
              </w:rPr>
            </w:pPr>
          </w:p>
        </w:tc>
        <w:tc>
          <w:tcPr>
            <w:tcW w:w="26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10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360"/>
              <w:spacing w:after="0" w:line="154" w:lineRule="exact"/>
              <w:rPr>
                <w:sz w:val="20"/>
                <w:szCs w:val="20"/>
                <w:color w:val="auto"/>
              </w:rPr>
            </w:pPr>
            <w:r>
              <w:rPr>
                <w:rFonts w:ascii="Arial" w:cs="Arial" w:eastAsia="Arial" w:hAnsi="Arial"/>
                <w:sz w:val="14"/>
                <w:szCs w:val="14"/>
                <w:b w:val="1"/>
                <w:bCs w:val="1"/>
                <w:color w:val="auto"/>
              </w:rPr>
              <w:t>December 31,</w:t>
            </w:r>
          </w:p>
        </w:tc>
        <w:tc>
          <w:tcPr>
            <w:tcW w:w="10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360"/>
              <w:spacing w:after="0" w:line="154" w:lineRule="exact"/>
              <w:rPr>
                <w:sz w:val="20"/>
                <w:szCs w:val="20"/>
                <w:color w:val="auto"/>
              </w:rPr>
            </w:pPr>
            <w:r>
              <w:rPr>
                <w:rFonts w:ascii="Arial" w:cs="Arial" w:eastAsia="Arial" w:hAnsi="Arial"/>
                <w:sz w:val="14"/>
                <w:szCs w:val="14"/>
                <w:b w:val="1"/>
                <w:bCs w:val="1"/>
                <w:color w:val="auto"/>
              </w:rPr>
              <w:t>December 31,</w:t>
            </w: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r>
      <w:tr>
        <w:trPr>
          <w:trHeight w:val="177"/>
        </w:trPr>
        <w:tc>
          <w:tcPr>
            <w:tcW w:w="5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0"/>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bl>
    <w:p>
      <w:pPr>
        <w:spacing w:after="0" w:line="218" w:lineRule="exact"/>
        <w:rPr>
          <w:sz w:val="20"/>
          <w:szCs w:val="20"/>
          <w:color w:val="auto"/>
        </w:rPr>
      </w:pPr>
    </w:p>
    <w:p>
      <w:pPr>
        <w:ind w:right="4160"/>
        <w:spacing w:after="0" w:line="357" w:lineRule="auto"/>
        <w:rPr>
          <w:sz w:val="20"/>
          <w:szCs w:val="20"/>
          <w:color w:val="auto"/>
        </w:rPr>
      </w:pPr>
      <w:r>
        <w:rPr>
          <w:rFonts w:ascii="Arial" w:cs="Arial" w:eastAsia="Arial" w:hAnsi="Arial"/>
          <w:sz w:val="18"/>
          <w:szCs w:val="18"/>
          <w:b w:val="1"/>
          <w:bCs w:val="1"/>
          <w:color w:val="auto"/>
        </w:rPr>
        <w:t xml:space="preserve">Three Months Ended December 31, 2018 vs. Three Months Ended December 31, 2017 </w:t>
      </w:r>
      <w:r>
        <w:rPr>
          <w:rFonts w:ascii="Arial" w:cs="Arial" w:eastAsia="Arial" w:hAnsi="Arial"/>
          <w:sz w:val="18"/>
          <w:szCs w:val="18"/>
          <w:i w:val="1"/>
          <w:iCs w:val="1"/>
          <w:color w:val="auto"/>
        </w:rPr>
        <w:t>Revenues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23%</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180" w:lineRule="exact"/>
        <w:rPr>
          <w:sz w:val="20"/>
          <w:szCs w:val="20"/>
          <w:color w:val="auto"/>
        </w:rPr>
      </w:pPr>
    </w:p>
    <w:p>
      <w:pPr>
        <w:ind w:right="340" w:firstLine="518"/>
        <w:spacing w:after="0" w:line="247" w:lineRule="auto"/>
        <w:rPr>
          <w:sz w:val="20"/>
          <w:szCs w:val="20"/>
          <w:color w:val="auto"/>
        </w:rPr>
      </w:pPr>
      <w:r>
        <w:rPr>
          <w:rFonts w:ascii="Arial" w:cs="Arial" w:eastAsia="Arial" w:hAnsi="Arial"/>
          <w:sz w:val="18"/>
          <w:szCs w:val="18"/>
          <w:color w:val="auto"/>
        </w:rPr>
        <w:t>Our total revenues grew by $172.9 million as a result of a $125.9 million increase in product revenues and a $46.9 million increase in service revenues. The product revenue increase was driven by increases of $68.3 million in our commercial networks segment and</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$57.8 million in our government systems segment. The service revenue increase was due to increases of $33.3 million in our satellite services segment, $10.5 million in our government systems segment and $3.1 million in our commercial networks segment.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1" w:name="page42"/>
    <w:bookmarkEnd w:id="41"/>
    <w:p>
      <w:pPr>
        <w:ind w:right="20" w:firstLine="518"/>
        <w:spacing w:after="0" w:line="239" w:lineRule="auto"/>
        <w:rPr>
          <w:sz w:val="20"/>
          <w:szCs w:val="20"/>
          <w:color w:val="auto"/>
        </w:rPr>
      </w:pPr>
      <w:r>
        <w:rPr>
          <w:rFonts w:ascii="Arial" w:cs="Arial" w:eastAsia="Arial" w:hAnsi="Arial"/>
          <w:sz w:val="18"/>
          <w:szCs w:val="18"/>
          <w:color w:val="auto"/>
        </w:rPr>
        <w:t>Cost of revenues increased by $139.0 million due to increases of $99.6 million in cost of product revenues and $39.4 million in cost of service revenues. The cost of product revenue increase was primarily due to increased revenues, mainly from our mobile broadband satellite communication systems products and antenna systems products in our commercial networks segment and tactical data link products, government satellite communication systems products and cybersecurity and information assurance products in our government systems segment, causing a $90.5 million increase in cost of product revenues on a constant margin basis. Additionally, cost of product revenues increased due to lower margins, primarily from our antenna systems products in our commercial networks segment. The cost of service revenue increase was primarily due to increased service revenues, mainly from fixed broadband services and in-flight internet services, causing a $31.3 million increase in service revenues on a constant margin basis. Cost of service revenues also increased due to lower margins for fixed broadband services in our satellite services segment, primarily due to the ViaSat-2 service launch in the fourth quarter of fiscal year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180"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The $14.4 million increase in SG&amp;A expenses reflected an increase in selling costs of $11.3 million, primarily due to an increase in our satellite services segment as a result of the ViaSat-2 service launch in the fourth quarter of fiscal year 2018 and a $6.1 million increase in support costs spread across all three segments, partially offset by a gain of approximately $4.0 million related to our ViaSat-2 satellite insurance claims recorded as a reduction to SG&amp;A expenses in our satellite services segment during the third quarter of fiscal year 2019 (see “Liquidity and Capital Resources – Satellite-related activities” for additional information). SG&amp;A expenses consisted primarily of personnel costs and expenses for business development, marketing and sales, bid and proposal, facilities, finance, contract administration and general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17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ind w:right="100" w:firstLine="518"/>
        <w:spacing w:after="0" w:line="248" w:lineRule="auto"/>
        <w:rPr>
          <w:sz w:val="20"/>
          <w:szCs w:val="20"/>
          <w:color w:val="auto"/>
        </w:rPr>
      </w:pPr>
      <w:r>
        <w:rPr>
          <w:rFonts w:ascii="Arial" w:cs="Arial" w:eastAsia="Arial" w:hAnsi="Arial"/>
          <w:sz w:val="18"/>
          <w:szCs w:val="18"/>
          <w:color w:val="auto"/>
        </w:rPr>
        <w:t>The $11.2 million decrease in IR&amp;D expenses was primarily the result of a decrease of $10.3 million in IR&amp;D efforts in our commercial networks segment (primarily related to a decrease in IR&amp;D expenses related to next-generation satellite payload technologies for our ViaSat-3 class satellites, as the first two ViaSat-3 class satellites have entered the phase of full construction, and mobile broadband satellite communication systems).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75" w:lineRule="exact"/>
        <w:rPr>
          <w:sz w:val="20"/>
          <w:szCs w:val="20"/>
          <w:color w:val="auto"/>
        </w:rPr>
      </w:pPr>
    </w:p>
    <w:p>
      <w:pPr>
        <w:ind w:right="20" w:firstLine="518"/>
        <w:spacing w:after="0" w:line="245"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insignificant decrease in amortization of acquired intangible assets in the third quarter of fiscal year 2019 compared to the prior year period was primarily the result of certain acquired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261" w:lineRule="exact"/>
        <w:rPr>
          <w:sz w:val="20"/>
          <w:szCs w:val="20"/>
          <w:color w:val="auto"/>
        </w:rPr>
      </w:pPr>
    </w:p>
    <w:tbl>
      <w:tblPr>
        <w:tblLayout w:type="fixed"/>
        <w:tblInd w:w="23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 the nine months ended December 31, 2018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8"/>
          <w:szCs w:val="18"/>
          <w:color w:val="auto"/>
        </w:rPr>
        <w:t>The insignificant decrease in interest income for the three months ended December 31, 2018 compared to the prior year period was the result of lower average invested cash balances during the third quarter of fiscal year 2019 compared to the prior 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61" w:lineRule="exact"/>
        <w:rPr>
          <w:sz w:val="20"/>
          <w:szCs w:val="20"/>
          <w:color w:val="auto"/>
        </w:rPr>
      </w:pPr>
    </w:p>
    <w:p>
      <w:pPr>
        <w:ind w:right="180" w:firstLine="518"/>
        <w:spacing w:after="0" w:line="246" w:lineRule="auto"/>
        <w:rPr>
          <w:sz w:val="20"/>
          <w:szCs w:val="20"/>
          <w:color w:val="auto"/>
        </w:rPr>
      </w:pPr>
      <w:r>
        <w:rPr>
          <w:rFonts w:ascii="Arial" w:cs="Arial" w:eastAsia="Arial" w:hAnsi="Arial"/>
          <w:sz w:val="18"/>
          <w:szCs w:val="18"/>
          <w:color w:val="auto"/>
        </w:rPr>
        <w:t>The $14.9 million increase in interest expense for the three months ended December 31, 2018 compared to the prior year period was primarily due to a net increase in interest expense related to our Ex-Im Credit Facility mainly due to the increased interest accretion related to required payments of outstanding borrowings under our Ex-Im Credit Facility upon receipt of insurance proceeds related to the ViaSat-2 satellite (see “Liquidity and Capital Resources – Ex-Im Credit Facility” for additional information) and higher outstanding borrowings under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5" w:lineRule="exact"/>
        <w:rPr>
          <w:sz w:val="20"/>
          <w:szCs w:val="20"/>
          <w:color w:val="auto"/>
        </w:rPr>
      </w:pPr>
    </w:p>
    <w:p>
      <w:pPr>
        <w:ind w:right="80" w:firstLine="518"/>
        <w:spacing w:after="0" w:line="241" w:lineRule="auto"/>
        <w:rPr>
          <w:sz w:val="20"/>
          <w:szCs w:val="20"/>
          <w:color w:val="auto"/>
        </w:rPr>
      </w:pPr>
      <w:r>
        <w:rPr>
          <w:rFonts w:ascii="Arial" w:cs="Arial" w:eastAsia="Arial" w:hAnsi="Arial"/>
          <w:sz w:val="18"/>
          <w:szCs w:val="18"/>
          <w:color w:val="auto"/>
        </w:rPr>
        <w:t>For the three months ended December 31, 2018, we recorded an income tax provision of $3.2 million, resulting in a negative effective tax rate of 36%. For the three months ended December 31, 2017, we recorded an income tax provision of $2.2 million, resulting in a negative effective tax rate of 9%.The effective tax rates for the periods differed from the U.S. statutory rate due primarily to the benefit of research and development tax credits. The effective tax rate for the three months ended December 31, 2018 also included an income tax expense due to an increase in valuation allowances on state net operating losses and state research and development tax credits. The effective tax rate for the three months ended December 31, 2017 also included an income tax expense due to the revaluation of net deferred tax assets resulting from the lowering of the corporate federal income tax rate from 35% to 21% under the Tax Reform.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31, 2018 vs. Three Months Ended December 31, 2017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80" w:type="dxa"/>
            <w:vAlign w:val="bottom"/>
            <w:gridSpan w:val="3"/>
          </w:tcPr>
          <w:p>
            <w:pPr>
              <w:jc w:val="right"/>
              <w:ind w:right="106"/>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43" w:name="page44"/>
    <w:bookmarkEnd w:id="43"/>
    <w:p>
      <w:pPr>
        <w:ind w:right="80" w:firstLine="518"/>
        <w:spacing w:after="0" w:line="241" w:lineRule="auto"/>
        <w:rPr>
          <w:sz w:val="20"/>
          <w:szCs w:val="20"/>
          <w:color w:val="auto"/>
        </w:rPr>
      </w:pPr>
      <w:r>
        <w:rPr>
          <w:rFonts w:ascii="Arial" w:cs="Arial" w:eastAsia="Arial" w:hAnsi="Arial"/>
          <w:sz w:val="18"/>
          <w:szCs w:val="18"/>
          <w:color w:val="auto"/>
        </w:rPr>
        <w:t>Our satellite services segment revenues increased by $33.1 million primarily as a result of a $33.3 million increase in service revenues. The increase in service revenues was primarily driven by fixed broadband services and the expansion of our in-flight internet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This increase also reflected an increase in total subscribers of our fixed broadband services year-over-year, with approximately 584,000 subscribers at December 31, 2018 compared to 577,000 subscribers at December 31, 2017. As of December 31, 2018, 1,123 commercial aircraft were in service utilizing our IFC systems, compared to 589 commercial aircraft in service as of December 31,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line="154"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17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153" w:lineRule="exact"/>
        <w:rPr>
          <w:sz w:val="20"/>
          <w:szCs w:val="20"/>
          <w:color w:val="auto"/>
        </w:rPr>
      </w:pPr>
    </w:p>
    <w:p>
      <w:pPr>
        <w:ind w:right="100" w:firstLine="518"/>
        <w:spacing w:after="0" w:line="243" w:lineRule="auto"/>
        <w:rPr>
          <w:sz w:val="20"/>
          <w:szCs w:val="20"/>
          <w:color w:val="auto"/>
        </w:rPr>
      </w:pPr>
      <w:r>
        <w:rPr>
          <w:rFonts w:ascii="Arial" w:cs="Arial" w:eastAsia="Arial" w:hAnsi="Arial"/>
          <w:sz w:val="18"/>
          <w:szCs w:val="18"/>
          <w:color w:val="auto"/>
        </w:rPr>
        <w:t>The decrease in our satellite services segment operating profit was driven primarily by higher selling costs of $11.4 million due to the promotion of our fixed broadband services following the ViaSat-2 service launch in the fourth quarter of fiscal year 2018, and higher support costs of $3.6 million, mainly due to the higher employee-related costs supporting the ViaSat-2 service launch. The decrease in operating profit was partially offset by a gain of approximately $4.0 million related to our ViaSat-2 satellite insurance claims recorded as a reduction to SG&amp;A expenses in our satellite services segment during the third quarter of fiscal year 2019 (see “Liquidity and Capital Resources – Satellite-related activities”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37%</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55.5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r>
    </w:tbl>
    <w:p>
      <w:pPr>
        <w:spacing w:after="0" w:line="180"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Our commercial networks segment revenues increased by $ 71.4 million, primarily due to a $68.3 million increase in product revenues. The increase in product revenues was primarily due to an increase of $53.0 million in mobile broadband satellite communication systems products and $12.6 million in antenna systems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jc w:val="center"/>
              <w:ind w:right="320"/>
              <w:spacing w:after="0" w:line="154"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The $22.3 million decrease in our commercial networks segment operating loss was driven primarily by a $10.3 million decrease in IR&amp;D expenses related to next-generation satellite payload technologies for our ViaSat-3 class satellites, as the first two ViaSat-3 class satellites have entered the phase of full construction, and mobile broadband satellite communication systems products. In addition, we experienced higher earnings contributions of $12.5 million, primarily due to increased revenues and improved margins in our mobile broadband satellite communication systems products.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20%</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revenues increased by $68.3 million due to increases of $57.8 million in product revenues and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$10.5 million in service revenues. The product revenue increase was due to a $17.7 million increase in tactical data link products, a</w:t>
      </w:r>
    </w:p>
    <w:p>
      <w:pPr>
        <w:spacing w:after="0" w:line="234" w:lineRule="auto"/>
        <w:rPr>
          <w:sz w:val="20"/>
          <w:szCs w:val="20"/>
          <w:color w:val="auto"/>
        </w:rPr>
      </w:pPr>
      <w:r>
        <w:rPr>
          <w:rFonts w:ascii="Arial" w:cs="Arial" w:eastAsia="Arial" w:hAnsi="Arial"/>
          <w:sz w:val="18"/>
          <w:szCs w:val="18"/>
          <w:color w:val="auto"/>
        </w:rPr>
        <w:t>$15.9 million increase in government satellite communications systems products, a $12.8 million increase in cybersecurity and information</w:t>
      </w:r>
    </w:p>
    <w:p>
      <w:pPr>
        <w:spacing w:after="0" w:line="235" w:lineRule="auto"/>
        <w:rPr>
          <w:sz w:val="20"/>
          <w:szCs w:val="20"/>
          <w:color w:val="auto"/>
        </w:rPr>
      </w:pPr>
      <w:r>
        <w:rPr>
          <w:rFonts w:ascii="Arial" w:cs="Arial" w:eastAsia="Arial" w:hAnsi="Arial"/>
          <w:sz w:val="18"/>
          <w:szCs w:val="18"/>
          <w:color w:val="auto"/>
        </w:rPr>
        <w:t>assurance products, a $6.1 million increase in tactical satcom radio products and a $5.3 million increase in government mobile broadband</w:t>
      </w:r>
    </w:p>
    <w:p>
      <w:pPr>
        <w:spacing w:after="0" w:line="235" w:lineRule="auto"/>
        <w:rPr>
          <w:sz w:val="20"/>
          <w:szCs w:val="20"/>
          <w:color w:val="auto"/>
        </w:rPr>
      </w:pPr>
      <w:r>
        <w:rPr>
          <w:rFonts w:ascii="Arial" w:cs="Arial" w:eastAsia="Arial" w:hAnsi="Arial"/>
          <w:sz w:val="18"/>
          <w:szCs w:val="18"/>
          <w:color w:val="auto"/>
        </w:rPr>
        <w:t>products. The service revenue increase was primarily due to a $6.2 million increase in government mobile broadband services, a $2.4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 in tactical data link services and a $2.3 million increase in government satellite communication systems services.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300"/>
              <w:spacing w:after="0" w:line="154"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0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29.7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 million increase in our government systems segment operating profit was primarily due to higher earnings contributions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$22.9 million, due primarily to an increase in revenues spread across our various products, partially offset by higher SG&amp;A costs of $2.9 million.</w:t>
      </w:r>
    </w:p>
    <w:p>
      <w:pPr>
        <w:spacing w:after="0" w:line="201" w:lineRule="exact"/>
        <w:rPr>
          <w:sz w:val="20"/>
          <w:szCs w:val="20"/>
          <w:color w:val="auto"/>
        </w:rPr>
      </w:pPr>
    </w:p>
    <w:p>
      <w:pPr>
        <w:ind w:right="4360"/>
        <w:spacing w:after="0" w:line="372" w:lineRule="auto"/>
        <w:rPr>
          <w:sz w:val="20"/>
          <w:szCs w:val="20"/>
          <w:color w:val="auto"/>
        </w:rPr>
      </w:pPr>
      <w:r>
        <w:rPr>
          <w:rFonts w:ascii="Arial" w:cs="Arial" w:eastAsia="Arial" w:hAnsi="Arial"/>
          <w:sz w:val="18"/>
          <w:szCs w:val="18"/>
          <w:b w:val="1"/>
          <w:bCs w:val="1"/>
          <w:color w:val="auto"/>
        </w:rPr>
        <w:t xml:space="preserve">Nine Months Ended December 31, 2018 vs. Nine Months Ended December 31, 2017 </w:t>
      </w:r>
      <w:r>
        <w:rPr>
          <w:rFonts w:ascii="Arial" w:cs="Arial" w:eastAsia="Arial" w:hAnsi="Arial"/>
          <w:sz w:val="18"/>
          <w:szCs w:val="18"/>
          <w:i w:val="1"/>
          <w:iCs w:val="1"/>
          <w:color w:val="auto"/>
        </w:rPr>
        <w:t>Revenues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13%</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180" w:lineRule="exact"/>
        <w:rPr>
          <w:sz w:val="20"/>
          <w:szCs w:val="20"/>
          <w:color w:val="auto"/>
        </w:rPr>
      </w:pPr>
    </w:p>
    <w:p>
      <w:pPr>
        <w:ind w:right="340" w:firstLine="518"/>
        <w:spacing w:after="0" w:line="247" w:lineRule="auto"/>
        <w:rPr>
          <w:sz w:val="20"/>
          <w:szCs w:val="20"/>
          <w:color w:val="auto"/>
        </w:rPr>
      </w:pPr>
      <w:r>
        <w:rPr>
          <w:rFonts w:ascii="Arial" w:cs="Arial" w:eastAsia="Arial" w:hAnsi="Arial"/>
          <w:sz w:val="18"/>
          <w:szCs w:val="18"/>
          <w:color w:val="auto"/>
        </w:rPr>
        <w:t>Our total revenues grew by $356.1 million as a result of a $276.6 million increase in product revenues and a $79.5 million increase in service revenues. The product revenue increase was driven by increases of $173.8 million in our commercial networks segment and</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$103.4 million in our government systems segment. The service revenue increase was due to increases of $50.5 million in our satellite services segment, $23.3 million in our government systems segment and $5.7 million in our commercial networks segment.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5" w:name="page46"/>
    <w:bookmarkEnd w:id="45"/>
    <w:p>
      <w:pPr>
        <w:ind w:right="20" w:firstLine="518"/>
        <w:spacing w:after="0" w:line="239" w:lineRule="auto"/>
        <w:rPr>
          <w:sz w:val="20"/>
          <w:szCs w:val="20"/>
          <w:color w:val="auto"/>
        </w:rPr>
      </w:pPr>
      <w:r>
        <w:rPr>
          <w:rFonts w:ascii="Arial" w:cs="Arial" w:eastAsia="Arial" w:hAnsi="Arial"/>
          <w:sz w:val="18"/>
          <w:szCs w:val="18"/>
          <w:color w:val="auto"/>
        </w:rPr>
        <w:t>Cost of revenues increased by $346.2 million due to increases of $233.4 million in cost of product revenues and $112.8 million in cost of service revenues. The cost of product revenue increase was primarily due to increased revenues, mainly from our mobile broadband satellite communication systems products in our commercial networks segment and tactical data link products and cybersecurity and information assurance products in our government systems segment, causing a $202.2 million increase in cost of product revenues on a constant margin basis. Additionally, cost of product revenues increased due to lower margins, primarily from our government satellite communication systems products in our government systems segment and antenna systems products in our commercial networks segment. The cost of service revenue increase mainly related to lower margins for fixed broadband services in our satellite services segment, primarily due to the ViaSat-2 service launch in the fourth quarter of fiscal year 2018. Additionally, cost of service revenues increased due to increased revenues, mainly from our fixed broadband services and in-flight internet services, causing a $51.7 million increase in cost of service revenues on a constant margin basis.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180"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The $60.9 million increase in SG&amp;A expenses reflected an increase in selling costs of $34.4 million and an increase in support costs of $26.8 million, partially offset by a gain of approximately $ 4.0 million related to our ViaSat-2 satellite insurance claims recorded as a reduction to SG&amp;A expenses in our satellite services segment during the third quarter of fiscal year 2019 (see “Liquidity and Capital Resources – Satellite-related activities” for additional information). The increase in selling costs was primarily due to an increase in our satellite services segment due to the ViaSat-2 service launch in the fourth quarter of fiscal year 2018. The increase in support costs was reflected in all three segments, however we experienced the largest increase from our satellite services segment, mainly due to the higher employee-related costs supporting the ViaSat-2 service launch. SG&amp;A expenses consisted primarily of personnel costs and expenses for business development, marketing and sales, bid and proposal, facilities, finance, contract administration and general management.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17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ind w:right="100" w:firstLine="518"/>
        <w:spacing w:after="0" w:line="248" w:lineRule="auto"/>
        <w:rPr>
          <w:sz w:val="20"/>
          <w:szCs w:val="20"/>
          <w:color w:val="auto"/>
        </w:rPr>
      </w:pPr>
      <w:r>
        <w:rPr>
          <w:rFonts w:ascii="Arial" w:cs="Arial" w:eastAsia="Arial" w:hAnsi="Arial"/>
          <w:sz w:val="18"/>
          <w:szCs w:val="18"/>
          <w:color w:val="auto"/>
        </w:rPr>
        <w:t>The $37.8 million decrease in IR&amp;D expenses was primarily the result of a decrease of $38.2 million in IR&amp;D efforts in our commercial networks segment (primarily related to a decrease in IR&amp;D expenses related to next-generation satellite payload technologies for our ViaSat-3 class satellites, as the first two ViaSat-3 class satellites have entered the phase of full construction, and mobile broadband satellite communication systems).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75" w:lineRule="exact"/>
        <w:rPr>
          <w:sz w:val="20"/>
          <w:szCs w:val="20"/>
          <w:color w:val="auto"/>
        </w:rPr>
      </w:pPr>
    </w:p>
    <w:p>
      <w:pPr>
        <w:ind w:right="140" w:firstLine="518"/>
        <w:spacing w:after="0" w:line="245"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$2.4 million decrease in amortization of acquired intangible assets in the first nine months of fiscal year 2019 compared to the prior year period was primarily the result of certain acquired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261" w:lineRule="exact"/>
        <w:rPr>
          <w:sz w:val="20"/>
          <w:szCs w:val="20"/>
          <w:color w:val="auto"/>
        </w:rPr>
      </w:pPr>
    </w:p>
    <w:tbl>
      <w:tblPr>
        <w:tblLayout w:type="fixed"/>
        <w:tblInd w:w="23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 the nine months ended December 31, 2018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180" w:firstLine="518"/>
        <w:spacing w:after="0" w:line="276" w:lineRule="auto"/>
        <w:rPr>
          <w:sz w:val="20"/>
          <w:szCs w:val="20"/>
          <w:color w:val="auto"/>
        </w:rPr>
      </w:pPr>
      <w:r>
        <w:rPr>
          <w:rFonts w:ascii="Arial" w:cs="Arial" w:eastAsia="Arial" w:hAnsi="Arial"/>
          <w:sz w:val="18"/>
          <w:szCs w:val="18"/>
          <w:color w:val="auto"/>
        </w:rPr>
        <w:t>The insignificant decrease in interest income for the nine months ended December 31, 2018 compared to the prior year period was the result of lower average invested cash balances during the first nine months of fiscal year 2019 compared to the prior 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75"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The $40.0 million increase in interest expense in the nine months ended December 31, 2018 compared to the prior year period was primarily due to a decrease in the amount of interest capitalized during the first nine months of fiscal year 2019 compared to the prior year period, a net increase in interest expense related to our Ex-Im Credit Facility mainly due to the increased interest accretion related to required payments of outstanding borrowings under our Ex-Im Credit Facility upon receipt of insurance proceeds related to the ViaSat-2 satellite (see “Liquidity and Capital Resources – Ex-Im Credit Facility” for additional information) and higher outstanding borrowings under our revolving credit facility (the Revolving Credit Facility). Capitalized interest expense during the nine months ended December 31, 2018 related to the construction of our ViaSat-3 class satellites, gateway and networking equipment and other assets. Capitalized interest expense during the nine months ended December 31, 2017 related to the construction of our ViaSat-2 satellite, ViaSat-3 class satellites, gateway and networking equipment and other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61" w:lineRule="exact"/>
        <w:rPr>
          <w:sz w:val="20"/>
          <w:szCs w:val="20"/>
          <w:color w:val="auto"/>
        </w:rPr>
      </w:pPr>
    </w:p>
    <w:p>
      <w:pPr>
        <w:ind w:right="100" w:firstLine="518"/>
        <w:spacing w:after="0" w:line="243" w:lineRule="auto"/>
        <w:rPr>
          <w:sz w:val="20"/>
          <w:szCs w:val="20"/>
          <w:color w:val="auto"/>
        </w:rPr>
      </w:pPr>
      <w:r>
        <w:rPr>
          <w:rFonts w:ascii="Arial" w:cs="Arial" w:eastAsia="Arial" w:hAnsi="Arial"/>
          <w:sz w:val="18"/>
          <w:szCs w:val="18"/>
          <w:color w:val="auto"/>
        </w:rPr>
        <w:t>For the nine months ended December 31, 2018, we recorded an income tax benefit of $35.7 million, resulting in an effective tax benefit rate of 32%. For the nine months ended December 31, 2017, we recorded an income tax benefit of $18.5 million, resulting in an effective tax benefit rate of 27%. The effective tax rates for the periods differed from the U.S. statutory rate due primarily to the benefit of research and development tax credits. The effective tax rate for the nine months ended December 31, 2017 also included an income tax expense due to the revaluation of net deferred tax assets resulting from the lowering of the corporate federal income tax rate from 35% to 21% under the Tax Reform.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December 31, 2018 vs. Nine Months Ended December 31, 2017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80" w:type="dxa"/>
            <w:vAlign w:val="bottom"/>
            <w:gridSpan w:val="3"/>
          </w:tcPr>
          <w:p>
            <w:pPr>
              <w:jc w:val="right"/>
              <w:ind w:right="106"/>
              <w:spacing w:after="0"/>
              <w:rPr>
                <w:sz w:val="20"/>
                <w:szCs w:val="20"/>
                <w:color w:val="auto"/>
              </w:rPr>
            </w:pPr>
            <w:r>
              <w:rPr>
                <w:rFonts w:ascii="Arial" w:cs="Arial" w:eastAsia="Arial" w:hAnsi="Arial"/>
                <w:sz w:val="18"/>
                <w:szCs w:val="18"/>
                <w:color w:val="auto"/>
              </w:rPr>
              <w:t>47</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47" w:name="page48"/>
    <w:bookmarkEnd w:id="47"/>
    <w:p>
      <w:pPr>
        <w:ind w:right="20" w:firstLine="518"/>
        <w:spacing w:after="0" w:line="241" w:lineRule="auto"/>
        <w:rPr>
          <w:sz w:val="20"/>
          <w:szCs w:val="20"/>
          <w:color w:val="auto"/>
        </w:rPr>
      </w:pPr>
      <w:r>
        <w:rPr>
          <w:rFonts w:ascii="Arial" w:cs="Arial" w:eastAsia="Arial" w:hAnsi="Arial"/>
          <w:sz w:val="18"/>
          <w:szCs w:val="18"/>
          <w:color w:val="auto"/>
        </w:rPr>
        <w:t>Our satellite services segment revenues increased by $49.8 million primarily as a result of a $50.5 million increase in service revenues. The increase in service revenues was primarily driven by the expansion of our in-flight internet services and fixed broadband services. As of December 31, 2018, 1,123 commercial aircraft were in service utilizing our IFC systems, compared to 589 commercial aircraft in service as of December 31, 2017.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This increase also reflected an increase in total subscribers of our fixed broadband services year-over-year, with approximately 584,000 subscribers at December 31, 2018 compared to 577,000 subscribers at December 31,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line="154"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17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33.1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(98.1)</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153"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$52.8 million, primarily due to lower margins related to fixed broadband services due to the ViaSat-2 service launch in the fourth quarter of fiscal year 2018. The decrease in operating profit was further impacted by higher selling costs of $34.7 million due to the promotion of our fixed broadband services following the ViaSat-2 service launch in the fourth quarter of fiscal year 2018 and higher support costs of $15.3 million, mainly due to the higher employee-related costs supporting the ViaSat-2 service launch. The decrease in operating profit was partially offset by a gain of approximately $ 4.0 million related to our ViaSat-2 satellite insurance claims recorded as a reduction to SG&amp;A expenses in our satellite services segment during the third quarter of fiscal year 2019 (see “Liquidity and Capital Resources – Satellite-related activities”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22%</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r>
    </w:tbl>
    <w:p>
      <w:pPr>
        <w:spacing w:after="0" w:line="180"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Our commercial networks segment revenues increased by $179.5 million, primarily due to a $173.8 million increase in product revenues. The increase in product revenues was primarily due to increases of $ 142.9 million in mobile broadband satellite communication systems products and $29.5 million in antenna systems products. The service revenue increase was mainly due to a $4.9 million increase in mobile broadband satellite communication systems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jc w:val="center"/>
              <w:ind w:right="320"/>
              <w:spacing w:after="0" w:line="154"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(117.4)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The $61.6 million decrease in our commercial networks segment operating loss was driven primarily by a $38.2 million decrease in IR&amp;D expenses related to next-generation satellite payload technologies for our ViaSat-3 class satellites, as the first two ViaSat-3 class satellites have entered the phase of full construction, and mobile broadband satellite communication systems. In addition, we experienced higher earnings contributions of $27.9 million, primarily due to increased revenues and improved margins in our mobile broadband satellite communication systems products.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14%</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bl>
    <w:p>
      <w:pPr>
        <w:spacing w:after="0" w:line="180" w:lineRule="exact"/>
        <w:rPr>
          <w:sz w:val="20"/>
          <w:szCs w:val="20"/>
          <w:color w:val="auto"/>
        </w:rPr>
      </w:pPr>
    </w:p>
    <w:p>
      <w:pPr>
        <w:ind w:right="60" w:firstLine="518"/>
        <w:spacing w:after="0" w:line="245" w:lineRule="auto"/>
        <w:rPr>
          <w:sz w:val="20"/>
          <w:szCs w:val="20"/>
          <w:color w:val="auto"/>
        </w:rPr>
      </w:pPr>
      <w:r>
        <w:rPr>
          <w:rFonts w:ascii="Arial" w:cs="Arial" w:eastAsia="Arial" w:hAnsi="Arial"/>
          <w:sz w:val="18"/>
          <w:szCs w:val="18"/>
          <w:color w:val="auto"/>
        </w:rPr>
        <w:t>Our government systems segment revenues increased by $126.7 million due to increases of $ 103.4 million in product revenues and $23.3 million in service revenues. The product revenue increase was due to a $59.9 million increase in tactical data link products, an $18.2 million increase in cybersecurity and information assurance products and a $ 15.5 million increase in government satellite communication systems. The service revenue increase was primarily due to an $11.9 million increase in government mobile broadband services, a $6.1 million increase in tactical data link services and a $5.0 million in government satellite communication systems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300"/>
              <w:spacing w:after="0" w:line="154"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0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96.5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jc w:val="both"/>
        <w:ind w:right="280" w:firstLine="518"/>
        <w:spacing w:after="0" w:line="255" w:lineRule="auto"/>
        <w:rPr>
          <w:sz w:val="20"/>
          <w:szCs w:val="20"/>
          <w:color w:val="auto"/>
        </w:rPr>
      </w:pPr>
      <w:r>
        <w:rPr>
          <w:rFonts w:ascii="Arial" w:cs="Arial" w:eastAsia="Arial" w:hAnsi="Arial"/>
          <w:sz w:val="18"/>
          <w:szCs w:val="18"/>
          <w:color w:val="auto"/>
        </w:rPr>
        <w:t>The $23.2 million increase in our government systems segment operating profit was primarily due to higher earnings contributions of $34.7 million, primarily due to an increase in revenues from our tactical data link products. This increase was partially offset by higher SG&amp;A costs of $10.4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79" w:lineRule="exact"/>
        <w:rPr>
          <w:sz w:val="20"/>
          <w:szCs w:val="20"/>
          <w:color w:val="auto"/>
        </w:rPr>
      </w:pPr>
    </w:p>
    <w:p>
      <w:pPr>
        <w:ind w:right="620" w:firstLine="518"/>
        <w:spacing w:after="0" w:line="276" w:lineRule="auto"/>
        <w:rPr>
          <w:sz w:val="20"/>
          <w:szCs w:val="20"/>
          <w:color w:val="auto"/>
        </w:rPr>
      </w:pPr>
      <w:r>
        <w:rPr>
          <w:rFonts w:ascii="Arial" w:cs="Arial" w:eastAsia="Arial" w:hAnsi="Arial"/>
          <w:sz w:val="18"/>
          <w:szCs w:val="18"/>
          <w:color w:val="auto"/>
        </w:rPr>
        <w:t>As reflected in the table below, our overall firm and funded backlog increased during the first nine months of fiscal year 2019. The increases in both firm and funded backlog were attributable to increases in all three of our segments.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3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4"/>
          </w:tcPr>
          <w:p>
            <w:pPr>
              <w:jc w:val="right"/>
              <w:ind w:right="6"/>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588.7</w:t>
            </w:r>
          </w:p>
        </w:tc>
        <w:tc>
          <w:tcPr>
            <w:tcW w:w="180" w:type="dxa"/>
            <w:vAlign w:val="bottom"/>
          </w:tcPr>
          <w:p>
            <w:pPr>
              <w:spacing w:after="0"/>
              <w:rPr>
                <w:sz w:val="18"/>
                <w:szCs w:val="18"/>
                <w:color w:val="auto"/>
              </w:rPr>
            </w:pPr>
          </w:p>
        </w:tc>
        <w:tc>
          <w:tcPr>
            <w:tcW w:w="300" w:type="dxa"/>
            <w:vAlign w:val="bottom"/>
            <w:gridSpan w:val="2"/>
          </w:tcPr>
          <w:p>
            <w:pPr>
              <w:jc w:val="right"/>
              <w:ind w:right="12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8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1,827.8</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10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8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firm backlog does not include contract options. Of the $1.8 billion in firm backlog, approximately half is expected to be delivered during the next twelve months, with the balance delivered thereafter. We include in our backlog only those orders for which we have accepted purchase orders. Starting with the first quarter of fiscal year 2019, upon adoption of ASC 606, our backlog includes contracts with subscribers for fixed broadband services in our satellite services segment. Backlog as of March 31, 2018 does not include contracts with our subscribers for fixed broadband services in our satellite services segment. Backlog as of December 31, 2018 and March 31, 2018 does not include anticipated purchase orders and requests for the installation of IFC systems or future recurring in-flight internet service revenues under commercial in-flight internet agreements recorded in our commercial networks and satellite services segments, respectively. As of December 31, 2018, we expected to install IFC systems on approximately 638 additional aircraft under our existing customer agreements with commercial airlines, approximately 190 of which relate to accepted purchase orders (and are included in firm backlog in our commercial networks segment) and approximately 448 of which relate to anticipated purchase orders and requests under existing customer agreements. There can be no assurance that all anticipated purchase orders and requests will be placed.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$448.6 million and $1,756.9 million for the three and nine months ended December 31, 2018, respectively, and approximately $436.0 million</w:t>
      </w:r>
    </w:p>
    <w:p>
      <w:pPr>
        <w:spacing w:after="0"/>
        <w:rPr>
          <w:sz w:val="20"/>
          <w:szCs w:val="20"/>
          <w:color w:val="auto"/>
        </w:rPr>
      </w:pPr>
      <w:r>
        <w:rPr>
          <w:rFonts w:ascii="Arial" w:cs="Arial" w:eastAsia="Arial" w:hAnsi="Arial"/>
          <w:sz w:val="18"/>
          <w:szCs w:val="18"/>
          <w:color w:val="auto"/>
        </w:rPr>
        <w:t>and $1.3 billion for the three and nine months ended December 31, 2017, respectively.</w:t>
      </w:r>
    </w:p>
    <w:p>
      <w:pPr>
        <w:spacing w:after="0" w:line="136"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17" w:lineRule="exact"/>
        <w:rPr>
          <w:sz w:val="20"/>
          <w:szCs w:val="20"/>
          <w:color w:val="auto"/>
        </w:rPr>
      </w:pPr>
    </w:p>
    <w:p>
      <w:pPr>
        <w:ind w:right="40" w:firstLine="518"/>
        <w:spacing w:after="0" w:line="243"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63" w:lineRule="exact"/>
        <w:rPr>
          <w:sz w:val="20"/>
          <w:szCs w:val="20"/>
          <w:color w:val="auto"/>
        </w:rPr>
      </w:pPr>
    </w:p>
    <w:p>
      <w:pPr>
        <w:ind w:right="220" w:firstLine="518"/>
        <w:spacing w:after="0" w:line="243"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December 31, 2018, we had $43.4 million in cash and cash equivalents, $209.8 million in working capital, $325.0 million in principal amount of outstanding borrowings under the Revolving Credit Facility and borrowing availability of $455.2 million under the Revolving Credit Facility. At March 31, 2018, we had $71.4 million in cash and cash equivalents, $146.1 million in working capital, and no outstanding borrowings and borrowing availability of $770.4 million under the Revolving Credit Facility. We invest our cash in excess of current operating requirements in short-term, highly liquid bank money market accounts.</w:t>
      </w:r>
    </w:p>
    <w:p>
      <w:pPr>
        <w:spacing w:after="0" w:line="120"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17"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30"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81"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Cash provided by operating activities for the first nine months of fiscal year 2019 was $214.7 million compared to $282.6 million in the prior year period. This $67.9 million decrease was primarily driven by a $95.9 million year-over-year increase in cash used to fund net operating assets, partially offset by our operating results (net loss adjusted for depreciation, amortization and other non-cash charges) which resulted in $27.9 million of higher cash provided by operating activities year-over-year. The increase in cash used to fund net operating assets during the first nine months of fiscal year 2019 when compared to the prior year period was primarily due to a decrease in cash inflows year-over-year from the long-term portion of deferred revenues included in other liabilities in our satellite services segment as well as a decrease in cash inflows year-over-year from combined billed and unbilled accounts, receivable, net, attributable to the timing of contractual milestones across various programs in our commercial networks segment.</w:t>
      </w:r>
    </w:p>
    <w:p>
      <w:pPr>
        <w:spacing w:after="0" w:line="127"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color w:val="auto"/>
        </w:rPr>
        <w:t>Cash used in investing activities for the first nine months of fiscal year 2019 was $340.4 million compared to $409.6 million in the prior year period. This $69.2 million decrease in cash used in investing activities year-over-year reflects approximately $172.2 million of cash receipts related to ViaSat-2 satellite insurance claim proceeds received during the second and third quarters of fiscal year 2019, a decrease of $23.8 million year-over-year in cash used for capital software development, $14.0 million of cash proceeds from the sale of real property during the second quarter of fiscal year 2019 and a decrease of $ 11.8 million in cash used for the construction of earth stations and network operation systems, partially offset by an increase of $106.1 million in capital expenditures used for property and other general purpose equipment and $43.2 million in cash used for satellite construction.</w:t>
      </w:r>
    </w:p>
    <w:p>
      <w:pPr>
        <w:spacing w:after="0" w:line="125"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Cash provided by financing activities for the first nine months of fiscal year 2019 was $100.6 million compared to $157.9 million for the prior year period. Cash provided by financing activities for both periods included cash proceeds from borrowings under and repayments of our long-term debt,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63"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On June 1, 2017, our second-generation ViaSat-2 satellite was successfully launched into orbit. In the fourth quarter of fiscal year 2018, shortly before the launch of commercial broadband services on the satellite, we reported an antenna deployment issue. We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we recorded a reduction to the carrying value of the ViaSat-2 satellite of $177.4 million, with a corresponding insurance receivable of $177.4 million, based on our estimated ViaSat-2 output capabilities as compared to the anticipated, potential and configured capacity of the ViaSat-2 satellite. During the second and third quarters of fiscal year 2019, we received $172.2 million in insurance recovery proceeds related to such claims. We recorded an insurance receivable of $12.3 million as of December 31, 2018 with respect to probable remaining ViaSat-2 related insurance claims. As a result, during the third quarter of fiscal year 2019, we recorded a $4.0 million gain related to ViaSat-2 insurance claims in SG&amp;A expenses in our satellite services segment in the condensed consolidated statements of operations and comprehensive incomes (loss). The ViaSat-2 satellite was primarily financed by the Ex-Im Credit Facility (see “</w:t>
      </w:r>
      <w:r>
        <w:rPr>
          <w:rFonts w:ascii="Arial" w:cs="Arial" w:eastAsia="Arial" w:hAnsi="Arial"/>
          <w:sz w:val="18"/>
          <w:szCs w:val="18"/>
          <w:i w:val="1"/>
          <w:iCs w:val="1"/>
          <w:color w:val="auto"/>
        </w:rPr>
        <w:t>—</w:t>
      </w:r>
      <w:r>
        <w:rPr>
          <w:rFonts w:ascii="Arial" w:cs="Arial" w:eastAsia="Arial" w:hAnsi="Arial"/>
          <w:sz w:val="18"/>
          <w:szCs w:val="18"/>
          <w:color w:val="auto"/>
        </w:rPr>
        <w:t>Ex-Im Credit Facility” below). Pursuant to the terms of the Ex-Im Credit Facility, insurance proceeds received from such claims were used to pay down outstanding borrowings under the Ex-Im Credit Facility.</w:t>
      </w:r>
    </w:p>
    <w:p>
      <w:pPr>
        <w:spacing w:after="0" w:line="127"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With ViaSat-2 now in service, we have incurred additional operating costs in fiscal year 2019 in our satellite services segment. These increased operating costs include depreciation, amortization of capitalized software development, earth station connectivity, marketing and advertising costs, logistics, customer care and various support systems. In addition, interest expense has increased during fiscal year 2019 as we no longer capitalize the interest expense relating to the debt incurred for the construction of ViaSat-2 and the related gateway and networking equipment now that the satellite is in service as well as due to the impact of required payments of outstanding borrowings and increased interest accretion under our Ex-Im Credit Facility upon receipt of insurance proceeds related to the ViaSat-2 satellite (see “Liquidity and Capital Resources – Ex-Im Credit Facility” for additional information). However, we expect the relative impact of the launch of service on the ViaSat-2 satellite and roll-out of related ground infrastructure to our financial results to be less than we experienced in relation to the ViaSat-1 satellite. In fiscal year 2019, the total number of subscribers of our fixed broadband services increased, and the resultant increase in service revenues in our satellite services segment improved operating profit for that segment. However, there can be no assurance that we will continue to be successful in our subscriber expansion plans. Our capital expenditures also increased significantly during fiscal year 2019 compared to fiscal year 2018 as a result of increased CPE-related capital expenditures relating to the increase in the number of subscribers of our fixed broadband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1" w:name="page52"/>
    <w:bookmarkEnd w:id="51"/>
    <w:p>
      <w:pPr>
        <w:ind w:firstLine="518"/>
        <w:spacing w:after="0" w:line="237" w:lineRule="auto"/>
        <w:rPr>
          <w:sz w:val="20"/>
          <w:szCs w:val="20"/>
          <w:color w:val="auto"/>
        </w:rPr>
      </w:pPr>
      <w:r>
        <w:rPr>
          <w:rFonts w:ascii="Arial" w:cs="Arial" w:eastAsia="Arial" w:hAnsi="Arial"/>
          <w:sz w:val="18"/>
          <w:szCs w:val="18"/>
          <w:color w:val="auto"/>
        </w:rPr>
        <w:t>In July 2016, we entered into two separate agreements with The Boeing Company (Boeing) for the construction and purchase of two ViaSat-3 class satellites and the integration of Viasat’s payload technologies into the satellites. Pursuant to these agreements, as amended, the aggregate purchase price for the two satellites is approximately $390.1 million (subject to purchase price adjustments based on factors such as launch delay and early delivery), plus an additional amount for launch support services to be performed by Boeing. In addition, under one of these agreements, we have the option to order one additional ViaSat-3 class satellite, with respect to which we signed an agreement to proceed in January 2019 for the third ViaSat-3 class satellite. The first ViaSat-3 class satellite is expected to provide broadband services over the Americas, the second is expected to provide broadband services over the Europe, Middle East and Africa (EMEA) region, and the third is expected to provide broadband services over the Asia and Pacific (APAC) region, enabling us to deliver affordable connectivity worldwide. The first ViaSat-3 class satellite is currently targeted to launch in late calendar 2020 or early calendar 2021, although the actual launch date will be dependent on the completion of deliverables by our contract manufacturers, subcontractors and other third-party service providers, available launch windows and other variables. The projected aggregate total project cost for the first two ViaSat-3 class satellites, including the satellites, launches, insurance and related earth station infrastructure, through satellite launch is estimated to be between $1.2 billion and $1.4 billion, and will depend on the timing of the earth station infrastructure roll-out of each satellite and the method we use to procure fiber access.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133" w:lineRule="exact"/>
        <w:rPr>
          <w:sz w:val="20"/>
          <w:szCs w:val="20"/>
          <w:color w:val="auto"/>
        </w:rPr>
      </w:pPr>
    </w:p>
    <w:p>
      <w:pPr>
        <w:ind w:right="120" w:firstLine="518"/>
        <w:spacing w:after="0" w:line="248" w:lineRule="auto"/>
        <w:rPr>
          <w:sz w:val="20"/>
          <w:szCs w:val="20"/>
          <w:color w:val="auto"/>
        </w:rPr>
      </w:pPr>
      <w:r>
        <w:rPr>
          <w:rFonts w:ascii="Arial" w:cs="Arial" w:eastAsia="Arial" w:hAnsi="Arial"/>
          <w:sz w:val="18"/>
          <w:szCs w:val="18"/>
          <w:color w:val="auto"/>
        </w:rPr>
        <w:t>During the second half of fiscal year 2018, two of our ViaSat-3 class satellites currently under construction entered the phase of full construction. Although IR&amp;D investments continued throughout fiscal year 2019 and are expected to continue beyond fiscal year 2019 relating to ViaSat-3 ground infrastructure and support of our growing government and commercial air mobility businesses, we expect the level of our IR&amp;D investments to be lower in fiscal year 2019 compared to fiscal year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7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As of December 31, 2018, the Revolving Credit Facility provided an $800.0 million revolving line of credit (including up to $150.0 million of letters of credit), with a maturity date of May 24, 2021.</w:t>
      </w:r>
    </w:p>
    <w:p>
      <w:pPr>
        <w:spacing w:after="0" w:line="91" w:lineRule="exact"/>
        <w:rPr>
          <w:sz w:val="20"/>
          <w:szCs w:val="20"/>
          <w:color w:val="auto"/>
        </w:rPr>
      </w:pPr>
    </w:p>
    <w:p>
      <w:pPr>
        <w:ind w:right="20" w:firstLine="518"/>
        <w:spacing w:after="0" w:line="243"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December 31, 2018, the weighted average effective interest rate on our outstanding borrowings under the Revolving Credit Facility was 5.18%. The Revolving Credit Facility is required to be guaranteed by certain significant domestic subsidiaries of Viasat (as defined in the Revolving Credit Facility) and secured by substantially all of our assets. As of December 31, 2018, none of our subsidiaries guaranteed the Revolving Credit Facility.</w:t>
      </w:r>
    </w:p>
    <w:p>
      <w:pPr>
        <w:spacing w:after="0" w:line="12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10" w:lineRule="exact"/>
        <w:rPr>
          <w:sz w:val="20"/>
          <w:szCs w:val="20"/>
          <w:color w:val="auto"/>
        </w:rPr>
      </w:pPr>
    </w:p>
    <w:p>
      <w:pPr>
        <w:jc w:val="both"/>
        <w:ind w:right="200" w:firstLine="518"/>
        <w:spacing w:after="0" w:line="255" w:lineRule="auto"/>
        <w:rPr>
          <w:sz w:val="20"/>
          <w:szCs w:val="20"/>
          <w:color w:val="auto"/>
        </w:rPr>
      </w:pPr>
      <w:r>
        <w:rPr>
          <w:rFonts w:ascii="Arial" w:cs="Arial" w:eastAsia="Arial" w:hAnsi="Arial"/>
          <w:sz w:val="18"/>
          <w:szCs w:val="18"/>
          <w:color w:val="auto"/>
        </w:rPr>
        <w:t>As of December 31, 2018, we had $325.0 million in principal amount of outstanding borrowings under the Revolving Credit Facility and $19.8 million outstanding under standby letters of credit, leaving borrowing availability under the Revolving Credit Facility as of December 31, 2018 of $455.2 million.</w:t>
      </w:r>
    </w:p>
    <w:p>
      <w:pPr>
        <w:spacing w:after="0" w:line="110" w:lineRule="exact"/>
        <w:rPr>
          <w:sz w:val="20"/>
          <w:szCs w:val="20"/>
          <w:color w:val="auto"/>
        </w:rPr>
      </w:pPr>
    </w:p>
    <w:p>
      <w:pPr>
        <w:ind w:right="540" w:firstLine="518"/>
        <w:spacing w:after="0" w:line="276" w:lineRule="auto"/>
        <w:rPr>
          <w:sz w:val="20"/>
          <w:szCs w:val="20"/>
          <w:color w:val="auto"/>
        </w:rPr>
      </w:pPr>
      <w:r>
        <w:rPr>
          <w:rFonts w:ascii="Arial" w:cs="Arial" w:eastAsia="Arial" w:hAnsi="Arial"/>
          <w:sz w:val="18"/>
          <w:szCs w:val="18"/>
          <w:color w:val="auto"/>
        </w:rPr>
        <w:t>On January 18, 2019, subsequent to the end of the fiscal third quarter, the Revolving Credit Facility was amended to, among other matters, extend the maturity date to January 2024, reduce the interest margin and provide additional covenant flexibility.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63" w:lineRule="exact"/>
        <w:rPr>
          <w:sz w:val="20"/>
          <w:szCs w:val="20"/>
          <w:color w:val="auto"/>
        </w:rPr>
      </w:pPr>
    </w:p>
    <w:p>
      <w:pPr>
        <w:ind w:right="20" w:firstLine="518"/>
        <w:spacing w:after="0" w:line="243" w:lineRule="auto"/>
        <w:rPr>
          <w:sz w:val="20"/>
          <w:szCs w:val="20"/>
          <w:color w:val="auto"/>
        </w:rPr>
      </w:pPr>
      <w:r>
        <w:rPr>
          <w:rFonts w:ascii="Arial" w:cs="Arial" w:eastAsia="Arial" w:hAnsi="Arial"/>
          <w:sz w:val="18"/>
          <w:szCs w:val="18"/>
          <w:color w:val="auto"/>
        </w:rPr>
        <w:t>As of December 31, 2018,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At December 31, 2018, we had $152.3 million in principal amount of outstanding borrowings under the Ex-Im Credit Facility.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52" w:name="page53"/>
    <w:bookmarkEnd w:id="52"/>
    <w:p>
      <w:pPr>
        <w:ind w:right="60" w:firstLine="518"/>
        <w:spacing w:after="0"/>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4.52%. Borrowings under the Ex-Im Credit Facility are required to be repaid in 16 approximately equal semi-annual principal installments, which commenced on April 15, 2018, with a maturity date of October 15, 2025. Pursuant to the terms of the Ex-Im Credit Facility, certain insurance recovery proceeds related to the ViaSat-2 satellite must be used to pay down outstanding borrowings under the Ex-Im Credit Facility upon receipt. During the second and third quarters of fiscal year 2019, we received $172.2 million of insurance proceeds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2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10"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right="40" w:firstLine="518"/>
        <w:spacing w:after="0" w:line="243" w:lineRule="auto"/>
        <w:rPr>
          <w:sz w:val="20"/>
          <w:szCs w:val="20"/>
          <w:color w:val="auto"/>
        </w:rPr>
      </w:pPr>
      <w:r>
        <w:rPr>
          <w:rFonts w:ascii="Arial" w:cs="Arial" w:eastAsia="Arial" w:hAnsi="Arial"/>
          <w:sz w:val="18"/>
          <w:szCs w:val="18"/>
          <w:color w:val="auto"/>
        </w:rPr>
        <w:t>In September 2017, we issued $700.0 million in principal amount of the 5.625% Senior Notes due 2025 (the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20" w:lineRule="exact"/>
        <w:rPr>
          <w:sz w:val="20"/>
          <w:szCs w:val="20"/>
          <w:color w:val="auto"/>
        </w:rPr>
      </w:pPr>
    </w:p>
    <w:p>
      <w:pPr>
        <w:ind w:right="20" w:firstLine="518"/>
        <w:spacing w:after="0" w:line="241"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December 31, 2018,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Revolving Credit Facility and the Ex-Im Credit Facility (collectively, the Credit Facilities) (to the extent of the value of the assets securing such debt), are structurally subordinated to all existing and future liabilities (including trade payables) of our subsidiaries that do not guarantee the 2025 Notes, and are senior in right of payment to all of their existing and future subordinated indebtedness.</w:t>
      </w:r>
    </w:p>
    <w:p>
      <w:pPr>
        <w:spacing w:after="0" w:line="125" w:lineRule="exact"/>
        <w:rPr>
          <w:sz w:val="20"/>
          <w:szCs w:val="20"/>
          <w:color w:val="auto"/>
        </w:rPr>
      </w:pPr>
    </w:p>
    <w:p>
      <w:pPr>
        <w:ind w:right="180" w:firstLine="518"/>
        <w:spacing w:after="0" w:line="245"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18" w:lineRule="exact"/>
        <w:rPr>
          <w:sz w:val="20"/>
          <w:szCs w:val="20"/>
          <w:color w:val="auto"/>
        </w:rPr>
      </w:pPr>
    </w:p>
    <w:p>
      <w:pPr>
        <w:ind w:firstLine="518"/>
        <w:spacing w:after="0" w:line="254" w:lineRule="auto"/>
        <w:rPr>
          <w:sz w:val="20"/>
          <w:szCs w:val="20"/>
          <w:color w:val="auto"/>
        </w:rPr>
      </w:pPr>
      <w:r>
        <w:rPr>
          <w:rFonts w:ascii="Arial" w:cs="Arial" w:eastAsia="Arial" w:hAnsi="Arial"/>
          <w:sz w:val="17"/>
          <w:szCs w:val="17"/>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81" w:right="279" w:bottom="1440" w:gutter="0" w:footer="0" w:header="0"/>
        </w:sectPr>
      </w:pPr>
    </w:p>
    <w:bookmarkStart w:id="53" w:name="page54"/>
    <w:bookmarkEnd w:id="53"/>
    <w:p>
      <w:pPr>
        <w:ind w:firstLine="518"/>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connection with our issuance of the 2025 Notes in September 2017, we repurchased and redeemed all $575.0 million in aggregate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our former 6.875% Senior Notes due 2020 (the 2020 Notes) then outstanding through a cash tender offer and redemption,</w:t>
      </w:r>
    </w:p>
    <w:p>
      <w:pPr>
        <w:spacing w:after="0" w:line="234" w:lineRule="auto"/>
        <w:rPr>
          <w:sz w:val="20"/>
          <w:szCs w:val="20"/>
          <w:color w:val="auto"/>
        </w:rPr>
      </w:pPr>
      <w:r>
        <w:rPr>
          <w:rFonts w:ascii="Arial" w:cs="Arial" w:eastAsia="Arial" w:hAnsi="Arial"/>
          <w:sz w:val="18"/>
          <w:szCs w:val="18"/>
          <w:color w:val="auto"/>
        </w:rPr>
        <w:t>and the indenture governing the 2020 Notes was satisfied and discharged in accordance with its terms. In September 2017, we repurchased</w:t>
      </w:r>
    </w:p>
    <w:p>
      <w:pPr>
        <w:spacing w:after="0" w:line="235" w:lineRule="auto"/>
        <w:rPr>
          <w:sz w:val="20"/>
          <w:szCs w:val="20"/>
          <w:color w:val="auto"/>
        </w:rPr>
      </w:pPr>
      <w:r>
        <w:rPr>
          <w:rFonts w:ascii="Arial" w:cs="Arial" w:eastAsia="Arial" w:hAnsi="Arial"/>
          <w:sz w:val="18"/>
          <w:szCs w:val="18"/>
          <w:color w:val="auto"/>
        </w:rPr>
        <w:t>$298.2 million in aggregate principal amount of the 2020 Notes pursuant to the tender offer. The total cash payment to repurchase the tendered</w:t>
      </w:r>
    </w:p>
    <w:p>
      <w:pPr>
        <w:spacing w:after="0" w:line="235" w:lineRule="auto"/>
        <w:rPr>
          <w:sz w:val="20"/>
          <w:szCs w:val="20"/>
          <w:color w:val="auto"/>
        </w:rPr>
      </w:pPr>
      <w:r>
        <w:rPr>
          <w:rFonts w:ascii="Arial" w:cs="Arial" w:eastAsia="Arial" w:hAnsi="Arial"/>
          <w:sz w:val="18"/>
          <w:szCs w:val="18"/>
          <w:color w:val="auto"/>
        </w:rPr>
        <w:t>2020 Notes in the tender offer, including accrued and unpaid interest to, but excluding, the repurchase date, was $309.3 million. Also in</w:t>
      </w:r>
    </w:p>
    <w:p>
      <w:pPr>
        <w:spacing w:after="0" w:line="235" w:lineRule="auto"/>
        <w:rPr>
          <w:sz w:val="20"/>
          <w:szCs w:val="20"/>
          <w:color w:val="auto"/>
        </w:rPr>
      </w:pPr>
      <w:r>
        <w:rPr>
          <w:rFonts w:ascii="Arial" w:cs="Arial" w:eastAsia="Arial" w:hAnsi="Arial"/>
          <w:sz w:val="18"/>
          <w:szCs w:val="18"/>
          <w:color w:val="auto"/>
        </w:rPr>
        <w:t>September 2017, in connection with the redemption of the remaining $276.8 million in aggregate principal amount of 2020 Notes, we</w:t>
      </w:r>
    </w:p>
    <w:p>
      <w:pPr>
        <w:spacing w:after="0" w:line="235" w:lineRule="auto"/>
        <w:rPr>
          <w:sz w:val="20"/>
          <w:szCs w:val="20"/>
          <w:color w:val="auto"/>
        </w:rPr>
      </w:pPr>
      <w:r>
        <w:rPr>
          <w:rFonts w:ascii="Arial" w:cs="Arial" w:eastAsia="Arial" w:hAnsi="Arial"/>
          <w:sz w:val="18"/>
          <w:szCs w:val="18"/>
          <w:color w:val="auto"/>
        </w:rPr>
        <w:t>irrevocably deposited $287.4 million with Wilmington Trust, as trustee, as trust funds solely for the benefit of the holders of such 2020 Notes.</w:t>
      </w:r>
    </w:p>
    <w:p>
      <w:pPr>
        <w:spacing w:after="0" w:line="235" w:lineRule="auto"/>
        <w:rPr>
          <w:sz w:val="20"/>
          <w:szCs w:val="20"/>
          <w:color w:val="auto"/>
        </w:rPr>
      </w:pPr>
      <w:r>
        <w:rPr>
          <w:rFonts w:ascii="Arial" w:cs="Arial" w:eastAsia="Arial" w:hAnsi="Arial"/>
          <w:sz w:val="18"/>
          <w:szCs w:val="18"/>
          <w:color w:val="auto"/>
        </w:rPr>
        <w:t>The redemption price for the 2020 Notes was 101.719% of the principal amount so redeemed, plus accrued and unpaid interest to, but</w:t>
      </w:r>
    </w:p>
    <w:p>
      <w:pPr>
        <w:spacing w:after="0"/>
        <w:rPr>
          <w:sz w:val="20"/>
          <w:szCs w:val="20"/>
          <w:color w:val="auto"/>
        </w:rPr>
      </w:pPr>
      <w:r>
        <w:rPr>
          <w:rFonts w:ascii="Arial" w:cs="Arial" w:eastAsia="Arial" w:hAnsi="Arial"/>
          <w:sz w:val="18"/>
          <w:szCs w:val="18"/>
          <w:color w:val="auto"/>
        </w:rPr>
        <w:t>excluding, the redemption date of October 5, 2017.</w:t>
      </w:r>
    </w:p>
    <w:p>
      <w:pPr>
        <w:spacing w:after="0" w:line="136" w:lineRule="exact"/>
        <w:rPr>
          <w:sz w:val="20"/>
          <w:szCs w:val="20"/>
          <w:color w:val="auto"/>
        </w:rPr>
      </w:pPr>
    </w:p>
    <w:p>
      <w:pPr>
        <w:ind w:right="400" w:firstLine="518"/>
        <w:spacing w:after="0" w:line="276" w:lineRule="auto"/>
        <w:rPr>
          <w:sz w:val="20"/>
          <w:szCs w:val="20"/>
          <w:color w:val="auto"/>
        </w:rPr>
      </w:pPr>
      <w:r>
        <w:rPr>
          <w:rFonts w:ascii="Arial" w:cs="Arial" w:eastAsia="Arial" w:hAnsi="Arial"/>
          <w:sz w:val="18"/>
          <w:szCs w:val="18"/>
          <w:color w:val="auto"/>
        </w:rPr>
        <w:t>In connection with the satisfaction and discharge of the indenture governing the 2020 Notes, all of our obligations (other than certain customary provisions of the indenture that expressly survive pursuant to the terms of the indenture) were discharged in September 2017.</w:t>
      </w:r>
    </w:p>
    <w:p>
      <w:pPr>
        <w:spacing w:after="0" w:line="91" w:lineRule="exact"/>
        <w:rPr>
          <w:sz w:val="20"/>
          <w:szCs w:val="20"/>
          <w:color w:val="auto"/>
        </w:rPr>
      </w:pPr>
    </w:p>
    <w:p>
      <w:pPr>
        <w:ind w:right="340" w:firstLine="518"/>
        <w:spacing w:after="0" w:line="248"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we recognized a $10.2 million loss on extinguishment of debt during the second quarter of fiscal year 2018, which was comprised of $10.6 million in cash payments (including tender offer consideration, redemption premium and related professional fees), net of $0.4 million in non-cash gain (including unamortized premium, net of unamortized debt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December 31,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5"/>
                <w:szCs w:val="15"/>
                <w:color w:val="auto"/>
              </w:rPr>
            </w:pPr>
          </w:p>
        </w:tc>
        <w:tc>
          <w:tcPr>
            <w:tcW w:w="3540" w:type="dxa"/>
            <w:vAlign w:val="bottom"/>
            <w:gridSpan w:val="8"/>
          </w:tcPr>
          <w:p>
            <w:pPr>
              <w:ind w:left="700"/>
              <w:spacing w:after="0"/>
              <w:rPr>
                <w:sz w:val="20"/>
                <w:szCs w:val="20"/>
                <w:color w:val="auto"/>
              </w:rPr>
            </w:pPr>
            <w:r>
              <w:rPr>
                <w:rFonts w:ascii="Arial" w:cs="Arial" w:eastAsia="Arial" w:hAnsi="Arial"/>
                <w:sz w:val="14"/>
                <w:szCs w:val="14"/>
                <w:b w:val="1"/>
                <w:bCs w:val="1"/>
                <w:color w:val="auto"/>
              </w:rPr>
              <w:t>For the Fiscal Years Ending</w:t>
            </w:r>
          </w:p>
        </w:tc>
      </w:tr>
      <w:tr>
        <w:trPr>
          <w:trHeight w:val="169"/>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2020-2021</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2022-2023</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210"/>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 and satellite capacity agreements</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655,452</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31,719</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238,100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152,342</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233,291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2025 Notes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975,625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798,437</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Credit Facility (1)</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365,155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327,519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Ex-Im Credit Facility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67,986</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Satellite performance incentive obligations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22,613</w:t>
            </w:r>
          </w:p>
        </w:tc>
        <w:tc>
          <w:tcPr>
            <w:tcW w:w="100" w:type="dxa"/>
            <w:vAlign w:val="bottom"/>
            <w:shd w:val="clear" w:color="auto" w:fill="CFF0FC"/>
          </w:tcPr>
          <w:p>
            <w:pPr>
              <w:spacing w:after="0"/>
              <w:rPr>
                <w:sz w:val="18"/>
                <w:szCs w:val="18"/>
                <w:color w:val="auto"/>
              </w:rPr>
            </w:pPr>
          </w:p>
        </w:tc>
      </w:tr>
      <w:tr>
        <w:trPr>
          <w:trHeight w:val="193"/>
        </w:trPr>
        <w:tc>
          <w:tcPr>
            <w:tcW w:w="5240" w:type="dxa"/>
            <w:vAlign w:val="bottom"/>
            <w:gridSpan w:val="2"/>
          </w:tcPr>
          <w:p>
            <w:pPr>
              <w:spacing w:after="0" w:line="194" w:lineRule="exact"/>
              <w:rPr>
                <w:sz w:val="20"/>
                <w:szCs w:val="20"/>
                <w:color w:val="auto"/>
              </w:rPr>
            </w:pPr>
            <w:r>
              <w:rPr>
                <w:rFonts w:ascii="Arial" w:cs="Arial" w:eastAsia="Arial" w:hAnsi="Arial"/>
                <w:sz w:val="18"/>
                <w:szCs w:val="18"/>
                <w:color w:val="auto"/>
              </w:rPr>
              <w:t>Purchase commitments including satellite-related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24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agreements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1,472,064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336,779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784,520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268,643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82,122</w:t>
            </w:r>
          </w:p>
        </w:tc>
        <w:tc>
          <w:tcPr>
            <w:tcW w:w="100" w:type="dxa"/>
            <w:vAlign w:val="bottom"/>
            <w:tcBorders>
              <w:bottom w:val="single" w:sz="8" w:color="CFF0FC"/>
            </w:tcBorders>
          </w:tcPr>
          <w:p>
            <w:pPr>
              <w:spacing w:after="0"/>
              <w:rPr>
                <w:sz w:val="19"/>
                <w:szCs w:val="19"/>
                <w:color w:val="auto"/>
              </w:rPr>
            </w:pPr>
          </w:p>
        </w:tc>
      </w:tr>
      <w:tr>
        <w:trPr>
          <w:trHeight w:val="210"/>
        </w:trPr>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3,675,983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393,446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1,193,118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884,970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1,204,449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9690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68" w:lineRule="exact"/>
        <w:rPr>
          <w:sz w:val="20"/>
          <w:szCs w:val="20"/>
          <w:color w:val="auto"/>
        </w:rPr>
      </w:pPr>
    </w:p>
    <w:p>
      <w:pPr>
        <w:ind w:left="520" w:right="40" w:hanging="512"/>
        <w:spacing w:after="0" w:line="245"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December 31, 2018 until the maturity date (as in effect as of December 31, 2018) in May 2021. On January 18, 2019, subsequent to the end of the fiscal third quarter, the Revolving Credit Facility was amended to, among other matters, extend the maturity date to January 2024, reduce the interest margin and provide additional covenant flexibility.</w:t>
      </w:r>
    </w:p>
    <w:p>
      <w:pPr>
        <w:spacing w:after="0" w:line="132"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54" w:name="page55"/>
    <w:bookmarkEnd w:id="54"/>
    <w:p>
      <w:pPr>
        <w:ind w:right="20" w:firstLine="518"/>
        <w:spacing w:after="0" w:line="239" w:lineRule="auto"/>
        <w:rPr>
          <w:sz w:val="20"/>
          <w:szCs w:val="20"/>
          <w:color w:val="auto"/>
        </w:rPr>
      </w:pPr>
      <w:r>
        <w:rPr>
          <w:rFonts w:ascii="Arial" w:cs="Arial" w:eastAsia="Arial" w:hAnsi="Arial"/>
          <w:sz w:val="18"/>
          <w:szCs w:val="18"/>
          <w:color w:val="auto"/>
        </w:rPr>
        <w:t>Our condensed consolidated balance sheets included $132.0 million and $121.2 million of “other liabilities” as of December 31, 2018 and March 31, 2018, respectively, which primarily consisted of the long-term portion of deferred revenues, the long-term portion of our satellite performance incentive obligations relating to the ViaSat-1 and ViaSat-2 satellites, our long-term warranty obligations, the long-term portion of deferred rent and deferred income taxes. With the exception of the long-term portion of our satellite performance incentive obligations relating to the ViaSat-1 and ViaSat-2 satellites (which is included under “Satellite performance incentive obligations”), these remaining liabilities have been excluded from the above table as the timing and/or the amount of any cash payment is uncertain. See Note 11 to our consolidated financial statements included in our Annual Report on Form 10-K for the year ended March 31, 2018 for additional information regarding satellite performance incentive obligations relating to the ViaSat-1 and ViaSat-2 satellites.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79" w:lineRule="exact"/>
        <w:rPr>
          <w:sz w:val="20"/>
          <w:szCs w:val="20"/>
          <w:color w:val="auto"/>
        </w:rPr>
      </w:pPr>
    </w:p>
    <w:p>
      <w:pPr>
        <w:jc w:val="both"/>
        <w:ind w:right="280" w:firstLine="518"/>
        <w:spacing w:after="0" w:line="255" w:lineRule="auto"/>
        <w:rPr>
          <w:sz w:val="20"/>
          <w:szCs w:val="20"/>
          <w:color w:val="auto"/>
        </w:rPr>
      </w:pPr>
      <w:r>
        <w:rPr>
          <w:rFonts w:ascii="Arial" w:cs="Arial" w:eastAsia="Arial" w:hAnsi="Arial"/>
          <w:sz w:val="18"/>
          <w:szCs w:val="18"/>
          <w:color w:val="auto"/>
        </w:rPr>
        <w:t>We had no material off-balance sheet arrangements at December 31, 2018 as defined in Regulation S-K Item 303(a)(4) other than as discussed under Contractual Obligations above or disclosed in the notes to our consolidated financial statements included in this report or in our Annual Report on Form 10-K for the year ended March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65" w:lineRule="exact"/>
        <w:rPr>
          <w:sz w:val="20"/>
          <w:szCs w:val="20"/>
          <w:color w:val="auto"/>
        </w:rPr>
      </w:pPr>
    </w:p>
    <w:p>
      <w:pPr>
        <w:ind w:right="80" w:firstLine="518"/>
        <w:spacing w:after="0" w:line="276" w:lineRule="auto"/>
        <w:rPr>
          <w:sz w:val="20"/>
          <w:szCs w:val="20"/>
          <w:color w:val="auto"/>
        </w:rPr>
      </w:pPr>
      <w:r>
        <w:rPr>
          <w:rFonts w:ascii="Arial" w:cs="Arial" w:eastAsia="Arial" w:hAnsi="Arial"/>
          <w:sz w:val="18"/>
          <w:szCs w:val="18"/>
          <w:color w:val="auto"/>
        </w:rPr>
        <w:t>For information regarding recently adopted and issued accounting pronouncements, see Note 1 to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65"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and the 2025 Notes, and foreign currency forward contracts. We consider investments in highly liquid instruments purchased with a remaining maturity of three months or less at the date of purchase to be cash equivalents. As of December 31, 2018, we had $325.0 million in principal amount of outstanding borrowings under our Revolving Credit Facility, $152.3 million in principal amount of outstanding borrowings under our Ex-Im Credit Facility, and $700.0 million in aggregate principal amount outstanding of the 2025 Notes, and we held no short-term investments. Our 2025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27"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and nine months ended December 31, 2018 and 2017.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7" w:lineRule="exact"/>
        <w:rPr>
          <w:sz w:val="20"/>
          <w:szCs w:val="20"/>
          <w:color w:val="auto"/>
        </w:rPr>
      </w:pPr>
    </w:p>
    <w:p>
      <w:pPr>
        <w:ind w:firstLine="518"/>
        <w:spacing w:after="0" w:line="243" w:lineRule="auto"/>
        <w:rPr>
          <w:sz w:val="20"/>
          <w:szCs w:val="20"/>
          <w:color w:val="auto"/>
        </w:rPr>
      </w:pPr>
      <w:r>
        <w:rPr>
          <w:rFonts w:ascii="Arial" w:cs="Arial" w:eastAsia="Arial" w:hAnsi="Arial"/>
          <w:sz w:val="18"/>
          <w:szCs w:val="18"/>
          <w:color w:val="auto"/>
        </w:rPr>
        <w:t>As of December 31, 2018, we had $325.0 million in principal amount of outstanding borrowings under our Revolving Credit Facility. Our primary interest rate under the Revolving Credit Facility is the Eurodollar rate plus an applicable margin that is based on our total leverage ratio. At December 31, 2018, the weighted average effective interest rate on our outstanding borrowings under the Revolving Credit Facility was</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5.18%. Assuming the outstanding balance remained constant over a year, a 50 basis point increase in the interest rate would increase interest incurred, prior to effects of capitalized interest, by approximately $1.6 million over a twelve-month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Foreign Exchange Risk</w:t>
      </w:r>
    </w:p>
    <w:p>
      <w:pPr>
        <w:spacing w:after="0" w:line="79"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 conducted would change our loss before income taxes by an insignificant amount for the three and nine months ended December 31, 2018.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27" w:lineRule="exact"/>
        <w:rPr>
          <w:sz w:val="20"/>
          <w:szCs w:val="20"/>
          <w:color w:val="auto"/>
        </w:rPr>
      </w:pPr>
    </w:p>
    <w:p>
      <w:pPr>
        <w:ind w:right="20" w:firstLine="518"/>
        <w:spacing w:after="0" w:line="245" w:lineRule="auto"/>
        <w:rPr>
          <w:sz w:val="20"/>
          <w:szCs w:val="20"/>
          <w:color w:val="auto"/>
        </w:rPr>
      </w:pPr>
      <w:r>
        <w:rPr>
          <w:rFonts w:ascii="Arial" w:cs="Arial" w:eastAsia="Arial" w:hAnsi="Arial"/>
          <w:sz w:val="18"/>
          <w:szCs w:val="18"/>
          <w:color w:val="auto"/>
        </w:rPr>
        <w:t>As of December 31, 2018, we had a number of foreign currency forward contracts outstanding which are intended to reduce the foreign currency risk for amounts payable to vendors in Euros and Australian dollars. The foreign currency forward contracts with a notional amount of $12.4 million had an insignificant amount of fair value recorded in accrued liabilities as of December 31, 2018. If the foreign currency forward rate for the Euro to the U.S. dollar and Australian dollar to the U.S. dollar on these foreign currency forward contracts had changed by 10%, the fair value of these foreign currency forward contracts as of December 31, 2018 would have changed by approximately $1.2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5"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5" w:lineRule="exact"/>
        <w:rPr>
          <w:sz w:val="20"/>
          <w:szCs w:val="20"/>
          <w:color w:val="auto"/>
        </w:rPr>
      </w:pPr>
    </w:p>
    <w:p>
      <w:pPr>
        <w:ind w:right="100" w:firstLine="518"/>
        <w:spacing w:after="0" w:line="24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2018, the end of the period covered by this report. Based upon the foregoing, our Chief Executive Officer and Chief Financial Officer concluded that our disclosure controls and procedures were effective at a reasonable assurance level as of December 31, 2018.</w:t>
      </w:r>
    </w:p>
    <w:p>
      <w:pPr>
        <w:spacing w:after="0" w:line="117" w:lineRule="exact"/>
        <w:rPr>
          <w:sz w:val="20"/>
          <w:szCs w:val="20"/>
          <w:color w:val="auto"/>
        </w:rPr>
      </w:pPr>
    </w:p>
    <w:p>
      <w:pPr>
        <w:ind w:right="560" w:firstLine="518"/>
        <w:spacing w:after="0" w:line="27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5"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5"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2018,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Exhibit Description</w:t>
            </w:r>
          </w:p>
        </w:tc>
      </w:tr>
      <w:tr>
        <w:trPr>
          <w:trHeight w:val="331"/>
        </w:trPr>
        <w:tc>
          <w:tcPr>
            <w:tcW w:w="940" w:type="dxa"/>
            <w:vAlign w:val="bottom"/>
          </w:tcPr>
          <w:p>
            <w:pPr>
              <w:ind w:left="2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6"/>
                <w:szCs w:val="16"/>
                <w:color w:val="0000EE"/>
              </w:rPr>
            </w:pPr>
            <w:hyperlink r:id="rId96">
              <w:r>
                <w:rPr>
                  <w:rFonts w:ascii="Arial" w:cs="Arial" w:eastAsia="Arial" w:hAnsi="Arial"/>
                  <w:sz w:val="16"/>
                  <w:szCs w:val="16"/>
                  <w:color w:val="0000EE"/>
                </w:rPr>
                <w:t>Fourth Amendment to Credit Agreement, dated as of January 18, 2019, by and</w:t>
              </w:r>
            </w:hyperlink>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4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among Viasat, Inc., MUFG Union Bank, N.A. (as administrative agent and</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collateral agent), and the other lenders party thereto</w:t>
              </w:r>
            </w:hyperlink>
          </w:p>
        </w:tc>
        <w:tc>
          <w:tcPr>
            <w:tcW w:w="1540" w:type="dxa"/>
            <w:vAlign w:val="bottom"/>
            <w:tcBorders>
              <w:top w:val="single" w:sz="8" w:color="0000EE"/>
            </w:tcBorders>
            <w:gridSpan w:val="2"/>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91"/>
        </w:trPr>
        <w:tc>
          <w:tcPr>
            <w:tcW w:w="940" w:type="dxa"/>
            <w:vAlign w:val="bottom"/>
          </w:tcPr>
          <w:p>
            <w:pPr>
              <w:ind w:left="2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Certification of Chief Executive Officer Pursuant to Section 302 of the</w:t>
              </w:r>
            </w:hyperlink>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60" w:type="dxa"/>
            <w:vAlign w:val="bottom"/>
            <w:tcBorders>
              <w:top w:val="single" w:sz="8" w:color="0000EE"/>
            </w:tcBorders>
            <w:gridSpan w:val="6"/>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Sarbanes-Oxley Act of 2002</w:t>
              </w:r>
            </w:hyperlink>
          </w:p>
        </w:tc>
        <w:tc>
          <w:tcPr>
            <w:tcW w:w="380" w:type="dxa"/>
            <w:vAlign w:val="bottom"/>
            <w:gridSpan w:val="2"/>
          </w:tcPr>
          <w:p>
            <w:pPr>
              <w:spacing w:after="0"/>
              <w:rPr>
                <w:sz w:val="14"/>
                <w:szCs w:val="14"/>
                <w:color w:val="auto"/>
              </w:rPr>
            </w:pPr>
          </w:p>
        </w:tc>
        <w:tc>
          <w:tcPr>
            <w:tcW w:w="3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940" w:type="dxa"/>
            <w:vAlign w:val="bottom"/>
          </w:tcPr>
          <w:p>
            <w:pPr>
              <w:ind w:left="2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Certification of Chief Financial Officer Pursuant to Section 302 of the Sarbanes-</w:t>
              </w:r>
            </w:hyperlink>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0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Oxley Act of 2002</w:t>
              </w:r>
            </w:hyperlink>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291"/>
        </w:trPr>
        <w:tc>
          <w:tcPr>
            <w:tcW w:w="940" w:type="dxa"/>
            <w:vAlign w:val="bottom"/>
          </w:tcPr>
          <w:p>
            <w:pPr>
              <w:ind w:left="2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720" w:type="dxa"/>
            <w:vAlign w:val="bottom"/>
            <w:gridSpan w:val="11"/>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Certifications Pursuant to 18 U.S.C. Section 1350, as Adopted Pursuant to</w:t>
              </w:r>
            </w:hyperlink>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4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Section 906 of the Sarbanes-Oxley Act of 2002</w:t>
              </w:r>
            </w:hyperlink>
          </w:p>
        </w:tc>
        <w:tc>
          <w:tcPr>
            <w:tcW w:w="380" w:type="dxa"/>
            <w:vAlign w:val="bottom"/>
            <w:gridSpan w:val="3"/>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r>
      <w:tr>
        <w:trPr>
          <w:trHeight w:val="300"/>
        </w:trPr>
        <w:tc>
          <w:tcPr>
            <w:tcW w:w="940" w:type="dxa"/>
            <w:vAlign w:val="bottom"/>
          </w:tcPr>
          <w:p>
            <w:pPr>
              <w:ind w:left="14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6"/>
                <w:szCs w:val="16"/>
                <w:color w:val="auto"/>
              </w:rPr>
              <w:t>XBRL Instance Document - the instance document does not appear in the</w:t>
            </w:r>
          </w:p>
        </w:tc>
      </w:tr>
      <w:tr>
        <w:trPr>
          <w:trHeight w:val="189"/>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20" w:type="dxa"/>
            <w:vAlign w:val="bottom"/>
            <w:gridSpan w:val="11"/>
          </w:tcPr>
          <w:p>
            <w:pPr>
              <w:spacing w:after="0"/>
              <w:rPr>
                <w:sz w:val="20"/>
                <w:szCs w:val="20"/>
                <w:color w:val="auto"/>
              </w:rPr>
            </w:pPr>
            <w:r>
              <w:rPr>
                <w:rFonts w:ascii="Arial" w:cs="Arial" w:eastAsia="Arial" w:hAnsi="Arial"/>
                <w:sz w:val="16"/>
                <w:szCs w:val="16"/>
                <w:color w:val="auto"/>
              </w:rPr>
              <w:t>Interactive Data File because its XBRL tags are embedded within the Inline</w:t>
            </w:r>
          </w:p>
        </w:tc>
      </w:tr>
      <w:tr>
        <w:trPr>
          <w:trHeight w:val="219"/>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20" w:type="dxa"/>
            <w:vAlign w:val="bottom"/>
            <w:gridSpan w:val="11"/>
          </w:tcPr>
          <w:p>
            <w:pPr>
              <w:spacing w:after="0"/>
              <w:rPr>
                <w:sz w:val="20"/>
                <w:szCs w:val="20"/>
                <w:color w:val="auto"/>
              </w:rPr>
            </w:pPr>
            <w:r>
              <w:rPr>
                <w:rFonts w:ascii="Arial" w:cs="Arial" w:eastAsia="Arial" w:hAnsi="Arial"/>
                <w:sz w:val="16"/>
                <w:szCs w:val="16"/>
                <w:color w:val="auto"/>
              </w:rPr>
              <w:t>XBRL document.</w:t>
            </w:r>
          </w:p>
        </w:tc>
      </w:tr>
      <w:tr>
        <w:trPr>
          <w:trHeight w:val="311"/>
        </w:trPr>
        <w:tc>
          <w:tcPr>
            <w:tcW w:w="940" w:type="dxa"/>
            <w:vAlign w:val="bottom"/>
          </w:tcPr>
          <w:p>
            <w:pPr>
              <w:ind w:left="14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6"/>
                <w:szCs w:val="16"/>
                <w:color w:val="auto"/>
              </w:rPr>
              <w:t>XBRL Taxonomy Extension Schema</w:t>
            </w: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6"/>
                <w:szCs w:val="16"/>
                <w:color w:val="auto"/>
              </w:rPr>
              <w:t>XBRL Taxonomy Extension Labels Linkbase</w:t>
            </w: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720" w:type="dxa"/>
            <w:vAlign w:val="bottom"/>
            <w:gridSpan w:val="11"/>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654"/>
        </w:trPr>
        <w:tc>
          <w:tcPr>
            <w:tcW w:w="940" w:type="dxa"/>
            <w:vAlign w:val="bottom"/>
          </w:tcPr>
          <w:p>
            <w:pPr>
              <w:spacing w:after="0"/>
              <w:rPr>
                <w:sz w:val="24"/>
                <w:szCs w:val="24"/>
                <w:color w:val="auto"/>
              </w:rPr>
            </w:pPr>
          </w:p>
        </w:tc>
        <w:tc>
          <w:tcPr>
            <w:tcW w:w="5060" w:type="dxa"/>
            <w:vAlign w:val="bottom"/>
            <w:gridSpan w:val="7"/>
          </w:tcPr>
          <w:p>
            <w:pPr>
              <w:jc w:val="right"/>
              <w:ind w:right="1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19050</wp:posOffset>
            </wp:positionV>
            <wp:extent cx="22809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03" w:lineRule="exact"/>
        <w:rPr>
          <w:sz w:val="20"/>
          <w:szCs w:val="20"/>
          <w:color w:val="auto"/>
        </w:rPr>
      </w:pPr>
    </w:p>
    <w:p>
      <w:pPr>
        <w:spacing w:after="0"/>
        <w:tabs>
          <w:tab w:leader="none" w:pos="800" w:val="left"/>
          <w:tab w:leader="none" w:pos="1760" w:val="left"/>
          <w:tab w:leader="none" w:pos="260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19050</wp:posOffset>
            </wp:positionV>
            <wp:extent cx="22809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81" w:lineRule="exact"/>
        <w:rPr>
          <w:sz w:val="20"/>
          <w:szCs w:val="20"/>
          <w:color w:val="auto"/>
        </w:rPr>
      </w:pPr>
    </w:p>
    <w:p>
      <w:pPr>
        <w:ind w:left="60"/>
        <w:spacing w:after="0"/>
        <w:tabs>
          <w:tab w:leader="none" w:pos="680" w:val="left"/>
          <w:tab w:leader="none" w:pos="1840" w:val="left"/>
          <w:tab w:leader="none" w:pos="256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000-21767</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5"/>
          <w:szCs w:val="15"/>
          <w:color w:val="auto"/>
        </w:rPr>
        <w:t>01/22/2019</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spacing w:after="0" w:line="272" w:lineRule="auto"/>
        <w:rPr>
          <w:sz w:val="20"/>
          <w:szCs w:val="20"/>
          <w:color w:val="auto"/>
        </w:rPr>
      </w:pPr>
      <w:r>
        <w:rPr>
          <w:rFonts w:ascii="Arial" w:cs="Arial" w:eastAsia="Arial" w:hAnsi="Arial"/>
          <w:sz w:val="14"/>
          <w:szCs w:val="14"/>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-19685</wp:posOffset>
            </wp:positionV>
            <wp:extent cx="523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ectPr>
          <w:pgSz w:w="11900" w:h="16838" w:orient="portrait"/>
          <w:cols w:equalWidth="0" w:num="3">
            <w:col w:w="6740" w:space="260"/>
            <w:col w:w="3380" w:space="280"/>
            <w:col w:w="700"/>
          </w:cols>
          <w:pgMar w:left="240" w:top="317" w:right="2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February 11, 2019</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11430</wp:posOffset>
            </wp:positionV>
            <wp:extent cx="35502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ind w:left="582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17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11430</wp:posOffset>
            </wp:positionV>
            <wp:extent cx="35502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Shawn Duffy</w:t>
      </w:r>
    </w:p>
    <w:p>
      <w:pPr>
        <w:ind w:left="58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17"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5"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8"/>
          <w:szCs w:val="18"/>
          <w:color w:val="auto"/>
        </w:rPr>
      </w:pPr>
    </w:p>
    <w:p>
      <w:pPr>
        <w:ind w:left="520" w:right="160" w:hanging="512"/>
        <w:spacing w:after="0" w:line="306"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Arial" w:cs="Arial" w:eastAsia="Arial" w:hAnsi="Arial"/>
          <w:sz w:val="17"/>
          <w:szCs w:val="17"/>
          <w:color w:val="auto"/>
        </w:rPr>
      </w:pPr>
    </w:p>
    <w:p>
      <w:pPr>
        <w:ind w:left="520" w:right="120" w:hanging="512"/>
        <w:spacing w:after="0" w:line="24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81" w:lineRule="exact"/>
        <w:rPr>
          <w:rFonts w:ascii="Arial" w:cs="Arial" w:eastAsia="Arial" w:hAnsi="Arial"/>
          <w:sz w:val="18"/>
          <w:szCs w:val="18"/>
          <w:color w:val="auto"/>
        </w:rPr>
      </w:pPr>
    </w:p>
    <w:p>
      <w:pPr>
        <w:jc w:val="both"/>
        <w:ind w:left="1040" w:right="10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8"/>
          <w:szCs w:val="18"/>
          <w:color w:val="auto"/>
        </w:rPr>
      </w:pPr>
    </w:p>
    <w:p>
      <w:pPr>
        <w:ind w:left="1040" w:right="44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8"/>
          <w:szCs w:val="18"/>
          <w:color w:val="auto"/>
        </w:rPr>
      </w:pPr>
    </w:p>
    <w:p>
      <w:pPr>
        <w:ind w:left="104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8"/>
          <w:szCs w:val="18"/>
          <w:color w:val="auto"/>
        </w:rPr>
      </w:pPr>
    </w:p>
    <w:p>
      <w:pPr>
        <w:ind w:left="1040" w:right="18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8"/>
          <w:szCs w:val="18"/>
          <w:color w:val="auto"/>
        </w:rPr>
      </w:pPr>
    </w:p>
    <w:p>
      <w:pPr>
        <w:ind w:left="520" w:right="120" w:hanging="512"/>
        <w:spacing w:after="0" w:line="255"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8"/>
          <w:szCs w:val="18"/>
          <w:color w:val="auto"/>
        </w:rPr>
      </w:pPr>
    </w:p>
    <w:p>
      <w:pPr>
        <w:ind w:left="1040" w:right="60" w:hanging="519"/>
        <w:spacing w:after="0" w:line="27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1040" w:right="300" w:hanging="519"/>
        <w:spacing w:after="0" w:line="27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11, 2019</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20320</wp:posOffset>
            </wp:positionV>
            <wp:extent cx="28213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5"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8"/>
          <w:szCs w:val="18"/>
          <w:color w:val="auto"/>
        </w:rPr>
      </w:pPr>
    </w:p>
    <w:p>
      <w:pPr>
        <w:ind w:left="520" w:right="160" w:hanging="512"/>
        <w:spacing w:after="0" w:line="306"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Arial" w:cs="Arial" w:eastAsia="Arial" w:hAnsi="Arial"/>
          <w:sz w:val="17"/>
          <w:szCs w:val="17"/>
          <w:color w:val="auto"/>
        </w:rPr>
      </w:pPr>
    </w:p>
    <w:p>
      <w:pPr>
        <w:ind w:left="520" w:right="120" w:hanging="512"/>
        <w:spacing w:after="0" w:line="24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81" w:lineRule="exact"/>
        <w:rPr>
          <w:rFonts w:ascii="Arial" w:cs="Arial" w:eastAsia="Arial" w:hAnsi="Arial"/>
          <w:sz w:val="18"/>
          <w:szCs w:val="18"/>
          <w:color w:val="auto"/>
        </w:rPr>
      </w:pPr>
    </w:p>
    <w:p>
      <w:pPr>
        <w:jc w:val="both"/>
        <w:ind w:left="1040" w:right="100" w:hanging="519"/>
        <w:spacing w:after="0" w:line="255"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8"/>
          <w:szCs w:val="18"/>
          <w:color w:val="auto"/>
        </w:rPr>
      </w:pPr>
    </w:p>
    <w:p>
      <w:pPr>
        <w:ind w:left="1040" w:right="440" w:hanging="519"/>
        <w:spacing w:after="0" w:line="255"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8"/>
          <w:szCs w:val="18"/>
          <w:color w:val="auto"/>
        </w:rPr>
      </w:pPr>
    </w:p>
    <w:p>
      <w:pPr>
        <w:ind w:left="1040" w:hanging="519"/>
        <w:spacing w:after="0" w:line="255"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8"/>
          <w:szCs w:val="18"/>
          <w:color w:val="auto"/>
        </w:rPr>
      </w:pPr>
    </w:p>
    <w:p>
      <w:pPr>
        <w:ind w:left="1040" w:right="180" w:hanging="519"/>
        <w:spacing w:after="0" w:line="255"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8"/>
          <w:szCs w:val="18"/>
          <w:color w:val="auto"/>
        </w:rPr>
      </w:pPr>
    </w:p>
    <w:p>
      <w:pPr>
        <w:ind w:left="520" w:right="120" w:hanging="512"/>
        <w:spacing w:after="0" w:line="255"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8"/>
          <w:szCs w:val="18"/>
          <w:color w:val="auto"/>
        </w:rPr>
      </w:pPr>
    </w:p>
    <w:p>
      <w:pPr>
        <w:ind w:left="1040" w:right="60" w:hanging="519"/>
        <w:spacing w:after="0" w:line="27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1040" w:right="300" w:hanging="519"/>
        <w:spacing w:after="0" w:line="27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11, 2019</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20320</wp:posOffset>
            </wp:positionV>
            <wp:extent cx="28213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2" w:lineRule="exact"/>
        <w:rPr>
          <w:sz w:val="20"/>
          <w:szCs w:val="20"/>
          <w:color w:val="auto"/>
        </w:rPr>
      </w:pPr>
    </w:p>
    <w:p>
      <w:pPr>
        <w:ind w:left="1040" w:right="220" w:hanging="519"/>
        <w:spacing w:after="0" w:line="255"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2018 (the “Report”) fully complies with the requirements of Section 13(a) or Section 15(d), as applicable, of the Securities Exchange Act of 1934, as amended; and</w:t>
      </w:r>
    </w:p>
    <w:p>
      <w:pPr>
        <w:spacing w:after="0" w:line="56" w:lineRule="exact"/>
        <w:rPr>
          <w:rFonts w:ascii="Arial" w:cs="Arial" w:eastAsia="Arial" w:hAnsi="Arial"/>
          <w:sz w:val="18"/>
          <w:szCs w:val="18"/>
          <w:color w:val="auto"/>
        </w:rPr>
      </w:pPr>
    </w:p>
    <w:p>
      <w:pPr>
        <w:ind w:left="1040" w:right="160" w:hanging="519"/>
        <w:spacing w:after="0" w:line="27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11, 2019</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20320</wp:posOffset>
            </wp:positionV>
            <wp:extent cx="28213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2" w:lineRule="exact"/>
        <w:rPr>
          <w:sz w:val="20"/>
          <w:szCs w:val="20"/>
          <w:color w:val="auto"/>
        </w:rPr>
      </w:pPr>
    </w:p>
    <w:p>
      <w:pPr>
        <w:ind w:left="1040" w:right="220" w:hanging="519"/>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2018 (the “Report”) fully complies with the requirements of Section 13(a) or Section 15(d), as applicable, of the Securities Exchange Act of 1934, as amended; and</w:t>
      </w:r>
    </w:p>
    <w:p>
      <w:pPr>
        <w:spacing w:after="0" w:line="56" w:lineRule="exact"/>
        <w:rPr>
          <w:rFonts w:ascii="Arial" w:cs="Arial" w:eastAsia="Arial" w:hAnsi="Arial"/>
          <w:sz w:val="18"/>
          <w:szCs w:val="18"/>
          <w:color w:val="auto"/>
        </w:rPr>
      </w:pPr>
    </w:p>
    <w:p>
      <w:pPr>
        <w:ind w:left="1040" w:right="160" w:hanging="519"/>
        <w:spacing w:after="0" w:line="27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11, 2019</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20320</wp:posOffset>
            </wp:positionV>
            <wp:extent cx="28213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96" Type="http://schemas.openxmlformats.org/officeDocument/2006/relationships/hyperlink" Target="http://www.sec.gov/Archives/edgar/data/797721/000119312519014040/d6843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2019-12-28T16:35:01Z</dcterms:created>
  <dcterms:modified xsi:type="dcterms:W3CDTF">2019-12-28T16:35:01Z</dcterms:modified>
</cp:coreProperties>
</file>