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WISE THERESA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6155 EL CAMINO REAL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VIASAT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VSAT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3"/>
        <w:gridCol w:w="905"/>
        <w:gridCol w:w="774"/>
        <w:gridCol w:w="601"/>
        <w:gridCol w:w="351"/>
        <w:gridCol w:w="854"/>
        <w:gridCol w:w="461"/>
        <w:gridCol w:w="759"/>
        <w:gridCol w:w="1174"/>
        <w:gridCol w:w="1006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37.43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5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5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5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5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37.43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pursuant to Rule 10b5-1 Plan adopted on March 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is fully vested and currently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Nguyen,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77728" TargetMode="External"/><Relationship Id="rId5" Type="http://schemas.openxmlformats.org/officeDocument/2006/relationships/hyperlink" Target="http://www.sec.gov/cgi-bin/browse-edgar?action=getcompany&amp;CIK=00007977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3290</Characters>
  <CharactersWithSpaces>3827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