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180" w:right="2400" w:hanging="4172"/>
        <w:spacing w:after="0" w:line="290"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March 31, 2017</w:t>
      </w:r>
    </w:p>
    <w:p>
      <w:pPr>
        <w:ind w:left="56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700"/>
        <w:spacing w:after="0"/>
        <w:tabs>
          <w:tab w:leader="none" w:pos="6740" w:val="left"/>
          <w:tab w:leader="none" w:pos="7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3814445</wp:posOffset>
            </wp:positionH>
            <wp:positionV relativeFrom="paragraph">
              <wp:posOffset>-10160</wp:posOffset>
            </wp:positionV>
            <wp:extent cx="104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1040" w:type="dxa"/>
            <w:vAlign w:val="bottom"/>
          </w:tcPr>
          <w:p>
            <w:pPr>
              <w:spacing w:after="0"/>
              <w:rPr>
                <w:sz w:val="18"/>
                <w:szCs w:val="18"/>
                <w:color w:val="auto"/>
              </w:rPr>
            </w:pPr>
          </w:p>
        </w:tc>
        <w:tc>
          <w:tcPr>
            <w:tcW w:w="236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gridSpan w:val="2"/>
          </w:tcPr>
          <w:p>
            <w:pPr>
              <w:jc w:val="center"/>
              <w:ind w:left="2572"/>
              <w:spacing w:after="0"/>
              <w:rPr>
                <w:sz w:val="20"/>
                <w:szCs w:val="20"/>
                <w:color w:val="auto"/>
              </w:rPr>
            </w:pPr>
            <w:r>
              <w:rPr>
                <w:rFonts w:ascii="Arial" w:cs="Arial" w:eastAsia="Arial" w:hAnsi="Arial"/>
                <w:sz w:val="18"/>
                <w:szCs w:val="18"/>
                <w:b w:val="1"/>
                <w:bCs w:val="1"/>
                <w:color w:val="auto"/>
                <w:w w:val="87"/>
              </w:rPr>
              <w:t>33-0174996</w:t>
            </w:r>
          </w:p>
        </w:tc>
      </w:tr>
      <w:tr>
        <w:trPr>
          <w:trHeight w:val="149"/>
        </w:trPr>
        <w:tc>
          <w:tcPr>
            <w:tcW w:w="3400" w:type="dxa"/>
            <w:vAlign w:val="bottom"/>
            <w:gridSpan w:val="3"/>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64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400" w:type="dxa"/>
            <w:vAlign w:val="bottom"/>
            <w:gridSpan w:val="3"/>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26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43"/>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00" w:type="dxa"/>
            <w:vAlign w:val="bottom"/>
            <w:gridSpan w:val="2"/>
          </w:tcPr>
          <w:p>
            <w:pPr>
              <w:jc w:val="center"/>
              <w:ind w:right="3207"/>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jc w:val="center"/>
              <w:ind w:right="3187"/>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4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(760) 476-2200</w:t>
            </w:r>
          </w:p>
        </w:tc>
        <w:tc>
          <w:tcPr>
            <w:tcW w:w="2860" w:type="dxa"/>
            <w:vAlign w:val="bottom"/>
          </w:tcPr>
          <w:p>
            <w:pPr>
              <w:spacing w:after="0"/>
              <w:rPr>
                <w:sz w:val="18"/>
                <w:szCs w:val="18"/>
                <w:color w:val="auto"/>
              </w:rPr>
            </w:pPr>
          </w:p>
        </w:tc>
      </w:tr>
      <w:tr>
        <w:trPr>
          <w:trHeight w:val="174"/>
        </w:trPr>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0" w:type="dxa"/>
            <w:vAlign w:val="bottom"/>
            <w:gridSpan w:val="3"/>
          </w:tcPr>
          <w:p>
            <w:pPr>
              <w:jc w:val="center"/>
              <w:ind w:right="2087"/>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r>
        <w:trPr>
          <w:trHeight w:val="242"/>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600" w:type="dxa"/>
            <w:vAlign w:val="bottom"/>
            <w:gridSpan w:val="3"/>
          </w:tcPr>
          <w:p>
            <w:pPr>
              <w:jc w:val="center"/>
              <w:ind w:right="210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05"/>
        </w:trPr>
        <w:tc>
          <w:tcPr>
            <w:tcW w:w="10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22"/>
        </w:trPr>
        <w:tc>
          <w:tcPr>
            <w:tcW w:w="3400" w:type="dxa"/>
            <w:vAlign w:val="bottom"/>
            <w:gridSpan w:val="3"/>
          </w:tcPr>
          <w:p>
            <w:pPr>
              <w:jc w:val="center"/>
              <w:ind w:right="2"/>
              <w:spacing w:after="0"/>
              <w:rPr>
                <w:sz w:val="20"/>
                <w:szCs w:val="20"/>
                <w:color w:val="auto"/>
              </w:rPr>
            </w:pPr>
            <w:r>
              <w:rPr>
                <w:rFonts w:ascii="Arial" w:cs="Arial" w:eastAsia="Arial" w:hAnsi="Arial"/>
                <w:sz w:val="18"/>
                <w:szCs w:val="18"/>
                <w:b w:val="1"/>
                <w:bCs w:val="1"/>
                <w:color w:val="auto"/>
                <w:w w:val="88"/>
              </w:rPr>
              <w:t>Common Stock, par value $0.0001 per share</w:t>
            </w:r>
          </w:p>
        </w:tc>
        <w:tc>
          <w:tcPr>
            <w:tcW w:w="26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934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82" w:lineRule="exact"/>
        <w:rPr>
          <w:sz w:val="24"/>
          <w:szCs w:val="24"/>
          <w:color w:val="auto"/>
        </w:rPr>
      </w:pPr>
    </w:p>
    <w:p>
      <w:pPr>
        <w:ind w:right="164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ind w:right="220" w:firstLine="342"/>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w:t>
      </w:r>
    </w:p>
    <w:p>
      <w:pPr>
        <w:spacing w:after="0" w:line="207" w:lineRule="exact"/>
        <w:tabs>
          <w:tab w:leader="none" w:pos="740" w:val="left"/>
        </w:tabs>
        <w:rPr>
          <w:sz w:val="20"/>
          <w:szCs w:val="20"/>
          <w:color w:val="auto"/>
        </w:rPr>
      </w:pPr>
      <w:r>
        <w:rPr>
          <w:rFonts w:ascii="Arial" w:cs="Arial" w:eastAsia="Arial" w:hAnsi="Arial"/>
          <w:sz w:val="18"/>
          <w:szCs w:val="18"/>
          <w:color w:val="auto"/>
        </w:rPr>
        <w:t>90 days.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43"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140" w:firstLine="342"/>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53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53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2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2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 w:lineRule="exact"/>
        <w:rPr>
          <w:sz w:val="24"/>
          <w:szCs w:val="24"/>
          <w:color w:val="auto"/>
        </w:rPr>
      </w:pPr>
    </w:p>
    <w:p>
      <w:pPr>
        <w:ind w:right="120" w:firstLine="342"/>
        <w:spacing w:after="0" w:line="229" w:lineRule="exact"/>
        <w:rPr>
          <w:sz w:val="20"/>
          <w:szCs w:val="20"/>
          <w:color w:val="auto"/>
        </w:rPr>
      </w:pPr>
      <w:r>
        <w:rPr>
          <w:rFonts w:ascii="Arial" w:cs="Arial" w:eastAsia="Arial" w:hAnsi="Arial"/>
          <w:sz w:val="18"/>
          <w:szCs w:val="18"/>
          <w:color w:val="auto"/>
        </w:rPr>
        <w:t xml:space="preserve">If an emerging growth company, indicate by checkmark if the registrant has not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60"/>
        <w:spacing w:after="0" w:line="207" w:lineRule="exact"/>
        <w:tabs>
          <w:tab w:leader="none" w:pos="8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64" w:lineRule="exact"/>
        <w:rPr>
          <w:sz w:val="24"/>
          <w:szCs w:val="24"/>
          <w:color w:val="auto"/>
        </w:rPr>
      </w:pPr>
    </w:p>
    <w:p>
      <w:pPr>
        <w:ind w:right="40" w:firstLine="342"/>
        <w:spacing w:after="0" w:line="308" w:lineRule="auto"/>
        <w:rPr>
          <w:sz w:val="20"/>
          <w:szCs w:val="20"/>
          <w:color w:val="auto"/>
        </w:rPr>
      </w:pPr>
      <w:r>
        <w:rPr>
          <w:rFonts w:ascii="Arial" w:cs="Arial" w:eastAsia="Arial" w:hAnsi="Arial"/>
          <w:sz w:val="16"/>
          <w:szCs w:val="16"/>
          <w:color w:val="auto"/>
        </w:rPr>
        <w:t>The aggregate market value of the common stock held by non-affiliates of the registrant as of September 30, 2016 was approximately $3,440,363,796 (based on the closing price on that date for shares of the registrant’s common stock as reported by the Nasdaq Global Select Market).</w:t>
      </w:r>
    </w:p>
    <w:p>
      <w:pPr>
        <w:ind w:left="360"/>
        <w:spacing w:after="0"/>
        <w:rPr>
          <w:sz w:val="20"/>
          <w:szCs w:val="20"/>
          <w:color w:val="auto"/>
        </w:rPr>
      </w:pPr>
      <w:r>
        <w:rPr>
          <w:rFonts w:ascii="Arial" w:cs="Arial" w:eastAsia="Arial" w:hAnsi="Arial"/>
          <w:sz w:val="18"/>
          <w:szCs w:val="18"/>
          <w:color w:val="auto"/>
        </w:rPr>
        <w:t>The number of shares outstanding of the registrant’s common stock, $.0001 par value, as of May 12, 2017 was 57,628,633.</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both"/>
        <w:ind w:right="160" w:firstLine="342"/>
        <w:spacing w:after="0" w:line="306"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in connection with its 2017 Annual Meeting of Stockholders are incorporated by reference into Part III of this Form 10-K where indicated. Such Proxy Statement will be filed with the Securities and Exchange Commission not later than 120 days after the registrant’s fiscal year ended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80" w:type="dxa"/>
            <w:vAlign w:val="bottom"/>
            <w:gridSpan w:val="8"/>
          </w:tcPr>
          <w:p>
            <w:pPr>
              <w:jc w:val="center"/>
              <w:ind w:right="4360"/>
              <w:spacing w:after="0"/>
              <w:rPr>
                <w:sz w:val="20"/>
                <w:szCs w:val="20"/>
                <w:color w:val="auto"/>
              </w:rPr>
            </w:pPr>
            <w:r>
              <w:rPr>
                <w:rFonts w:ascii="Arial" w:cs="Arial" w:eastAsia="Arial" w:hAnsi="Arial"/>
                <w:sz w:val="18"/>
                <w:szCs w:val="18"/>
                <w:b w:val="1"/>
                <w:bCs w:val="1"/>
                <w:color w:val="auto"/>
                <w:w w:val="98"/>
              </w:rPr>
              <w:t>VIASAT,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380" w:type="dxa"/>
            <w:vAlign w:val="bottom"/>
            <w:gridSpan w:val="8"/>
          </w:tcPr>
          <w:p>
            <w:pPr>
              <w:jc w:val="center"/>
              <w:ind w:right="434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6"/>
            <w:vMerge w:val="restart"/>
          </w:tcPr>
          <w:p>
            <w:pPr>
              <w:jc w:val="center"/>
              <w:ind w:right="446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900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87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62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76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Legal Proceedings</w:t>
              </w:r>
            </w:hyperlink>
          </w:p>
        </w:tc>
        <w:tc>
          <w:tcPr>
            <w:tcW w:w="83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2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0"/>
          </w:tcPr>
          <w:p>
            <w:pPr>
              <w:spacing w:after="0" w:line="184"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Market for Registrant’s Common Equity, Related Stockholder Matters and Issuer Purchases of Equity Securities</w:t>
              </w:r>
            </w:hyperlink>
          </w:p>
        </w:tc>
        <w:tc>
          <w:tcPr>
            <w:tcW w:w="174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620" w:type="dxa"/>
            <w:vAlign w:val="bottom"/>
            <w:gridSpan w:val="2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Management’s Discussion and Analysis of Financial Condition and Results of Operations</w:t>
              </w:r>
            </w:hyperlink>
          </w:p>
        </w:tc>
        <w:tc>
          <w:tcPr>
            <w:tcW w:w="33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620" w:type="dxa"/>
            <w:vAlign w:val="bottom"/>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53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Changes in and Disagreements with Accountants on Accounting and Financial Disclosure</w:t>
              </w:r>
            </w:hyperlink>
          </w:p>
        </w:tc>
        <w:tc>
          <w:tcPr>
            <w:tcW w:w="3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74">
              <w:r>
                <w:rPr>
                  <w:rFonts w:ascii="Arial" w:cs="Arial" w:eastAsia="Arial" w:hAnsi="Arial"/>
                  <w:sz w:val="18"/>
                  <w:szCs w:val="18"/>
                  <w:color w:val="0000EE"/>
                  <w:w w:val="85"/>
                </w:rPr>
                <w:t>Controls and Procedures</w:t>
              </w:r>
            </w:hyperlink>
          </w:p>
        </w:tc>
        <w:tc>
          <w:tcPr>
            <w:tcW w:w="79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620" w:type="dxa"/>
            <w:vAlign w:val="bottom"/>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9620" w:type="dxa"/>
            <w:vAlign w:val="bottom"/>
            <w:gridSpan w:val="21"/>
          </w:tcPr>
          <w:p>
            <w:pPr>
              <w:spacing w:after="0" w:line="184" w:lineRule="exact"/>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6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620" w:type="dxa"/>
            <w:vAlign w:val="bottom"/>
            <w:gridSpan w:val="2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620" w:type="dxa"/>
            <w:vAlign w:val="bottom"/>
            <w:gridSpan w:val="2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5"/>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620" w:type="dxa"/>
            <w:vAlign w:val="bottom"/>
            <w:gridSpan w:val="21"/>
          </w:tcPr>
          <w:p>
            <w:pPr>
              <w:spacing w:after="0" w:line="184" w:lineRule="exact"/>
              <w:rPr>
                <w:rFonts w:ascii="Arial" w:cs="Arial" w:eastAsia="Arial" w:hAnsi="Arial"/>
                <w:sz w:val="18"/>
                <w:szCs w:val="18"/>
                <w:color w:val="0000EE"/>
              </w:rPr>
            </w:pPr>
            <w:hyperlink w:anchor="page77">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2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Form 10-K Summary</w:t>
              </w:r>
            </w:hyperlink>
          </w:p>
        </w:tc>
        <w:tc>
          <w:tcPr>
            <w:tcW w:w="68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16"/>
          </w:tcPr>
          <w:p>
            <w:pPr>
              <w:jc w:val="center"/>
              <w:ind w:left="3112"/>
              <w:spacing w:after="0"/>
              <w:rPr>
                <w:sz w:val="20"/>
                <w:szCs w:val="20"/>
                <w:color w:val="auto"/>
              </w:rPr>
            </w:pPr>
            <w:r>
              <w:rPr>
                <w:rFonts w:ascii="Arial" w:cs="Arial" w:eastAsia="Arial" w:hAnsi="Arial"/>
                <w:sz w:val="18"/>
                <w:szCs w:val="18"/>
                <w:color w:val="auto"/>
                <w:w w:val="79"/>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including the launch, in-orbit testing, transfer of control to us and entry into service of our ViaSat-2 satellite;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expansion of the strategic partnering arrangement with Eutelsat S.A. (together with its affiliates, Eutelsat);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realize the anticipated benefits of our strategic partnering arrangement with Eutelsat or any of our acquisitions;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Item 1A,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 xml:space="preserve">www.viasat.com. </w:t>
      </w:r>
      <w:r>
        <w:rPr>
          <w:rFonts w:ascii="Arial" w:cs="Arial" w:eastAsia="Arial" w:hAnsi="Arial"/>
          <w:sz w:val="18"/>
          <w:szCs w:val="18"/>
          <w:color w:val="auto"/>
        </w:rPr>
        <w:t>The information on our website does not constitute part of this report.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May 4, 2015, our Board of Directors approved a change in our fiscal year from a 52 or 53 week fiscal year ending on the Friday closest to March 31 to a fiscal year ending on March 31 of each year, effective with the fiscal year commencing April 4, 2015. Beginning April 4, 2015, our fiscal quarters end on June 30, September 30, December 31 and March 31 of each year. Fiscal year 2015 was a 52 week year, whereas fiscal year 2016 was slightly shorter than 52 weeks due to the change in fiscal year beginning April 4, 2015. We do not believe that this difference in length of year had any material impact on our financial results.</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On November 23, 2016, we completed the sale of an aggregate of 7,475,000 shares of ViaSat common stock in an underwritten public offering. Our net proceeds from the offering were approximately $503.1 million after deducting underwriting discounts and offering expenses. In November 2016, we used $225.0 million of the net proceeds from the offering to repay outstanding borrowings under our revolving credit facility (the Revolving Credit Facility). We expect to use the remaining net proceeds for general corporate purposes, which may include financing costs related to the purchase, launch and operation of satellites, potential acquisitions, joint ventures and strategic alliances, working capital or capital expenditures.</w:t>
      </w:r>
    </w:p>
    <w:p>
      <w:pPr>
        <w:spacing w:after="0" w:line="1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conduct our business through three segments: satellite services, commercial networks and government systems. Financial information regarding our reporting segments and the geographic areas in which we deliver our services and products is included in the consolidated financial statements and notes thereto.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satellite services segment provides satellite-based high-speed broadband services to consumers, enterprises, commercial airlines and mobile broadband customers. Our Exede</w:t>
      </w:r>
      <w:r>
        <w:rPr>
          <w:rFonts w:ascii="Arial" w:cs="Arial" w:eastAsia="Arial" w:hAnsi="Arial"/>
          <w:sz w:val="10"/>
          <w:szCs w:val="10"/>
          <w:color w:val="auto"/>
        </w:rPr>
        <w:t>®</w:t>
      </w:r>
      <w:r>
        <w:rPr>
          <w:rFonts w:ascii="Arial" w:cs="Arial" w:eastAsia="Arial" w:hAnsi="Arial"/>
          <w:sz w:val="16"/>
          <w:szCs w:val="16"/>
          <w:color w:val="auto"/>
        </w:rPr>
        <w:t xml:space="preserve"> broadband services offer high-speed, high-quality broadband internet access primarily in the United States. We also offer high-speed internet and other in-flight services for a growing number of commercial aircraft both in the United States and abroad. Our satellite services business also provides a platform for the provision of network management services to domestic and international satellite service providers.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satellite services business uses our proprietary technology platform to provide broadband services with multiple applications. Our proprietary Ka-band satellites are at the core of our technology platform. Our first-generation high-capacity Ka-band spot-beam satellite, ViaSat-1, was placed into service in January 2012. At the time of launch we believe ViaSat-1 was the highest capacity, most cost-efficient satellite in the world, with a data throughput of approximately 140 Gigabits per second. Our ViaSat-2 satellite (our second-generation high-capacity Ka-band satellite design) is currently located at the Arianespace S.A. (Arianespace) launch facility in French Guiana and is undergoing preparations for launch into orbit. Due to recent civil unrest in French Guiana, the launch date of our ViaSat-2 satellite was further delayed and is currently expected to occur in June 2017 following completion of the launch preparation process. We expect that our ViaSat-2 satellite will significantly expand our data throughput capacity, enabling us to improve the speed, availability and geographic coverage area of our broadband services. In addition, we currently have two ViaSat-3 class satellites under construction. Our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ViaSat-3 class satellites are our third-generation high-capacity Ka-band satellite design and are designed to further expand our data throughput capacity and geographic coverage area and to support the flexible allocation of capacity to dynamically respond to changing capacity demands, thereby improving the speed, availability and cost-efficiency of our proprietary Ka-band satellite network. We anticipate that our two ViaSat-3 class satellites under construction will be launched in approximately three to four years. We also own the WildBlue-1 satellite, which was placed into service in March 2007.</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believe that growth in our satellite services segment will be driven in the coming years by continued rapid growth in demand for high-speed broadband services across the globe, driven both by continued increases in the number of internet users and connected devices and by increasing data usage, including for video streaming and mobile and in-flight connectivity. The primary services offered by our satellite services segment are comprised of:</w:t>
      </w:r>
    </w:p>
    <w:p>
      <w:pPr>
        <w:spacing w:after="0" w:line="26" w:lineRule="exact"/>
        <w:rPr>
          <w:sz w:val="20"/>
          <w:szCs w:val="20"/>
          <w:color w:val="auto"/>
        </w:rPr>
      </w:pPr>
    </w:p>
    <w:p>
      <w:pPr>
        <w:ind w:left="90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Fixed Broadband Services. </w:t>
      </w:r>
      <w:r>
        <w:rPr>
          <w:rFonts w:ascii="Arial" w:cs="Arial" w:eastAsia="Arial" w:hAnsi="Arial"/>
          <w:sz w:val="16"/>
          <w:szCs w:val="16"/>
          <w:color w:val="auto"/>
        </w:rPr>
        <w:t>We offer satellite-based fixed broadband services under the Exede and WildBlue</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brands to consumers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in the United States. Our broadband offerings provide users with high-speed broadband internet access and Voice over Internet Protocol (VoIP) services. We offer a range of service plans, with pricing based on a number of different factors, including available capacity, bandwidth limits, service quality levels, bundled offerings and terms of distribution. We also offer wholesale and retail fixed broadband services to our national and regional distribution partners, including direct-to-home satellite video providers, retail service providers and communications companies. As of March 31, 2017, we provided fixed broadband services to approximately 659,000 consumer and small business subscribers.</w:t>
      </w:r>
    </w:p>
    <w:p>
      <w:pPr>
        <w:spacing w:after="0" w:line="39"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In-Flight Services. </w:t>
      </w:r>
      <w:r>
        <w:rPr>
          <w:rFonts w:ascii="Arial" w:cs="Arial" w:eastAsia="Arial" w:hAnsi="Arial"/>
          <w:sz w:val="18"/>
          <w:szCs w:val="18"/>
          <w:color w:val="auto"/>
        </w:rPr>
        <w:t>Our award-winning in-flight services (including our flagship ViaSat in-flight internet services) provide industry-leading in-flight</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and aviation software services to commercial airlines. The data throughput capacity of our in-flight internet services enables commercial airlines to offer more passengers on more flights the ability to enjoy high-speed internet services such as streaming video. As of March 31, 2017, 559 commercial aircraft were in service utilizing our in-flight internet services.</w:t>
      </w:r>
    </w:p>
    <w:p>
      <w:pPr>
        <w:spacing w:after="0" w:line="6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mobile broadband services provide global network management and high-speed internet connectivity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using airborne, maritime and ground-mobile satellite systems.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Enterprise Broadband Services. </w:t>
      </w:r>
      <w:r>
        <w:rPr>
          <w:rFonts w:ascii="Arial" w:cs="Arial" w:eastAsia="Arial" w:hAnsi="Arial"/>
          <w:sz w:val="18"/>
          <w:szCs w:val="18"/>
          <w:color w:val="auto"/>
        </w:rPr>
        <w:t>We offer a variety of other broadband services to enterprises, including business connectivity, live on-line event</w:t>
      </w:r>
      <w:r>
        <w:rPr>
          <w:rFonts w:ascii="Arial" w:cs="Arial" w:eastAsia="Arial" w:hAnsi="Arial"/>
          <w:sz w:val="18"/>
          <w:szCs w:val="18"/>
          <w:i w:val="1"/>
          <w:iCs w:val="1"/>
          <w:color w:val="auto"/>
        </w:rPr>
        <w:t xml:space="preserve"> </w:t>
      </w:r>
      <w:r>
        <w:rPr>
          <w:rFonts w:ascii="Arial" w:cs="Arial" w:eastAsia="Arial" w:hAnsi="Arial"/>
          <w:sz w:val="18"/>
          <w:szCs w:val="18"/>
          <w:color w:val="auto"/>
        </w:rPr>
        <w:t>streaming, oil and natural gas data gathering services and high-definition satellite news gathering.</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November 14, 2016, we completed the acquisition of Aerodocs Limited (Arconics), a privately held company focused on wireless in-flight entertainment management software services. The Arconics purchase price of $21.6 million was comprised of approximately $16.6 million in cash consideration paid to former Arconics equity holders and $5.0 million related to the fair value of 61,888 shares of our common stock issued at the closing. The approximately $16.6 million in cash consideration paid to former Arconics equity holders less cash acquired of $0.6 million resulted in a net cash outlay by us of approximately $16.0 million. The Arconics purchase price was primarily allocated to acquired technology and customer relationships intangible assets, and goodwill. Through this acquisition we gained broader expertise, aviation-grade software and mobile applications to make flying safer and more efficient for pilots, cabin crews and flight operations teams, as well as applications that are expected to create new opportunities for passenger entertainment and airline services and revenue. The consolidated financial statements include the operating results of Arconics in our satellite services segment from the date of acquisition.</w:t>
      </w:r>
    </w:p>
    <w:p>
      <w:pPr>
        <w:spacing w:after="0" w:line="11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On March 3, 2017, we consummated our strategic partnering arrangement with Eutelsat for the ownership and operation of satellite broadband infrastructure and equipment, and provision of satellite-based broadband internet services in the European region. At the closing of the transaction, Eutelsat contributed and transferred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assets relating to its existing wholesale satellite broadband business (including its KA-SAT satellite) to a subsidiary of Eutelsat, Euro Broadband Infrastructure Sàrl (Euro Infrastructure Co.) in exchange for the issuance of new shares in such subsidiary, and immediately following such contribution and issuance, we purchased 49% of the issued shares of Euro Infrastructure Co. from Eutelsat for cash consideration of $139.5 million. Our total net cash outlay for this investment in Euro Infrastructure Co., including approximately $2.4 million of transaction costs, was approximately $141.9 million. Also at the closing, Eutelsat purchased 49% of the issued shares of our subsidiary, Euro Broadband Retail Sàrl (Euro Retail Co.), for an immaterial amount. Under the strategic partnering arrangement, Euro Infrastructure Co. owns and operates the KA-SAT satellite and related assets and offers wholesale satellite capacity services in the European region, and the majority-ViaSat owned subsidiary, Euro Retail Co., purchases wholesale satellite capacity services and offers retail satellite-based broadband internet services in the European region.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growth in our commercial networks segment will be driven in the coming years by continued growth in worldwide demand for mobile and fixed connectivity, ground networking equipment and products that enable or support access to high-speed broadband services, and by the increasing cost-effectiveness of satellite technologies to rapidly deploy broadband services across wide geographic areas and to large numbers of people within the satellite footprint. Our commercial networks segment also leverages the deployment of our own proprietary high-capacity Ka-band satellites, as well as Ka-band satellites operated or being built for third parties around the world, by providing the ground infrastructure and user terminals that access the satellites. The primary products, systems, solutions and services offered by our commercial networks segment are comprised of:</w:t>
      </w:r>
    </w:p>
    <w:p>
      <w:pPr>
        <w:spacing w:after="0" w:line="39" w:lineRule="exact"/>
        <w:rPr>
          <w:sz w:val="20"/>
          <w:szCs w:val="20"/>
          <w:color w:val="auto"/>
        </w:rPr>
      </w:pPr>
    </w:p>
    <w:p>
      <w:pPr>
        <w:ind w:left="900" w:right="2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Mobile Broadband Satellite Communication Systems. </w:t>
      </w:r>
      <w:r>
        <w:rPr>
          <w:rFonts w:ascii="Arial" w:cs="Arial" w:eastAsia="Arial" w:hAnsi="Arial"/>
          <w:sz w:val="16"/>
          <w:szCs w:val="16"/>
          <w:color w:val="auto"/>
        </w:rPr>
        <w:t>Our mobile satellite communication systems and related products provide high-speed, cost-efficient broadband access while on the move via small transceivers, and are designed for use in aircraft and seagoing vessels.</w:t>
      </w:r>
    </w:p>
    <w:p>
      <w:pPr>
        <w:spacing w:after="0" w:line="4" w:lineRule="exact"/>
        <w:rPr>
          <w:rFonts w:ascii="Arial" w:cs="Arial" w:eastAsia="Arial" w:hAnsi="Arial"/>
          <w:sz w:val="16"/>
          <w:szCs w:val="16"/>
          <w:color w:val="auto"/>
        </w:rPr>
      </w:pPr>
    </w:p>
    <w:p>
      <w:pPr>
        <w:ind w:left="900" w:right="40" w:hanging="325"/>
        <w:spacing w:after="0" w:line="318"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Fixed Satellite Networks. </w:t>
      </w:r>
      <w:r>
        <w:rPr>
          <w:rFonts w:ascii="Arial" w:cs="Arial" w:eastAsia="Arial" w:hAnsi="Arial"/>
          <w:sz w:val="15"/>
          <w:szCs w:val="15"/>
          <w:color w:val="auto"/>
        </w:rPr>
        <w:t>We are a leading end-to-end network technology supplier for the fixed satellite consumer and enterprise markets. Our next-generation satellite network infrastructure and ground terminals are designed to access Ka-band broadband services on high-capacity satellites. Our SurfBeam</w:t>
      </w:r>
      <w:r>
        <w:rPr>
          <w:rFonts w:ascii="Arial" w:cs="Arial" w:eastAsia="Arial" w:hAnsi="Arial"/>
          <w:sz w:val="10"/>
          <w:szCs w:val="10"/>
          <w:color w:val="auto"/>
        </w:rPr>
        <w:t>®</w:t>
      </w:r>
      <w:r>
        <w:rPr>
          <w:rFonts w:ascii="Arial" w:cs="Arial" w:eastAsia="Arial" w:hAnsi="Arial"/>
          <w:sz w:val="15"/>
          <w:szCs w:val="15"/>
          <w:color w:val="auto"/>
        </w:rPr>
        <w:t xml:space="preserve"> network systems and modems enable satellite broadband access for residential or home office customers. We also offer related products and services to enterprise customers to address bandwidth constraints, latency and other issues, such as our AcceleNet</w:t>
      </w:r>
      <w:r>
        <w:rPr>
          <w:rFonts w:ascii="Arial" w:cs="Arial" w:eastAsia="Arial" w:hAnsi="Arial"/>
          <w:sz w:val="10"/>
          <w:szCs w:val="10"/>
          <w:color w:val="auto"/>
        </w:rPr>
        <w:t>®</w:t>
      </w:r>
      <w:r>
        <w:rPr>
          <w:rFonts w:ascii="Arial" w:cs="Arial" w:eastAsia="Arial" w:hAnsi="Arial"/>
          <w:sz w:val="15"/>
          <w:szCs w:val="15"/>
          <w:color w:val="auto"/>
        </w:rPr>
        <w:t xml:space="preserve"> wide area network (WAN) optimization product, which enables enterprise customers to optimize “cloud computing” services and other applications delivered over WANs.</w:t>
      </w:r>
    </w:p>
    <w:p>
      <w:pPr>
        <w:spacing w:after="0" w:line="18" w:lineRule="exact"/>
        <w:rPr>
          <w:rFonts w:ascii="Arial" w:cs="Arial" w:eastAsia="Arial" w:hAnsi="Arial"/>
          <w:sz w:val="15"/>
          <w:szCs w:val="15"/>
          <w:color w:val="auto"/>
        </w:rPr>
      </w:pPr>
    </w:p>
    <w:p>
      <w:pPr>
        <w:ind w:left="900" w:right="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Antenna Systems</w:t>
      </w:r>
      <w:r>
        <w:rPr>
          <w:rFonts w:ascii="Arial" w:cs="Arial" w:eastAsia="Arial" w:hAnsi="Arial"/>
          <w:sz w:val="16"/>
          <w:szCs w:val="16"/>
          <w:color w:val="auto"/>
        </w:rPr>
        <w:t>. We develop, design, produce, test and install ground terminals and antennas for terrestrial and satellite applications, specializing in</w:t>
      </w:r>
      <w:r>
        <w:rPr>
          <w:rFonts w:ascii="Arial" w:cs="Arial" w:eastAsia="Arial" w:hAnsi="Arial"/>
          <w:sz w:val="16"/>
          <w:szCs w:val="16"/>
          <w:i w:val="1"/>
          <w:iCs w:val="1"/>
          <w:color w:val="auto"/>
        </w:rPr>
        <w:t xml:space="preserve"> </w:t>
      </w:r>
      <w:r>
        <w:rPr>
          <w:rFonts w:ascii="Arial" w:cs="Arial" w:eastAsia="Arial" w:hAnsi="Arial"/>
          <w:sz w:val="16"/>
          <w:szCs w:val="16"/>
          <w:color w:val="auto"/>
        </w:rPr>
        <w:t>earth imaging, remote sensing, mobile satellite communication, Ka-band earth stations and other multi-band antennas.</w:t>
      </w:r>
    </w:p>
    <w:p>
      <w:pPr>
        <w:spacing w:after="0" w:line="4" w:lineRule="exact"/>
        <w:rPr>
          <w:rFonts w:ascii="Arial" w:cs="Arial" w:eastAsia="Arial" w:hAnsi="Arial"/>
          <w:sz w:val="16"/>
          <w:szCs w:val="16"/>
          <w:color w:val="auto"/>
        </w:rPr>
      </w:pPr>
    </w:p>
    <w:p>
      <w:pPr>
        <w:ind w:left="900" w:right="3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Satellite Networking Development. </w:t>
      </w:r>
      <w:r>
        <w:rPr>
          <w:rFonts w:ascii="Arial" w:cs="Arial" w:eastAsia="Arial" w:hAnsi="Arial"/>
          <w:sz w:val="18"/>
          <w:szCs w:val="18"/>
          <w:color w:val="auto"/>
        </w:rPr>
        <w:t>We offer specialized design and technology services covering all aspects of satellite communication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 and technology, including the analysis, design, development and specification of satellite and ground systems, fabless semiconductor design for ASIC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and MMIC chips and WAN compression for enterprise networks, as well as a wide range of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 Our research and development investments in our ViaSat-3 class satellites currently under construction are expected to continue to negatively impact our financial results in our commercial networks segment in fiscal year 2018, with our investments in related ground infrastructure development continuing in subsequent fiscal years.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(DoD), allied foreign governments, allied armed forces, public safety first-responders and remote government employees.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growth in our government systems segment in the coming years will be driven by continued growth in demand for secure, higher-capacity, higher-quality broadband services, associated ground systems and advanced cybersecurity protections. This continued demand reflects the U.S. military’s emphasis on “network-centric” highly mobile warfare over geographically dispersed areas (which requires the development and deployment of secure, IP-based communications networks, products and service offerings capable of supporting real-time dissemination of data using multiple transmission media) and increased use of IP-based network-centric and bandwidth-intensive applications at all organizational levels. Satellite-based systems are increasingly seen as the most reliable method of connecting rapidly moving armed forces that may out-run the range of terrestrial line-of-sight radio links. High-speed broadband beyond-line-of-sight connectivity is increasingly required to support real-time command and control decision-making and enhanced situational awareness.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180" w:hanging="325"/>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Government Mobile Broadband. </w:t>
      </w:r>
      <w:r>
        <w:rPr>
          <w:rFonts w:ascii="Arial" w:cs="Arial" w:eastAsia="Arial" w:hAnsi="Arial"/>
          <w:sz w:val="16"/>
          <w:szCs w:val="16"/>
          <w:color w:val="auto"/>
        </w:rPr>
        <w:t>Our government mobile broadband products and services provide military and government users with high-speed,</w:t>
      </w:r>
      <w:r>
        <w:rPr>
          <w:rFonts w:ascii="Arial" w:cs="Arial" w:eastAsia="Arial" w:hAnsi="Arial"/>
          <w:sz w:val="16"/>
          <w:szCs w:val="16"/>
          <w:i w:val="1"/>
          <w:iCs w:val="1"/>
          <w:color w:val="auto"/>
        </w:rPr>
        <w:t xml:space="preserve"> </w:t>
      </w:r>
      <w:r>
        <w:rPr>
          <w:rFonts w:ascii="Arial" w:cs="Arial" w:eastAsia="Arial" w:hAnsi="Arial"/>
          <w:sz w:val="16"/>
          <w:szCs w:val="16"/>
          <w:color w:val="auto"/>
        </w:rPr>
        <w:t>real-time broadband and multimedia connectivity in key regions of the world. Our government mobile broadband services include high-bandwidth global communications services in support of very important person and senior level airborne operations and emergency response, as well as line-of-sight and beyond-line-of-sight Intelligence, Surveillance, and Reconnaissance (ISR) missions. Our government mobile broadband products include mobile broadband modems, terminals, network access control systems and antenna systems using a range of satellite frequency bands capable of being installed and operated on a wide variety of fixed wing, rotary wing, manned and unmanned aircraft.</w:t>
      </w:r>
    </w:p>
    <w:p>
      <w:pPr>
        <w:spacing w:after="0" w:line="39" w:lineRule="exact"/>
        <w:rPr>
          <w:rFonts w:ascii="Arial" w:cs="Arial" w:eastAsia="Arial" w:hAnsi="Arial"/>
          <w:sz w:val="16"/>
          <w:szCs w:val="16"/>
          <w:color w:val="auto"/>
        </w:rPr>
      </w:pPr>
    </w:p>
    <w:p>
      <w:pPr>
        <w:ind w:left="900" w:right="120" w:hanging="325"/>
        <w:spacing w:after="0" w:line="29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Government Satellite Communication Systems. </w:t>
      </w:r>
      <w:r>
        <w:rPr>
          <w:rFonts w:ascii="Arial" w:cs="Arial" w:eastAsia="Arial" w:hAnsi="Arial"/>
          <w:sz w:val="16"/>
          <w:szCs w:val="16"/>
          <w:color w:val="auto"/>
        </w:rPr>
        <w:t>Our government satellite communication systems offer an array of portable, mobile and fixed</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modems, terminals, network access control systems and antenna systems using a range of satellite frequency bands for Command and Control (C2) missions, satellite networking services and network management systems for Wi-Fi and other internet access networks. Our systems, products and service offerings are designed to support high-throughput broadband data links, to increase available bandwidth using existing satellite capacity, and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and Information Assurance. </w:t>
      </w:r>
      <w:r>
        <w:rPr>
          <w:rFonts w:ascii="Arial" w:cs="Arial" w:eastAsia="Arial" w:hAnsi="Arial"/>
          <w:sz w:val="16"/>
          <w:szCs w:val="16"/>
          <w:color w:val="auto"/>
        </w:rPr>
        <w:t>Our cybersecurity and information assurance products and services provide advanced, high-speed</w:t>
      </w:r>
      <w:r>
        <w:rPr>
          <w:rFonts w:ascii="Arial" w:cs="Arial" w:eastAsia="Arial" w:hAnsi="Arial"/>
          <w:sz w:val="16"/>
          <w:szCs w:val="16"/>
          <w:i w:val="1"/>
          <w:iCs w:val="1"/>
          <w:color w:val="auto"/>
        </w:rPr>
        <w:t xml:space="preserve"> </w:t>
      </w:r>
      <w:r>
        <w:rPr>
          <w:rFonts w:ascii="Arial" w:cs="Arial" w:eastAsia="Arial" w:hAnsi="Arial"/>
          <w:sz w:val="16"/>
          <w:szCs w:val="16"/>
          <w:color w:val="auto"/>
        </w:rPr>
        <w:t>IP-based “Type 1” and High Assurance Internet Protocol Encryption (HAIPE</w:t>
      </w:r>
      <w:r>
        <w:rPr>
          <w:rFonts w:ascii="Arial" w:cs="Arial" w:eastAsia="Arial" w:hAnsi="Arial"/>
          <w:sz w:val="10"/>
          <w:szCs w:val="10"/>
          <w:color w:val="auto"/>
        </w:rPr>
        <w:t>®</w:t>
      </w:r>
      <w:r>
        <w:rPr>
          <w:rFonts w:ascii="Arial" w:cs="Arial" w:eastAsia="Arial" w:hAnsi="Arial"/>
          <w:sz w:val="16"/>
          <w:szCs w:val="16"/>
          <w:color w:val="auto"/>
        </w:rPr>
        <w:t>)-compliant encryption solutions that enable military and government users to communicate information securely over networks, and that secure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39"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Tactical Data Links. </w:t>
      </w:r>
      <w:r>
        <w:rPr>
          <w:rFonts w:ascii="Arial" w:cs="Arial" w:eastAsia="Arial" w:hAnsi="Arial"/>
          <w:sz w:val="16"/>
          <w:szCs w:val="16"/>
          <w:color w:val="auto"/>
        </w:rPr>
        <w:t>We develop and produce advanced tactical radio and information distribution systems that enable secure voice and real-time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and dissemination of video and data using secure, jam-resistant transmission links from manned and unmanned aircraft, ground mobile vehicles, individual warfighters and other remote platforms to networked communication and command centers. Key products in this category include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the following strengths position our business to capitalize on the attractive growth opportunities presented in our business segments:</w:t>
      </w:r>
    </w:p>
    <w:p>
      <w:pPr>
        <w:spacing w:after="0" w:line="113" w:lineRule="exact"/>
        <w:rPr>
          <w:sz w:val="20"/>
          <w:szCs w:val="20"/>
          <w:color w:val="auto"/>
        </w:rPr>
      </w:pPr>
    </w:p>
    <w:p>
      <w:pPr>
        <w:ind w:left="900" w:right="40" w:hanging="325"/>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Vertically Integrated End-to-End Platform of Leading Broadband Technologies</w:t>
      </w:r>
      <w:r>
        <w:rPr>
          <w:rFonts w:ascii="Arial" w:cs="Arial" w:eastAsia="Arial" w:hAnsi="Arial"/>
          <w:sz w:val="16"/>
          <w:szCs w:val="16"/>
          <w:color w:val="auto"/>
        </w:rPr>
        <w:t>. We believe our innovative ecosystem of high-capacity Ka-band</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satellites, ground infrastructure and user terminals provides a vertically integrated end-to-end platform that uniquely positions us to cost-effectively deliver a diverse portfolio of high-speed, high-quality broadband solutions and applications to enterprises, consumers and government users. Our product, system and service offerings are often linked through common underlying technologies, customer applications and market relationships. We believe that many of the market segments in which we compete have significant barriers to entry relating to the complexity of technology and the amount of required investment, and that limited competition exists for broadband services at higher data speeds.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38"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Innovation of Next-Generation Satellite Technology. </w:t>
      </w:r>
      <w:r>
        <w:rPr>
          <w:rFonts w:ascii="Arial" w:cs="Arial" w:eastAsia="Arial" w:hAnsi="Arial"/>
          <w:sz w:val="16"/>
          <w:szCs w:val="16"/>
          <w:color w:val="auto"/>
        </w:rPr>
        <w:t>We have a long history of innovation in next-generation satellite technologies. Since our</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we have designed and produced advanced satellite communications systems and equipment. Our award-winning first-generation high-capacity Ka-band spot-beam satellite, ViaSat-1, was placed into service in January 2012. In February 2012, the Society of Satellite Professionals International bestowed an Industry Innovators Award on us in recognition of the development and launch of our ViaSat-1 satellite and, with its data throughput of approximately 140 Gigabits per second, in 2013 ViaSat-1 earned a Guinness World Records</w:t>
      </w:r>
      <w:r>
        <w:rPr>
          <w:rFonts w:ascii="Arial" w:cs="Arial" w:eastAsia="Arial" w:hAnsi="Arial"/>
          <w:sz w:val="10"/>
          <w:szCs w:val="10"/>
          <w:color w:val="auto"/>
        </w:rPr>
        <w:t>®</w:t>
      </w:r>
      <w:r>
        <w:rPr>
          <w:rFonts w:ascii="Arial" w:cs="Arial" w:eastAsia="Arial" w:hAnsi="Arial"/>
          <w:sz w:val="16"/>
          <w:szCs w:val="16"/>
          <w:color w:val="auto"/>
        </w:rPr>
        <w:t xml:space="preserve"> title as the highest-capacity communications satellite in the world. We expect our second-generation ViaSat-2 satellite will be launched into orbit in June 2017 following completion of the launch preparation process, and that this satellite will significantly expand our data throughput capacity, enabling us to improve the speed, availability and geographic coverage area of our broadband services. Our third-generation ViaSat-3 class satellites (two of which are currently under construction) are designed to further expand our data throughput capacity and geographic coverage area and to support the flexible allocation of capacity to dynamically respond to changing capacity demands, thereby improving the speed, availability and cost-efficiency of our proprietary Ka-band satellite network. Our market-leading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94" w:lineRule="auto"/>
        <w:rPr>
          <w:sz w:val="20"/>
          <w:szCs w:val="20"/>
          <w:color w:val="auto"/>
        </w:rPr>
      </w:pPr>
      <w:r>
        <w:rPr>
          <w:rFonts w:ascii="Arial" w:cs="Arial" w:eastAsia="Arial" w:hAnsi="Arial"/>
          <w:sz w:val="16"/>
          <w:szCs w:val="16"/>
          <w:color w:val="auto"/>
        </w:rPr>
        <w:t>in-flight internet service has received numerous awards and accolades, including the Crystal Cabin Award for the best Passenger Comfort System in April 2015 and the Excellence in Avionics Award for In-Flight Connectivity Innovation in July 2015. We believe that our innovative satellite technologies and investments in the associated ground infrastructure will enable us to provide greater capacity and faster broadband speeds. We believe our history of developing proprietary and innovative satellite technologies spanning spacecraft, ground infrastructure, user terminals and network design demonstrates that we possess the expertise and credibility required to serve the evolving technology needs of our customers.</w:t>
      </w:r>
    </w:p>
    <w:p>
      <w:pPr>
        <w:spacing w:after="0" w:line="35" w:lineRule="exact"/>
        <w:rPr>
          <w:sz w:val="20"/>
          <w:szCs w:val="20"/>
          <w:color w:val="auto"/>
        </w:rPr>
      </w:pPr>
    </w:p>
    <w:p>
      <w:pPr>
        <w:ind w:left="900" w:hanging="325"/>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Diversification of Business Model</w:t>
      </w:r>
      <w:r>
        <w:rPr>
          <w:rFonts w:ascii="Arial" w:cs="Arial" w:eastAsia="Arial" w:hAnsi="Arial"/>
          <w:sz w:val="16"/>
          <w:szCs w:val="16"/>
          <w:color w:val="auto"/>
        </w:rPr>
        <w:t>. Our business is highly diversified, ranging from the provision of fixed broadband services to consumers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enterprises, to the provision of in-flight services to commercial airlines, to the sale of complex satellite communication systems and products to communications service providers and enterprises, to the sale of advanced wireless communications systems, secure networking systems and cybersecurity and information assurance products and other communications services to government users and defense contractors. This diversification in product and service offerings, customer base and market segment helps to reduce our exposure to fluctuations in any of the individual markets we serve. In addition, the flexibility in our business model allows us to allocate our satellite capacity to markets where bandwidth usage demands and returns are highest. During fiscal years 2017, 2016 and 2015, our satellite services segment generated 40%, 39% and 36% of total revenues, our commercial networks segment generated 16%, 18% and 25% of total revenues, and our government systems segment generated 44%, 43% and 39% of total revenues, respectively.</w:t>
      </w:r>
    </w:p>
    <w:p>
      <w:pPr>
        <w:spacing w:after="0" w:line="38" w:lineRule="exact"/>
        <w:rPr>
          <w:rFonts w:ascii="Arial" w:cs="Arial" w:eastAsia="Arial" w:hAnsi="Arial"/>
          <w:sz w:val="16"/>
          <w:szCs w:val="16"/>
          <w:color w:val="auto"/>
        </w:rPr>
      </w:pPr>
    </w:p>
    <w:p>
      <w:pPr>
        <w:ind w:left="900" w:right="22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Blue-Chip Customer Base and Favorable Consumer Plans. </w:t>
      </w:r>
      <w:r>
        <w:rPr>
          <w:rFonts w:ascii="Arial" w:cs="Arial" w:eastAsia="Arial" w:hAnsi="Arial"/>
          <w:sz w:val="18"/>
          <w:szCs w:val="18"/>
          <w:color w:val="auto"/>
        </w:rPr>
        <w:t>Our customers include the DoD, large defense contractors, allied foreign governments,</w:t>
      </w:r>
      <w:r>
        <w:rPr>
          <w:rFonts w:ascii="Arial" w:cs="Arial" w:eastAsia="Arial" w:hAnsi="Arial"/>
          <w:sz w:val="18"/>
          <w:szCs w:val="18"/>
          <w:i w:val="1"/>
          <w:iCs w:val="1"/>
          <w:color w:val="auto"/>
        </w:rPr>
        <w:t xml:space="preserve"> </w:t>
      </w:r>
      <w:r>
        <w:rPr>
          <w:rFonts w:ascii="Arial" w:cs="Arial" w:eastAsia="Arial" w:hAnsi="Arial"/>
          <w:sz w:val="18"/>
          <w:szCs w:val="18"/>
          <w:color w:val="auto"/>
        </w:rPr>
        <w:t>civil agencies, satellite network integrators, large communications service providers, commercial airlines and enterprises requiring complex communications and networking solutions and services. We believe that the credit strength of our key customers, including the U.S. government, leading aerospace and defense prime contractors and commercial airlines, as well as our favorable consumer broadband plans, help support more consistent financial performance.</w:t>
      </w:r>
    </w:p>
    <w:p>
      <w:pPr>
        <w:spacing w:after="0" w:line="61" w:lineRule="exact"/>
        <w:rPr>
          <w:rFonts w:ascii="Arial" w:cs="Arial" w:eastAsia="Arial" w:hAnsi="Arial"/>
          <w:sz w:val="18"/>
          <w:szCs w:val="18"/>
          <w:color w:val="auto"/>
        </w:rPr>
      </w:pPr>
    </w:p>
    <w:p>
      <w:pPr>
        <w:ind w:left="900" w:right="100" w:hanging="325"/>
        <w:spacing w:after="0" w:line="25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core management team, including our Chief Executive Officer, has been with the company since its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1986. Mr. Dankberg is considered to be a leading expert in the field of satellite and wireless communications. In 2008, Mr. Dankberg received the prestigious AIAA Aerospace International Communication award, which recognized him for “shepherding ViaSat into a leading satellite communications company through outstanding leadership and technical expertise.” In 2013, Mr. Dankberg received the Innovator Award from the Arthur C. Clarke Foundation. In 2015, Mr. Dankberg was inducted into the Society of Satellite Professionals Hall of Fame for his leadership and visionary role in satellite communications. Most recently in 2017, Mr. Dankberg became an elected member of the National Academy of Engineering.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business strategy is to be a leading provider of high-speed and cost-effective broadband and advanced communications products and services, utilizing our leading satellite and Wi-Fi technologies and capabilities. The principal elements of our strategy include:</w:t>
      </w:r>
    </w:p>
    <w:p>
      <w:pPr>
        <w:spacing w:after="0" w:line="51" w:lineRule="exact"/>
        <w:rPr>
          <w:sz w:val="20"/>
          <w:szCs w:val="20"/>
          <w:color w:val="auto"/>
        </w:rPr>
      </w:pPr>
    </w:p>
    <w:p>
      <w:pPr>
        <w:ind w:left="900" w:right="12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will continue to focus on research and development to bring high-capacity, high-speed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to the global market. Our innovative satellite and product development has been one of our hallmarks, and we intend to focus on maintaining our leadership position in satellite technologies and services, while continuing to expand our efforts in wireless communications, cloud networking and security. Our research and development efforts are supported by an employee base of over 2,200 engineers and a culture that deeply values innovation.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314"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Continue to Expand our Addressable Markets. </w:t>
      </w:r>
      <w:r>
        <w:rPr>
          <w:rFonts w:ascii="Arial" w:cs="Arial" w:eastAsia="Arial" w:hAnsi="Arial"/>
          <w:sz w:val="15"/>
          <w:szCs w:val="15"/>
          <w:color w:val="auto"/>
        </w:rPr>
        <w:t>As the capacity, data throughput speeds and geographic coverage areas of our satellite systems</w:t>
      </w:r>
      <w:r>
        <w:rPr>
          <w:rFonts w:ascii="Arial" w:cs="Arial" w:eastAsia="Arial" w:hAnsi="Arial"/>
          <w:sz w:val="15"/>
          <w:szCs w:val="15"/>
          <w:i w:val="1"/>
          <w:iCs w:val="1"/>
          <w:color w:val="auto"/>
        </w:rPr>
        <w:t xml:space="preserve"> </w:t>
      </w:r>
      <w:r>
        <w:rPr>
          <w:rFonts w:ascii="Arial" w:cs="Arial" w:eastAsia="Arial" w:hAnsi="Arial"/>
          <w:sz w:val="15"/>
          <w:szCs w:val="15"/>
          <w:color w:val="auto"/>
        </w:rPr>
        <w:t>continue to increase (with each generation of our high-capacity Ka-band satellite designs), we expect the addressable market for our broadband technologies, products and services (whether consumer, enterprise, commercial airline or government) to similarly expand. Higher capacity, more flexible satellites allow us to offer cost-effective broadband services that allow greater data usage at faster speeds, thereby enabling us to better compete against other broadband technologies (including terrestrial technologies) over large geographic areas. As the speed of our broadband offerings increases, we expect the number of companies able to provide competing broadband offerings at equivalent speeds to decrease.</w:t>
      </w:r>
    </w:p>
    <w:p>
      <w:pPr>
        <w:spacing w:after="0" w:line="23" w:lineRule="exact"/>
        <w:rPr>
          <w:rFonts w:ascii="Arial" w:cs="Arial" w:eastAsia="Arial" w:hAnsi="Arial"/>
          <w:sz w:val="15"/>
          <w:szCs w:val="15"/>
          <w:color w:val="auto"/>
        </w:rPr>
      </w:pPr>
    </w:p>
    <w:p>
      <w:pPr>
        <w:ind w:left="900" w:right="4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Drive Cost Efficiencies. </w:t>
      </w:r>
      <w:r>
        <w:rPr>
          <w:rFonts w:ascii="Arial" w:cs="Arial" w:eastAsia="Arial" w:hAnsi="Arial"/>
          <w:sz w:val="16"/>
          <w:szCs w:val="16"/>
          <w:color w:val="auto"/>
        </w:rPr>
        <w:t>We continue to drive cost efficiencies in our businesses through our strategy of vertical integration. We optimize our satellite</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systems through our development of an end-to-end platform of next-generation Ka-band satellites, ground networking equipment and user terminals that enable the provision of high-speed broadband services. Our ViaSat-3 class satellites are expected to further drive cost efficiencies through their ability to efficiently and dynamically match supply and demand through the flexible allocation of capacity within the satellite footprint.</w:t>
      </w:r>
    </w:p>
    <w:p>
      <w:pPr>
        <w:spacing w:after="0" w:line="31"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Focus on International Opportunities. </w:t>
      </w:r>
      <w:r>
        <w:rPr>
          <w:rFonts w:ascii="Arial" w:cs="Arial" w:eastAsia="Arial" w:hAnsi="Arial"/>
          <w:sz w:val="16"/>
          <w:szCs w:val="16"/>
          <w:color w:val="auto"/>
        </w:rPr>
        <w:t>We believe that international markets represent an attractive opportunity for our business. As worldwide</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broadband connectivity and services continues to grow, we expect that our comprehensive offering of next-generation Ka-band satellites, satellite-enabled community Wi-Fi hotspots, advanced end-to-end communication systems and ground networking equipment and products, and their ability to enable cost-effective, high-speed broadband services, will be increasingly attractive internationally. Our ViaSat-2 satellite is expected to provide seven times the geographic coverage of ViaSat-1, and our first two ViaSat-3 class satellites (currently under construction) are expected to provide broadband services over the Americas and the EMEA region, respectively, thereby making our cost-effective, high-speed broadband service offerings available to new markets.</w:t>
      </w:r>
    </w:p>
    <w:p>
      <w:pPr>
        <w:spacing w:after="0" w:line="37" w:lineRule="exact"/>
        <w:rPr>
          <w:rFonts w:ascii="Arial" w:cs="Arial" w:eastAsia="Arial" w:hAnsi="Arial"/>
          <w:sz w:val="16"/>
          <w:szCs w:val="16"/>
          <w:color w:val="auto"/>
        </w:rPr>
      </w:pPr>
    </w:p>
    <w:p>
      <w:pPr>
        <w:ind w:left="900" w:right="80" w:hanging="325"/>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Pursue Growth Through Strategic Alliances, Partnering Arrangements and Relationships. </w:t>
      </w:r>
      <w:r>
        <w:rPr>
          <w:rFonts w:ascii="Arial" w:cs="Arial" w:eastAsia="Arial" w:hAnsi="Arial"/>
          <w:sz w:val="16"/>
          <w:szCs w:val="16"/>
          <w:color w:val="auto"/>
        </w:rPr>
        <w:t>We actively seek strategic relationships and joint ventures</w:t>
      </w:r>
      <w:r>
        <w:rPr>
          <w:rFonts w:ascii="Arial" w:cs="Arial" w:eastAsia="Arial" w:hAnsi="Arial"/>
          <w:sz w:val="16"/>
          <w:szCs w:val="16"/>
          <w:i w:val="1"/>
          <w:iCs w:val="1"/>
          <w:color w:val="auto"/>
        </w:rPr>
        <w:t xml:space="preserve"> </w:t>
      </w:r>
      <w:r>
        <w:rPr>
          <w:rFonts w:ascii="Arial" w:cs="Arial" w:eastAsia="Arial" w:hAnsi="Arial"/>
          <w:sz w:val="16"/>
          <w:szCs w:val="16"/>
          <w:color w:val="auto"/>
        </w:rPr>
        <w:t>with companies whose financial, marketing, operational or technological resources can accelerate the introduction of new technologies and the penetration of new markets. For example, in March 2017 we consummated a strategic partnering arrangement with Eutelsat to expand our provision of broadband services in the European region. In our government systems segment, we regularly enter into teaming arrangements with other government contractors to more effectively capture complex government programs.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customer base is highly diversified. Customers in our satellite services segment include residential customers, commercial airlines, small businesses and other enterprise customers of our broadband services. The customers of our government systems and commercial networks segments include the DoD, U.S. National Security Agency, the U.S. Department of Homeland Security, allied foreign governments, select other U.S. federal, state and local government agencies, commercial and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Revenues from the U.S. government as an individual customer comprised approximately 29%, 24% and 23% of total revenues for fiscal years 2017, 2016 and 2015, respectively. None of our commercial customers comprised 10% or more of total revenues in fiscal years 2017, 2016 and 2015.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 the contract price. In fiscal year 2017, approximately 15% of our total government revenues was generated from cost-reimbursement contracts with the federal government or our prime contractors, approximately 1% from time-and-materials contracts and approximately 84% from fixed-price contracts.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9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technologies and new and enhanced products and services, is a significant factor in maintaining or improving our competitive position and our prospects for growth. Therefore, we continue to make significant investments in next-generation satellite technologies and product development.</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 the majority of our research and product development activities in-house and have a research and development and engineering staff, which includes over 2,200 engineers. Our product development activities focus on products that we consider viable revenue opportunities to support all of our business segments. A significant portion of our research and development efforts for our products have generally been conducted in direct response to the specific requirements of a customer’s order and, accordingly, these amounts are included in the cost of sales when incurred and the related funding is included in revenues at that time.</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portion of our contract revenues which includes research and development funded by government and commercial customers was approximately 19%, 20% and 23% of our total revenues during fiscal years 2017, 2016 and 2015, respectively. In addition, we incurred $129.6 million, $77.2 million and</w:t>
      </w:r>
    </w:p>
    <w:p>
      <w:pPr>
        <w:ind w:right="80"/>
        <w:spacing w:after="0" w:line="295" w:lineRule="auto"/>
        <w:rPr>
          <w:sz w:val="20"/>
          <w:szCs w:val="20"/>
          <w:color w:val="auto"/>
        </w:rPr>
      </w:pPr>
      <w:r>
        <w:rPr>
          <w:rFonts w:ascii="Arial" w:cs="Arial" w:eastAsia="Arial" w:hAnsi="Arial"/>
          <w:sz w:val="16"/>
          <w:szCs w:val="16"/>
          <w:color w:val="auto"/>
        </w:rPr>
        <w:t>$46.7 million during fiscal years 2017, 2016 and 2015, respectively, on independent research and development (IR&amp;D) expenses, which comprise research and development not directly funded by a third party. Funded research and development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research and development programs.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 as described below:</w:t>
      </w:r>
    </w:p>
    <w:p>
      <w:pPr>
        <w:spacing w:after="0" w:line="51" w:lineRule="exact"/>
        <w:rPr>
          <w:sz w:val="20"/>
          <w:szCs w:val="20"/>
          <w:color w:val="auto"/>
        </w:rPr>
      </w:pPr>
    </w:p>
    <w:p>
      <w:pPr>
        <w:ind w:left="90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Satellite Services Sales Organization. </w:t>
      </w:r>
      <w:r>
        <w:rPr>
          <w:rFonts w:ascii="Arial" w:cs="Arial" w:eastAsia="Arial" w:hAnsi="Arial"/>
          <w:sz w:val="16"/>
          <w:szCs w:val="16"/>
          <w:color w:val="auto"/>
        </w:rPr>
        <w:t>Our satellite services sales organization for our broadband internet services sells directly to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our retail channel through our Exede website, sales call centers and through over 1,000 active retailer dealers (including DirecTV). Our satellite services sales organization also includes direct sales and business development personnel who work with enterprises, enterprise-focused master agents and commercial airlines to identify business opportunities and develop solutions for customers’ needs.</w:t>
      </w:r>
    </w:p>
    <w:p>
      <w:pPr>
        <w:spacing w:after="0" w:line="31" w:lineRule="exact"/>
        <w:rPr>
          <w:rFonts w:ascii="Arial" w:cs="Arial" w:eastAsia="Arial" w:hAnsi="Arial"/>
          <w:sz w:val="16"/>
          <w:szCs w:val="16"/>
          <w:color w:val="auto"/>
        </w:rPr>
      </w:pPr>
    </w:p>
    <w:p>
      <w:pPr>
        <w:ind w:left="900" w:right="100" w:hanging="325"/>
        <w:spacing w:after="0" w:line="318"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Commercial Networks Sales Organization. </w:t>
      </w:r>
      <w:r>
        <w:rPr>
          <w:rFonts w:ascii="Arial" w:cs="Arial" w:eastAsia="Arial" w:hAnsi="Arial"/>
          <w:sz w:val="15"/>
          <w:szCs w:val="15"/>
          <w:color w:val="auto"/>
        </w:rPr>
        <w:t>Our commercial networks sales organization consists of sales managers and sales engineers, who act as</w:t>
      </w:r>
      <w:r>
        <w:rPr>
          <w:rFonts w:ascii="Arial" w:cs="Arial" w:eastAsia="Arial" w:hAnsi="Arial"/>
          <w:sz w:val="15"/>
          <w:szCs w:val="15"/>
          <w:i w:val="1"/>
          <w:iCs w:val="1"/>
          <w:color w:val="auto"/>
        </w:rPr>
        <w:t xml:space="preserve"> </w:t>
      </w:r>
      <w:r>
        <w:rPr>
          <w:rFonts w:ascii="Arial" w:cs="Arial" w:eastAsia="Arial" w:hAnsi="Arial"/>
          <w:sz w:val="15"/>
          <w:szCs w:val="15"/>
          <w:color w:val="auto"/>
        </w:rPr>
        <w:t>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often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18" w:lineRule="exact"/>
        <w:rPr>
          <w:rFonts w:ascii="Arial" w:cs="Arial" w:eastAsia="Arial" w:hAnsi="Arial"/>
          <w:sz w:val="15"/>
          <w:szCs w:val="15"/>
          <w:color w:val="auto"/>
        </w:rPr>
      </w:pPr>
    </w:p>
    <w:p>
      <w:pPr>
        <w:ind w:left="900" w:right="20" w:hanging="325"/>
        <w:spacing w:after="0" w:line="318"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Government Systems Sales Organization. </w:t>
      </w:r>
      <w:r>
        <w:rPr>
          <w:rFonts w:ascii="Arial" w:cs="Arial" w:eastAsia="Arial" w:hAnsi="Arial"/>
          <w:sz w:val="15"/>
          <w:szCs w:val="15"/>
          <w:color w:val="auto"/>
        </w:rPr>
        <w:t>Our government systems sales organization consists of both direct sales personnel who sell our standard</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18" w:lineRule="exact"/>
        <w:rPr>
          <w:rFonts w:ascii="Arial" w:cs="Arial" w:eastAsia="Arial" w:hAnsi="Arial"/>
          <w:sz w:val="15"/>
          <w:szCs w:val="15"/>
          <w:color w:val="auto"/>
        </w:rPr>
      </w:pPr>
    </w:p>
    <w:p>
      <w:pPr>
        <w:ind w:left="900" w:right="6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Strategic Partners. </w:t>
      </w:r>
      <w:r>
        <w:rPr>
          <w:rFonts w:ascii="Arial" w:cs="Arial" w:eastAsia="Arial" w:hAnsi="Arial"/>
          <w:sz w:val="16"/>
          <w:szCs w:val="16"/>
          <w:color w:val="auto"/>
        </w:rPr>
        <w:t>To augment our direct sales efforts, we seek to develop key strategic relationships to market and sell our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marketing team works closely with our sales, research and product development organizations and our customers to increase the awareness of the ViaSat brand through a mix of positive program performance and our customers’ recommendation as well as corporate and marketing communications, public relations, advertising, trade show participation and conference speaking engagements by providing communications that keep the market current on our products and features. Our marketing team also identifies and sizes new target markets for our products and services, creates awareness of our company and our portfolio of offerings, and generates contacts and leads within these targeted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compete, we emphasize: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high-speed, high-quality and broad geographic availability of our broadband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advantages and advanced features of our antenna systems as compared to our competitors’ offerings;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cost-effectiveness of our communications systems, products and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we believe we compete successfully on each of these factors, we expect to continue to face intense competition in each of our markets.</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our satellite services segment, we face competition for consumer and enterprise broadband services both from existing competitors and emerging technologies. Our residential and other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may compete with our broadband service offerings. Additionally, wireless telecommunications carriers such as AT&amp;T, Sprint, T-Mobile and Verizon are currently offering unlimited data plans that could attract existing and future Exede residential subscribers. Our in-flight internet service offerings compete against air-to-ground mobile services and other satellite-based services, such as the services offered by Global Eagle, Gogo and Panasonic Avionics Corporation. We believe that our Ka-band satellite-based in-flight internet services offer a competitive combination of high-speed and data throughput capacity, that enable commercial airlines to offer more passengers on more flights the ability to enjoy high-speed broadband services such as streaming video.</w:t>
      </w:r>
    </w:p>
    <w:p>
      <w:pPr>
        <w:spacing w:after="0" w:line="12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our commercial networks segment, we compete with numerous other providers of satellite and terrestrial communications systems, products and equipment, including: Airbus, ASC Signal, Comtech, General Dynamics, Gilat, EchoStar (Hughes Network Systems), iDirect Technologies, L-3 Communications, Newtec, Panasonic, Space Systems/Loral (SS/L) (MacDonald Dettwiler and Associates), Thales and Zodiac Data Systems. In addition, some of our customers continuously evaluate whether to develop and manufacture their own products and could elect to compete with us at any time.</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Within our government systems segment, we generally compete with government communications service providers and manufacturers of defense electronics products, systems or subsystems, such as BAE Systems,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Dynamics, Harris, Inmarsat, Intelsat, Rockwell Collins and similar companies. We may also compete directly with the largest defense prime contractors, including The Boeing Company (Boeing), Lockheed Martin, Northrop Grumman and Raytheon Systems. In many cases we partner with our competitors, and therefore maintaining an open and cooperative relationship is important.</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Airbus, Benchmark, CyberTAN, Davida Technology Partners, Flextronics, Harris, IEC Electronics Corporation, Microelectronics Technology, Plexus, Regal Technology Partners and Sanmina-SCI.</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regulations and procedures of the International Telecommunication Union (ITU), a specialized agency of the United Nations, which require the coordination of the operation of satellite systems in certain circumstances, and more generally are intended to avoid the occurrence of harmful interference among different users of the radio spectrum.</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224" w:lineRule="exact"/>
        <w:rPr>
          <w:sz w:val="20"/>
          <w:szCs w:val="20"/>
          <w:color w:val="auto"/>
        </w:rPr>
      </w:pPr>
    </w:p>
    <w:p>
      <w:pPr>
        <w:jc w:val="right"/>
        <w:ind w:right="7760"/>
        <w:spacing w:after="0"/>
        <w:rPr>
          <w:sz w:val="20"/>
          <w:szCs w:val="20"/>
          <w:color w:val="auto"/>
        </w:rPr>
      </w:pPr>
      <w:r>
        <w:rPr>
          <w:rFonts w:ascii="Arial" w:cs="Arial" w:eastAsia="Arial" w:hAnsi="Arial"/>
          <w:sz w:val="15"/>
          <w:szCs w:val="15"/>
          <w:b w:val="1"/>
          <w:bCs w:val="1"/>
          <w:i w:val="1"/>
          <w:iCs w:val="1"/>
          <w:color w:val="auto"/>
        </w:rPr>
        <w:t>Radio-frequency and Communications Regulation</w:t>
      </w:r>
    </w:p>
    <w:p>
      <w:pPr>
        <w:spacing w:after="0" w:line="125" w:lineRule="exact"/>
        <w:rPr>
          <w:sz w:val="20"/>
          <w:szCs w:val="20"/>
          <w:color w:val="auto"/>
        </w:rPr>
      </w:pPr>
    </w:p>
    <w:p>
      <w:pPr>
        <w:jc w:val="right"/>
        <w:ind w:right="7780"/>
        <w:spacing w:after="0"/>
        <w:rPr>
          <w:sz w:val="20"/>
          <w:szCs w:val="20"/>
          <w:color w:val="auto"/>
        </w:rPr>
      </w:pPr>
      <w:r>
        <w:rPr>
          <w:rFonts w:ascii="Arial" w:cs="Arial" w:eastAsia="Arial" w:hAnsi="Arial"/>
          <w:sz w:val="16"/>
          <w:szCs w:val="16"/>
          <w:b w:val="1"/>
          <w:bCs w:val="1"/>
          <w:i w:val="1"/>
          <w:iCs w:val="1"/>
          <w:color w:val="auto"/>
        </w:rPr>
        <w:t>International Telecommunication Union (ITU)</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orbital location and frequencies for our satellites are subject to the ITU’s regulations, including its frequency registration and coordination procedures. Those procedures are specified in the ITU Radio Regulations and seek to facilitate shared international use of limited spectrum and orbital resources in a manner that avoids harmful interference. Among other things, the ITU procedures establish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 On our behalf, various countries have made and may in the future make additional filings for the frequency assignments at particular orbital locations that are used or to be used by our current satellite networks and potential future satellite networks we may build or acquire. In the event that any international coordination process that is triggered by such an ITU filing is not successfully completed, or bringing into use deadlines are not satisfied, we may be compelled to accept more limited or suboptimal orbital and spectrum rights, to operate the applicable satellite(s) on a non-interference basis, or to cease operating such satellite(s) altogether.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Regulation</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and for regulating the technical and other aspects of the operation of these facilities.</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Earth Stations. </w:t>
      </w:r>
      <w:r>
        <w:rPr>
          <w:rFonts w:ascii="Arial" w:cs="Arial" w:eastAsia="Arial" w:hAnsi="Arial"/>
          <w:sz w:val="16"/>
          <w:szCs w:val="16"/>
          <w:color w:val="auto"/>
        </w:rPr>
        <w:t>The Communications Act requires a license for the operation of transmitting satellite earth station facilities and certain receiving satellite</w:t>
      </w:r>
      <w:r>
        <w:rPr>
          <w:rFonts w:ascii="Arial" w:cs="Arial" w:eastAsia="Arial" w:hAnsi="Arial"/>
          <w:sz w:val="16"/>
          <w:szCs w:val="16"/>
          <w:i w:val="1"/>
          <w:iCs w:val="1"/>
          <w:color w:val="auto"/>
        </w:rPr>
        <w:t xml:space="preserve"> </w:t>
      </w:r>
      <w:r>
        <w:rPr>
          <w:rFonts w:ascii="Arial" w:cs="Arial" w:eastAsia="Arial" w:hAnsi="Arial"/>
          <w:sz w:val="16"/>
          <w:szCs w:val="16"/>
          <w:color w:val="auto"/>
        </w:rPr>
        <w:t>earth station facilities in the United States. We currently hold licenses authorizing us to operate various earth stations within the United States, including but not limited to user terminals, facilities that aggregate traffic and interconnect with the internet backbone and network hubs. These licenses typically are granted for 15 year terms, and typically are renewed in the ordinary course. Material changes in these operations would require prior approval by the FCC. The operation of our earth stations is subject to various license conditions, as well as the technical and operational requirements of the FCC’s rules and regulations.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spacecraft to be used to serve the United States. The FCC has authorized the use of the ViaSat-1, ViaSat-2, WildBlue-1 and Anik F2 spacecraft to serve the United States. The FCC also has granted us the right to use certain future spacecraft to serve the United States, as long as we implement those spacecraft by certain deadlines. The use of these spacecraft in our business is subject to various conditions in the underlying authorizations, as well as the technical and operational requirements of the FCC’s rules and regulations.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Universal Service. </w:t>
      </w:r>
      <w:r>
        <w:rPr>
          <w:rFonts w:ascii="Arial" w:cs="Arial" w:eastAsia="Arial" w:hAnsi="Arial"/>
          <w:sz w:val="16"/>
          <w:szCs w:val="16"/>
          <w:color w:val="auto"/>
        </w:rPr>
        <w:t>Certain of our services may constitute the provision of telecommunications to, from or within the United States, and may require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17.4%. Current FCC rules permit us to pass this universal service contribution through to our customers. The FCC has established a universal service funding mechanism to support the provision of voice and broadband services in certain high-cost areas of the United States, known as the Connect America Fund (the CAF). Among other things, the CAF mechanism provides, or will likely provide, support to terrestrial service providers under terms and conditions that are not available to satellite-based service providers. The CAF could provide other service providers a competitive advantage in providing broadband services in supported areas, which could have a material adverse effect on our business, financial condition and results of operations.</w:t>
      </w:r>
    </w:p>
    <w:p>
      <w:pPr>
        <w:spacing w:after="0" w:line="118"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providers and broadband internet access providers to ensure that law enforcement agencies are able to conduct lawfully-authorized surveillance of users of their services.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Net Neutrality. </w:t>
      </w:r>
      <w:r>
        <w:rPr>
          <w:rFonts w:ascii="Arial" w:cs="Arial" w:eastAsia="Arial" w:hAnsi="Arial"/>
          <w:sz w:val="16"/>
          <w:szCs w:val="16"/>
          <w:color w:val="auto"/>
        </w:rPr>
        <w:t>In February 2015, the FCC adopted new rules intended to preserve the openness of the internet, a concept generally referred to as “net</w:t>
      </w:r>
      <w:r>
        <w:rPr>
          <w:rFonts w:ascii="Arial" w:cs="Arial" w:eastAsia="Arial" w:hAnsi="Arial"/>
          <w:sz w:val="16"/>
          <w:szCs w:val="16"/>
          <w:i w:val="1"/>
          <w:iCs w:val="1"/>
          <w:color w:val="auto"/>
        </w:rPr>
        <w:t xml:space="preserve"> </w:t>
      </w:r>
      <w:r>
        <w:rPr>
          <w:rFonts w:ascii="Arial" w:cs="Arial" w:eastAsia="Arial" w:hAnsi="Arial"/>
          <w:sz w:val="16"/>
          <w:szCs w:val="16"/>
          <w:color w:val="auto"/>
        </w:rPr>
        <w:t>neutrality” or “open internet.” The FCC’s “net neutrality” rules, among other things, prohibit all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 (iii) 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 The FCC then took the further step of forbearing from applying most Title II requirements to internet service providers (ISPs). As a result, ISPs that provide mass-market, retail service offerings are subject to specific “net neutrality” rules and general common-carrier obligations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those requiring rates, terms, and conditions of service to be “just and reasonable”) but are not subject to many of the specific common-carrier requirements found in the Communications Act and the FCC’s rules.</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November 2016, the FCC adopted broadband-specific requirements intended to protect customer privacy and reduce the potential for data breaches. The FCC has received several petitions to reconsider that order and also has stayed the effectiveness of that order.</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Most recently, the FCC has proposed to end the Title II regulatory approach adopted in 2015 and has indicated that it will commence a proceeding to reevaluate the existing rules governing internet service providers. We cannot predict the outcome of these pending proceedings on ISPs.</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Satellite Spectrum</w:t>
      </w:r>
      <w:r>
        <w:rPr>
          <w:rFonts w:ascii="Arial" w:cs="Arial" w:eastAsia="Arial" w:hAnsi="Arial"/>
          <w:sz w:val="18"/>
          <w:szCs w:val="18"/>
          <w:color w:val="auto"/>
        </w:rPr>
        <w:t>. The space stations and ground network we use to provide our broadband services operate using Ka-band spectrum that is designated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use on a primary basis for certain types of the satellite services we provide, as well as additional Ka-band spectrum that is designated primarily for terrestrial wireless and other uses but that we are authorized to use on a secondary or non-interference basis. The FCC recently issued an order that designates a portion of the Ka-band that we use on a secondary basis, as well as other bands above 24 GHz, to be used for “5G” wireless mobile and other terrestrial broadband services. We believe that the new rules adopted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order provide an approach for our satellite operations to coexist and expand alongside terrestrial wireless mobile networks. The order recognizes the need for additional study of technical sharing issues, and we intend to continue working with the FCC and other stakeholders to address those concerns. Requests for reconsideration of certain aspects of the order are pending before the FCC. The order therefore is subject to change. The FCC separately has proposed new rules that would redefine the terms and conditions under which our spacecraft share spectrum with other spacecraft that operate in different orbits, and the FCC currently is considering applications for authority to operate large numbers of spacecraft in those other orbits. If the deployment of these new terrestrial or satellite networks results in harmful interference into our satellite operations, or if the new rules constrain or prohibit the types of uses we have planned for this spectrum in a manner that we do not anticipate, such a development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Licensing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will operate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In the United States, 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The FCC requires that equipment be tested either by the manufacturer or by a private testing organization to ensure compliance with the applicable technical requirements. For other classes of device, the FCC requires submission of an application, which must be approved by the FCC, or in some instances may be approved by a private testing organization.</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 government and other agency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handling and export of certain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satellite services segment, historically subscriber activity for our consumer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changes in credit check and subscriber approval processes and satellite beam congestion.</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In addition, any materials filed with the SEC may be read and copied by the public at the SEC’s 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March 31, 2017, we employed approximately 4,300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4060" w:type="dxa"/>
            <w:vAlign w:val="bottom"/>
            <w:vMerge w:val="restart"/>
          </w:tcPr>
          <w:p>
            <w:pPr>
              <w:ind w:left="140"/>
              <w:spacing w:after="0"/>
              <w:rPr>
                <w:sz w:val="20"/>
                <w:szCs w:val="20"/>
                <w:color w:val="auto"/>
              </w:rPr>
            </w:pPr>
            <w:r>
              <w:rPr>
                <w:rFonts w:ascii="Arial" w:cs="Arial" w:eastAsia="Arial" w:hAnsi="Arial"/>
                <w:sz w:val="18"/>
                <w:szCs w:val="18"/>
                <w:color w:val="auto"/>
                <w:w w:val="96"/>
              </w:rPr>
              <w:t>Chairman of the Board and Chief Executive Officer</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3"/>
              </w:rPr>
              <w:t>Position</w:t>
            </w:r>
          </w:p>
        </w:tc>
        <w:tc>
          <w:tcPr>
            <w:tcW w:w="0" w:type="dxa"/>
            <w:vAlign w:val="bottom"/>
          </w:tcPr>
          <w:p>
            <w:pPr>
              <w:spacing w:after="0"/>
              <w:rPr>
                <w:sz w:val="1"/>
                <w:szCs w:val="1"/>
                <w:color w:val="auto"/>
              </w:rPr>
            </w:pP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Mark</w:t>
            </w:r>
          </w:p>
        </w:tc>
        <w:tc>
          <w:tcPr>
            <w:tcW w:w="2220" w:type="dxa"/>
            <w:vAlign w:val="bottom"/>
          </w:tcPr>
          <w:p>
            <w:pPr>
              <w:ind w:left="60"/>
              <w:spacing w:after="0" w:line="201" w:lineRule="exact"/>
              <w:rPr>
                <w:sz w:val="20"/>
                <w:szCs w:val="20"/>
                <w:color w:val="auto"/>
              </w:rPr>
            </w:pPr>
            <w:r>
              <w:rPr>
                <w:rFonts w:ascii="Arial" w:cs="Arial" w:eastAsia="Arial" w:hAnsi="Arial"/>
                <w:sz w:val="18"/>
                <w:szCs w:val="18"/>
                <w:color w:val="auto"/>
              </w:rPr>
              <w:t>Dankberg</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w:t>
            </w:r>
          </w:p>
        </w:tc>
        <w:tc>
          <w:tcPr>
            <w:tcW w:w="14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Director, President and Chief Operating Officer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Doug Abts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w w:val="91"/>
              </w:rPr>
              <w:t>Vice President, Strategy Development, Broadband Services</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Robert Blair</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Girish Chandran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Vice President and Chief Technical Officer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Melinda Del Toro</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Senior Vice President, People and Culture</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Bruce Dirks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w w:val="90"/>
              </w:rPr>
              <w:t>Senior Vice President, Treasury and Corporate Development</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Kevin Harkenrider</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President, Commercial Networks</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President, Broadband Services and Chief Legal Officer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Mark Miller</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 Chief Technical Officer</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President, Government Systems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(TrellisWare), a 52% majority-owned subsidiary of ViaSat that develops advanced signal processing technologies for communication applications. He also currently serves on the boards of Minnetronix, Inc., a privately-held medical device and design company, and Lytx, Inc., a privately-held company that provides fleet safety management solutions.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2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Richard Baldridge </w:t>
      </w:r>
      <w:r>
        <w:rPr>
          <w:rFonts w:ascii="Arial" w:cs="Arial" w:eastAsia="Arial" w:hAnsi="Arial"/>
          <w:sz w:val="16"/>
          <w:szCs w:val="16"/>
          <w:color w:val="auto"/>
        </w:rPr>
        <w:t>joined ViaSat in April 1999, serving as our Executive Vice President, Chief Financial Officer and Chief Operating Officer from 2000</w:t>
      </w:r>
      <w:r>
        <w:rPr>
          <w:rFonts w:ascii="Arial" w:cs="Arial" w:eastAsia="Arial" w:hAnsi="Arial"/>
          <w:sz w:val="16"/>
          <w:szCs w:val="16"/>
          <w:i w:val="1"/>
          <w:iCs w:val="1"/>
          <w:color w:val="auto"/>
        </w:rPr>
        <w:t xml:space="preserve"> </w:t>
      </w:r>
      <w:r>
        <w:rPr>
          <w:rFonts w:ascii="Arial" w:cs="Arial" w:eastAsia="Arial" w:hAnsi="Arial"/>
          <w:sz w:val="16"/>
          <w:szCs w:val="16"/>
          <w:color w:val="auto"/>
        </w:rPr>
        <w:t>and as our Executive Vice President and Chief Operating Officer from 2002. Mr. Baldridge assumed his current role as President and Chief Operating Officer in 2003. In addition, Mr. Baldridge serves as a director of Ducommun Incorporated, a provider of engineering and manufacturing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Doug Abts </w:t>
      </w:r>
      <w:r>
        <w:rPr>
          <w:rFonts w:ascii="Arial" w:cs="Arial" w:eastAsia="Arial" w:hAnsi="Arial"/>
          <w:sz w:val="16"/>
          <w:szCs w:val="16"/>
          <w:color w:val="auto"/>
        </w:rPr>
        <w:t>joined ViaSat in September 2015 as Vice President, Strategy Development, Broadband Services. Mr. Abts has over 20 years of experience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areas of general management, business development, mergers and acquisitions, and strategic planning. From July 2010 to August 2015, Mr. Abts served as Executive Vice President, Strategy and Corporate Development of Bridgepoint Education. From August 2003 to June 2010, Mr. Abts operated in key management and business development roles at Science Applications International Corporation. Early in his career, he served with distinction as an officer in the United States Navy SEALs. Mr. Abts earned a B.A. degree from Stanford University and an M.B.A. degree from Harvard Business School.</w:t>
      </w:r>
    </w:p>
    <w:p>
      <w:pPr>
        <w:spacing w:after="0" w:line="116"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i w:val="1"/>
          <w:iCs w:val="1"/>
          <w:color w:val="auto"/>
        </w:rPr>
        <w:t xml:space="preserve">Robert Blair </w:t>
      </w:r>
      <w:r>
        <w:rPr>
          <w:rFonts w:ascii="Arial" w:cs="Arial" w:eastAsia="Arial" w:hAnsi="Arial"/>
          <w:sz w:val="18"/>
          <w:szCs w:val="18"/>
          <w:color w:val="auto"/>
        </w:rPr>
        <w:t>joined ViaSat in May 2008 as Assistant General Counsel. In April 2009, Mr. Blair was appointed Associate General Counsel and in 2014 was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Vice President and Deputy General Counsel. In May 2017, Mr. Blair assumed his current position as Vice President, General Counsel and Secretary.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Girish Chandran </w:t>
      </w:r>
      <w:r>
        <w:rPr>
          <w:rFonts w:ascii="Arial" w:cs="Arial" w:eastAsia="Arial" w:hAnsi="Arial"/>
          <w:sz w:val="16"/>
          <w:szCs w:val="16"/>
          <w:color w:val="auto"/>
        </w:rPr>
        <w:t>joined ViaSat in October 2007 as a Principal Engineer. In September 2013, Mr. Chandran was appointed Chief Technology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 — Commercial Networks. In May 2017, he assumed his current position as Vice President and Chief Technical Officer. Mr. Chandran has extensive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experience building multimedia networks. Prior to joining ViaSat, from 2001 to 2007, Mr. Chandran served as Vice President of Engineering at Newtec America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a satellite communications equipment provider. From 1995 to 2001, he held several roles, including Vice President of Systems Engineering, at Tiernan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Communications Inc. (acquired by Radyne Comstream Inc.), a provider of video compression and transmission solutions. Mr. Chandran earned a Ph.D. degree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Electrical Engineering from the University of California, San Diego, an M.S. degree in Electrical Communication Engineering from the Indian Institute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Science and a BSc. degree in Physics from the University of Kerala.</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Melinda Del Toro </w:t>
      </w:r>
      <w:r>
        <w:rPr>
          <w:rFonts w:ascii="Arial" w:cs="Arial" w:eastAsia="Arial" w:hAnsi="Arial"/>
          <w:sz w:val="16"/>
          <w:szCs w:val="16"/>
          <w:color w:val="auto"/>
        </w:rPr>
        <w:t>joined ViaSat in 2001 as Manager of Learning and Development. In 2003 she began to assume a broader role with the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In 2008 she was appointed Director of Human Resources and in 2011 was appointed Vice President — Human Resources. In April 2016, she assumed the position of Senior Vice President — Human Resources, which was retitled Senior Vice President — People and Culture in April 2017. Ms. Del Toro started her career teaching at San Diego State University within the School of Communication. Prior to joining ViaSat she held roles in corporate learning and organizational development for Nicholas-Applegate Capital Management, Qualcomm Personal Electronics and Sony Electronics. Ms. Del Toro holds B.A. and M.A. degrees in Communication from San Diego State University.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Bruce Dirks </w:t>
      </w:r>
      <w:r>
        <w:rPr>
          <w:rFonts w:ascii="Arial" w:cs="Arial" w:eastAsia="Arial" w:hAnsi="Arial"/>
          <w:sz w:val="18"/>
          <w:szCs w:val="18"/>
          <w:color w:val="auto"/>
        </w:rPr>
        <w:t>joined ViaSat in April 2013 as Vice President and Chief Financial Officer. He assumed his current position as Senior Vice</w:t>
      </w:r>
    </w:p>
    <w:p>
      <w:pPr>
        <w:spacing w:after="0" w:line="1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President — Treasury and Corporate Development in June 2014. Prior to joining ViaSat, Mr. Dirks served as a portfolio manager at Fidelity Management &amp; Research Company from 2000 to April 2013, and was Vice President — Investments at TRW Investment Management Company from 1993 to 2000. Mr. Dirks began his career at Raytheon Company as a financial analyst and also worked on the corporate finance team at General Dynamics Corporation. Mr. Dirks earned a B.A. degree in Economics from Amherst College and an M.B.A. degree from the University of Chicago.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Shawn Duffy </w:t>
      </w:r>
      <w:r>
        <w:rPr>
          <w:rFonts w:ascii="Arial" w:cs="Arial" w:eastAsia="Arial" w:hAnsi="Arial"/>
          <w:sz w:val="16"/>
          <w:szCs w:val="16"/>
          <w:color w:val="auto"/>
        </w:rPr>
        <w:t>joined ViaSat in 2005 as Corporate Controller. In 2009, she was appointed ViaSat’s Vice President and Corporate Controller and in 2012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Kevin Harkenrider </w:t>
      </w:r>
      <w:r>
        <w:rPr>
          <w:rFonts w:ascii="Arial" w:cs="Arial" w:eastAsia="Arial" w:hAnsi="Arial"/>
          <w:sz w:val="16"/>
          <w:szCs w:val="16"/>
          <w:color w:val="auto"/>
        </w:rPr>
        <w:t>joined ViaSat in October 2006 as Director — Operations, served as Vice President — Operations from January 2007 until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2009, served as Vice President of ViaSat and Chief Operating Officer of ViaSat Communications Inc. from December 2009 to April 2011, as Senior Vice President — Infrastructure Operations from April 2011 to May 2012, and as Senior Vice President — Broadband Services from May 2012 to May 2015, and as Senior Vice President — Commercial Networks from May 2015 to May 2017. Mr. Harkenrider assumed his current position as President, Commercial Networks in May 2017.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Keven Lippert </w:t>
      </w:r>
      <w:r>
        <w:rPr>
          <w:rFonts w:ascii="Arial" w:cs="Arial" w:eastAsia="Arial" w:hAnsi="Arial"/>
          <w:sz w:val="16"/>
          <w:szCs w:val="16"/>
          <w:color w:val="auto"/>
        </w:rPr>
        <w:t>joined ViaSat in May 2000 as Associate General Counsel and Assistant Secretary. In April 2007, he was appointed ViaSat’s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Counsel and Secretary, in 2012 he was appointed Senior Vice President — General Counsel and Secretary, and in June 2014 he was appointed Executive Vice President — General Counsel and Secretary. He assumed his current position as President, Broadband Services and Chief Legal Officer in May 2017.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 when he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Ken Peterman </w:t>
      </w:r>
      <w:r>
        <w:rPr>
          <w:rFonts w:ascii="Arial" w:cs="Arial" w:eastAsia="Arial" w:hAnsi="Arial"/>
          <w:sz w:val="18"/>
          <w:szCs w:val="18"/>
          <w:color w:val="auto"/>
        </w:rPr>
        <w:t>joined ViaSat in April 2013 as Vice President — Government Systems. In June 2014, he was appointed Senior Vice</w:t>
      </w:r>
    </w:p>
    <w:p>
      <w:pPr>
        <w:spacing w:after="0" w:line="1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President — Government Systems. Mr. Peterman assumed his current position as President, Government Systems in May 2017. Mr. Peterman has over 30 years of experience in general management, systems engineering, strategic planning, portfolio management, and business leadership in the aerospace and defense industries. From July 2012 to April 2013, Mr. Peterman served as President and Chief Executive Officer of SpyGlass Group, a company he co-founded which provides executive strategic advisory services to the aerospace and defense industries. From 2011 to July 2012, Mr. Peterman served as President of Exelis Communications and Force Protection Systems, and from 2007 to 2011, he served as President of ITT Communications Systems, which are both developers and providers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uptake of our in-flight services by commercial airlines and number of aircraft being retrofitted or installed with our in-flight broadband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varying subscriber addition and churn rates for our residential broadband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mix of wholesale and retail subscriber additions in our residential broadband business;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investments in the construction or acquisition of satellites, and the impact of any construction or launch delays, operational or launch failures or other disruptions to our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complex and lengthy procurement process for most of our commercial networks and government systems customers and potential customers;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Any of the foregoing factors, or any other factors discussed elsewhere herein, could have a material adverse effect on our business, financial condition and results of operations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own two satellites: ViaSat-1 (our first-generation high-capacity Ka-band spot-beam satellite, which was placed into service in January 2012) and WildBlue-1 (which was placed into service in March 2007). We expect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second-generation ViaSat-2 satellite will be launched in June 2017 following completion of the launch preparation process. In addition, two ViaSat-3 class satellites (our third-generation high-capacity Ka-band satellite design) are currently under construction. We also have an exclusive prepaid lifetime capital lease of Ka-band capacity over the contiguous United States on Telesat Canada’s Anik F2 satellite (which was placed into service in April 2005). We utilize capacity primarily on our ViaSat-1 and WildBlue-1 satellites to support our broadband services in the United States. We also lease capacity on multiple satellites related to the provision of our international broadband services. We may construct, acquire or use additional satellites in the future.</w:t>
      </w:r>
    </w:p>
    <w:p>
      <w:pPr>
        <w:spacing w:after="0" w:line="11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Satellites utilize highly complex technology and operate in the harsh environment of space and, accordingly, are subject to significant operational risks while in orbit. These risks include malfunctions (commonly referred to as anomalies), including malfunctions in the deployment of subsystems and/or components,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32" w:lineRule="exact"/>
        <w:rPr>
          <w:sz w:val="20"/>
          <w:szCs w:val="20"/>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revenues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ability to earn revenues from our satellite services depends on the continued operation of ViaSat-1, WildBlue-1 and any other satellite we may acquire or use in the future, such as our ViaSat-2 and ViaSat-3 class satellites.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our existing satellites or any other satellite we may own or acquire in the future prior to the end of its life.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or Proposed Satellites Are Subject to Significant Risks Related to Construction and Launch that Could Limit Our Ability to Utilize these Satellites</w:t>
      </w:r>
    </w:p>
    <w:p>
      <w:pPr>
        <w:spacing w:after="0" w:line="11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ViaSat-2 satellite is currently scheduled for launch in June 2017 following completion of the launch preparation process and we currently have two ViaSat-3 class satellites under construction. We may construct and launch additional satellites in the future. The design and construction of satellites require significant investments of capital and management time. Satellite construction and launch are also subject to significant risks, including construction delays, cost overruns, regulatory conditions or delays, unavailability of launch opportunities, launch failure, damage or destruction during launch and improper orbital placement. Unlike our ViaSat-1 and ViaSat-2 satellites, which were constructed in their entirety by the satellite manufacturer, we are for the first time constructing the payload for our ViaSat-3 class satellites ourselves at our own facilities, and expect Boeing to integrate the completed payload into the satellite bus at their facilities. Moreover, the technologies in our ViaSat-3 satellite design are very complex, and there can be no assurance that the technologies will work as we expect or that we will realize any or all of the anticipated benefits of our ViaSat-3 satellite design. Difficulties or delays in the construction or integration of the payload for our ViaSat-3 class satellites or the implementation of our ViaSat-3 satellite design could adversely affect our business plan for these satellites and result in significant additional cost. We have in the past experienced delays in satellite construction and launch. For example, the launch of our ViaSat-2 satellite was further delayed due to recent civil unrest in French Guiana (the location of the satellite launch). If satellite construction schedules are not met or other events prevent satellite launch on schedule, a launch opportunity may not be available at the time the satellite is ready to be launched. A significant delay in the construction, delivery or launch of a satellite may have a material adverse effect on our operations or our business plan for the satellite.</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Satellites are also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5% but could at any time be higher. Launch vehicles may also under perform, in which case the satellite may still be able to be placed into service by using its onboard propulsion systems to reach the desired orbital location, but this would cause a reduction in its useful life. Moreover, even if launch is successful and the satellite reaches the desired orbital location, following launch the satellite will need to undergo in-orbit testing and there can be no assurance that the satellite will successfully pass in-orbit testing prior to transfer of control of the satellite to us. The failure to implement our satellite deployment plan on schedule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currently hold in-orbit insurance for ViaSat-1, WildBlue-1 and Anik F2, as well as launch and in-orbit insurance for our ViaSat-2 satellite. We intend to seek launch and in-orbit insurance for any satellite we may construct or acquire in the future. However, we may not be able to obtain insurance, or renew existing insurance, for our satellites on reasonable economic terms or at all. If we are able to obtain or renew our insurance, it may contain customary exclusions and exclusions for past satellite anomalies. A failure to obtain or renew our satellite insurance may also result in a default under our debt instruments. In addition, the occurrence of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anomalies on other satellites, including other Ka-band satellites, or any failures of a satellite using similar components or failures of a similar launch vehicle to any launch vehicle we intend to use for any future satellite (including our ViaSat-2 and ViaSat-3 class satellites), may materially adversely affect our ability to insure the satellites at commercially reasonable premiums or terms, if at all.</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policies covering our insured satellites will not cover the full cost of constructing and launching or replacing a satellite nor fully cover our losses in the event of a satellite failure or significant degradation. Moreover, such policies do not cover, and we do not have protection against, lost profits, business interruptions, fixed operating expenses, loss of business or similar losses.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Compete Are Highly Competitive and Our Competitors May Have Greater Resources than Us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In our satellite services segment, we face competition for consumer and enterprise broadband services both from existing competitors and emerging technologies. Our residential and other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may compete with our broadband service offerings. Additionally, wireless telecommunications carriers such as AT&amp;T, Sprint, T-Mobile and Verizon are currently offering unlimited data plans that could attract existing and future Exede residential subscribers. Our in-flight internet service offerings compete against air-to-ground mobile services and other satellite-based services, such as the services offered by Global Eagle, Gogo and Panasonic Avionics Corporation. In our commercial networks segment, we compete with numerous other providers of satellite and terrestrial communications systems, products and equipment, including: Airbus, ASC Signal, Comtech, General Dynamics, Gilat, EchoStar (Hughes Network Systems), iDirect Technologies, L-3 Communications, Newtec, Panasonic, SS/L (MacDonald Dettwiler and Associates), Thales and Zodiac Data Systems. In addition, some of our customers continuously evaluate whether to develop and manufacture their own products and could elect to compete with us at any time. Within our government systems segment, we generally compete with government communications services providers and manufacturers of defense electronics products, systems or subsystems, such as BAE Systems, General Dynamics, Harris, Inmarsat, Intelsat, Rockwell Collins and similar companies. We may also compete directly with the largest defense prime contractors, including Boeing, Lockheed Martin, Northrop Grumman and Raytheon Systems. 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Broadband Services Business Strategy May Not Succeed in the Long Term</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 major element of our broadband services business strategy is to utilize our proprietary high-capacity Ka-band satellites and any additional satellites we may construct or acquire in the future to continue to expand our provision of high-speed broadband services around the globe. We may be unsuccessful in implementing our business plan for our broadband services business, or we may not be able to achieve the revenues that we expect from our broadband services business. Any failure to realize our anticipated benefits of our high-capacity Ka-band satellites, to attract a sufficient number of distributors or customers for our broadband services, to expand our broadband services business internationally or to grow our consumer and enterprise customer base for broadband services as quickly as we anticipate, may have a material adverse effect on our business, financial condition or results of operations.</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we believe the launch and roll-out of our ViaSat-2 satellite and related ground infrastructure will impact our financial results in our satellite services segment in fiscal year 2018 and beyond. In particular, we expect to increase our investment in subscriber acquisition costs after ViaSat-2 is placed into service as we expand our subscriber base for our Exede broadband services. However, there can be no assurance that we will be successful in our expansion plans. We expect the relative impact of the launch and roll-out of the satellite and related ground infrastructure to our financial results to be less than we experienced in relation to the launch and roll-out of our ViaSat-1 satellite and related ground infrastructure. During the period from 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which negatively impacted income from operations during that period, included costs associated with depreciation, earth station connectivity, subscriber acquisition costs, logistics, customer care and various support systems. Our IR&amp;D investments in our ViaSat-3 class satellites currently under construction are also expected to continue to negatively impact our financial results in our commercial networks segment in fiscal year 2018, with our investments in related ground infrastructure development continuing in subsequent fiscal years. If our business strategy for our satellite services segment does not succeed, we may be unable to recover our significant investments in our high-capacity Ka-band satellites, which could have a material adverse impact on our business, financial condition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While we anticipate that these authorizations will be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will operate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governmental rights on which our operating rights are based. The use of these spacecraft in our business is subject to various conditions in the underlying authorizations held by us, ManSat Limited and Telesat Canada, as well as the requirements of the laws and regulations of those jurisdictions.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Joint Ventures and Other Strategic Alliances May Have an Adverse Effect on Our Business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For example, in March 2017, we consummated a strategic partnering arrangement with Eutelsat to expand broadband services in Europe and the Mediterranean region. Risks and uncertainties relating to acquisitions, joint ventures and other strategic alliances include:</w:t>
      </w:r>
    </w:p>
    <w:p>
      <w:pPr>
        <w:spacing w:after="0" w:line="62" w:lineRule="exact"/>
        <w:rPr>
          <w:sz w:val="20"/>
          <w:szCs w:val="20"/>
          <w:color w:val="auto"/>
        </w:rPr>
      </w:pPr>
    </w:p>
    <w:p>
      <w:pPr>
        <w:ind w:left="900" w:right="4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difficulty in integrating and managing newly acquired businesses or any businesses of a joint venture or strategic alliance in an efficient and effective manner;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such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 or to the complexities of a joint venture or strategic alliance;</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targeted markets do not evolve as anticipated and the technologies acquired or the joint venture or strategic alliance entered into do not prove to be those needed to be successful in those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combining or managing different corporate cultures;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 of an acquired business;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a joint venture or strategic partner to satisfy its obligations or the bankruptcy or malfeasance of such person or entity;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an acquired business or with respect to any joint venture or strategic alliance;</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joint venture or strategic alliance, as well as maintaining uniform standards, controls (including internal accounting controls), procedures and policies;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we do not realize a satisfactory return on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funding requirements may be significantly greater than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Eutelsat strategic partnering arrangement and any future acquisitions, joint ventures or strategic alliances, we may incur debt, issue equity securities, assume contingent liabilities or have amortization expenses and write-downs of acquired assets, which could cause our earnings per share to decline. 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Regulatory Environment Could Have a Material Adverse Impact on Our Competitive Position, Growth and Financial Performance</w:t>
      </w:r>
    </w:p>
    <w:p>
      <w:pPr>
        <w:spacing w:after="0" w:line="1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 communications systems and networking infrastructure. The space stations and ground network we use to provide our Exede broadband services operate using spectrum that is regulated for use on a primary basis for certain types of the satellite services we provide, as well as additional spectrum that is regulated primarily for terrestrial wireless and other uses but that we are authorized to use on a secondary or non-interference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regulations. We cannot predict when or whether applicable laws or regulations may come into effect or change, or what the cost and time necessary to comply with such new or updated laws or regulations may be.</w:t>
      </w:r>
    </w:p>
    <w:p>
      <w:pPr>
        <w:spacing w:after="0" w:line="11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Changes in laws or regulations, including the way spectrum is regulated and/or is used by others could, directly or indirectly, affect our operations or the operations of our distribution partners, increase the cost of providing our products and services and make our products and services less competitive in our core markets; in certain instances, such changes could have a material adverse effect on our business, financial condition and results of operations.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Trump Administration has called for substantial changes to regulatory, fiscal and tax policies, which may include comprehensive tax reform. We cannot predict the impact, if any, of these changes to our business or the industries in which we operate. However, it is possible that these changes could adversely affect our business. It is likely that some policies adopted by the new administration will benefit us and others will negatively affect us. Until we know what changes are enacted, we will not know whether in total we benefit from, or are negatively affected by, the changes. At various times, President Trump has expressed antipathy towards existing trade agreements, including the North American Free Trade Agreement (NAFTA), greater restrictions on free trade generally and significant increases on tariffs on goods imported into the United States. Changes in U.S. political, regulatory and economic conditions or in laws and policies governing foreign trade, manufacturing, development and investment in the countries where we do business or source goods and materials for our products, and any negative sentiments towards the United States as a result of such changes, could adversely affect our business.</w:t>
      </w:r>
    </w:p>
    <w:p>
      <w:pPr>
        <w:spacing w:after="0" w:line="118" w:lineRule="exact"/>
        <w:rPr>
          <w:sz w:val="20"/>
          <w:szCs w:val="20"/>
          <w:color w:val="auto"/>
        </w:rPr>
      </w:pPr>
    </w:p>
    <w:p>
      <w:pPr>
        <w:ind w:right="560" w:firstLine="456"/>
        <w:spacing w:after="0" w:line="286" w:lineRule="auto"/>
        <w:rPr>
          <w:sz w:val="20"/>
          <w:szCs w:val="20"/>
          <w:color w:val="auto"/>
        </w:rPr>
      </w:pPr>
      <w:r>
        <w:rPr>
          <w:rFonts w:ascii="Arial" w:cs="Arial" w:eastAsia="Arial" w:hAnsi="Arial"/>
          <w:sz w:val="16"/>
          <w:szCs w:val="16"/>
          <w:color w:val="auto"/>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w:t>
      </w:r>
    </w:p>
    <w:p>
      <w:pPr>
        <w:ind w:right="120" w:firstLine="8"/>
        <w:spacing w:after="0" w:line="254"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our current products and services less attractive or obsolete, (5) increasing our operational costs, or (6) 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government systems segment revenues were approximately 44%, 43% and 39% of our total revenues in fiscal years 2017, 2016 and 2015, respectively, and were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2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governmental procurement legislation and regulations and other policies, which may reflect military and political developments;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reduction in the value of our contracts as a result of the routine audit and investigation of our costs by U.S. government agencies;</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intense competition for available U.S. government business necessitating increases in time and investment for design and development.</w:t>
      </w:r>
    </w:p>
    <w:p>
      <w:pPr>
        <w:spacing w:after="0" w:line="19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 For example, in March 2016, our 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In February 2017, based on further developments in that investigation, including TrellisWare’s discussions with the U.S. Attorney’s Office, we accrued a total loss contingency of $11.8 million in selling, general and administrative (SG&amp;A) expenses in our government systems segment, which consisted of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The impact of the loss contingency on basic and diluted net income per share attributable to ViaSat, Inc. common stockholders for fiscal year 2017 was $0.08 per share and $0.07 per share, respectively. At this time, we cannot determine with certainty how or whether the TrellisWare investigation will conclude or whether this will be the final amount of damages and penalties. Refer to Note 13 to the consolidated financial statements for further discussion of the False Claims Act civil investigation. Although the outcome of any investigation is difficult to predict, an unfavorable resolution could negatively affect us.</w:t>
      </w:r>
    </w:p>
    <w:p>
      <w:pPr>
        <w:spacing w:after="0" w:line="12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unavailable, or are reduced or delayed, our contract or subcontract under such program may be terminated or adjusted by the government, which could have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negative impact on our future sales and results of operations. Budget cuts to defense spending, such as those that took effect in March 2013 under the Budget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Act of 2011, can exacerbate these problems. From time to time, when a formal appropriation bill has not been signed into law before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 government’s fiscal year, Congress may pass a continuing resolution that authorizes agencies of the U.S. government to continue to operate, generally at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same funding levels from the prior year, but does not authorize new spending initiatives, during a certain period. During such period (or until the regular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appropriation bills are passed), delays can occur in procurement of products and services due to lack of funding, and such delays can affect our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period of delay.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18"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incurred cost audits by the DCAA have not been concluded for fiscal year 2016 and subsequent fiscal years. As of March 31, 2017, the DCAA had completed its incurred cost audit for fiscal year 2004 and approved our incurred cost claims for fiscal years 2005 through 2015 without further audit. Although we have recorded contract revenues subsequent to fiscal year 2015 based upon an estimate of costs that we believe will be approved upon final audit or review, we do not know the outcome of any ongoing or future audits or reviews and adjustments, and if future adjustments exceed our estimates, our profitability would be adversely affected. For example, in the fourth quarter of fiscal year 2011, based on communications with the DCMA, changes in the regulatory environment for federal government contractors, the status of current government audits and other events, we recorded an additional $5.0 million in contract-related reserves for our estimate of potential refunds to customers for possible cost adjustments on several multi-year U.S. government cost reimbursable contracts. There can be no assurance that audits or reviews of our incurred costs and cost accounting systems for other fiscal years will not be subject to further audit, review or scrutiny by the DCAA or other government agencies.</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Success Depends on the Investment in and Development of New Broadband Technologies and Advanced Communications and Secure Networking Systems, Products and Services, as well as their Market Acceptance</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continue to develop leading satellite technologies, including the design of market-leading high-capacity Ka-band satellites;</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continuing to increase satellite capacity, bandwidth cost-efficiencies and service quality and adding innovative features that differentiate our offerings from those of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our new technology, product or service offerings will be successful or that any of the new technologies, products or services we offer will achieve sufficient market acceptance. The period of time from conception through satellite launch for a new satellite design may be three or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 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We are constantly evaluating the opportunities and investments related to the development of these next-generation broadband systems.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consumer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Reputation and Business Could Be Materially Harmed as a Result of Data Breaches, Data Theft, Unauthorized Access or Hacking</w:t>
      </w:r>
    </w:p>
    <w:p>
      <w:pPr>
        <w:spacing w:after="0" w:line="119"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Our success depends, in part, on the secure and uninterrupted performance of our information technology systems.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small number of our contracts account for a significant percentage of our revenues. Our five largest contracts generated approximately 20%, 19% and 21% of our total revenues in fiscal years 2017, 2016 and 2015, respectively. Our largest revenue-producing contracts are related to our tactical data links products and fixed satellite networks.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are often party to government and commercial contracts involving the development of new products. We derived approximately 19%, 20% and 23% of our total revenues in fiscal years 2017, 2016 and 2015, respectively,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Of our total government systems and commercial networks segments revenues, approximately 87%, 90% and 90% were derived from contracts with fixed prices in fiscal years 2017, 2016 and 2015,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9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significant amount of indebtedness. As of March 31, 2017, the aggregate principal amount of our total outstanding indebtedness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$849.9 million, which comprised $575.0 million in principal amount of 6.875% Senior Notes due 2020 (2020 Notes), no outstanding borrowings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Revolving Credit Facility), $274.6 million in principal amount of outstanding borrowings under our direct loan facility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Export-Import Bank of the United States for ViaSat-2 (the Ex-Im Credit Facility and, together with the Revolving Credit Facility, the Credit Facilities), and</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$0.3 million of other obligations. In addition, as of March 31, 2017 we had accrued $29.5 million in completion exposure fees expected to be financed under the Ex-Im Credit Facility.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5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to the extent we make borrowings under our Revolving Credit Facility, which bear interest at a variable rate;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incur significant additional indebtedness in the future, which may include financing relating to future satellites, potential acquisitions, joint ventures and strategic alliances, working capital, capital expenditures or general corporate purposes. For example, we may incur additional indebtedness to fund our investments in our ViaSat-3 class satellites. As of March 31, 2017, we had undrawn availability of $761.4 million under our Revolving Credit Facility and an undrawn commitment for ViaSat-2 related costs and the completion exposure fee of $82.5 million under our Ex-Im Credit Facility (excluding $29.5 million of accrued completion exposure fees), of which $74.4 million was available to finance ViaSat-2 related costs once incurred (prior to giving effect to the $24.3 million reduction in the size of the Ex-Im Credit Facility subsequent to fiscal year end, refer to Note 5 to the consolidated financial statements for further information). In addition, our Credit Facilities and the indenture governing the 2020 Notes permit us, subject to specified limitations, to incur additional indebtedness. In February 2016,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our level of indebtedness increases significantly, the related risks that we now face would intensify.</w:t>
      </w:r>
    </w:p>
    <w:p>
      <w:pPr>
        <w:spacing w:after="0" w:line="202" w:lineRule="exact"/>
        <w:rPr>
          <w:sz w:val="20"/>
          <w:szCs w:val="20"/>
          <w:color w:val="auto"/>
        </w:rPr>
      </w:pPr>
    </w:p>
    <w:p>
      <w:pPr>
        <w:ind w:right="240"/>
        <w:spacing w:after="0" w:line="338" w:lineRule="auto"/>
        <w:rPr>
          <w:sz w:val="20"/>
          <w:szCs w:val="20"/>
          <w:color w:val="auto"/>
        </w:rPr>
      </w:pPr>
      <w:r>
        <w:rPr>
          <w:rFonts w:ascii="Arial" w:cs="Arial" w:eastAsia="Arial" w:hAnsi="Arial"/>
          <w:sz w:val="16"/>
          <w:szCs w:val="16"/>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ability to make scheduled payments on or to refinance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Facilities, will be available to us in an amount sufficient to enable us to pay our indebtedness, or to fund our other liquidity needs. 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the indenture governing the 2020 Notes restrict our ability to dispose of assets and use the proceeds from the disposition, and may also restrict our ability to raise debt or equity capital to repay or service our indebtedness. If we cannot make scheduled payments on our debt, we will be in default and, as a result, the lenders under our Credit Facilities and the holders of the 2020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need to refinance all or a portion of our indebtedness before maturity, including the 2020 Notes and any indebtedness under our Credit Facilities. There can be no assurance that we will be able to obtain sufficient funds to enable us to repay or refinance our debt obligations on commercially reasonable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Credit Facilities and the indenture governing the 2020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Facilities, our ability to borrow under our Credit Facilities may be restricted. The Credit Facilities and the indenture governing the 2020 Notes include covenants restricting, among other things, our ability to do the following:</w:t>
      </w:r>
    </w:p>
    <w:p>
      <w:pPr>
        <w:spacing w:after="0" w:line="3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our Credit Facilities require us to comply with certain financial covenants, including a maximum total leverage ratio and minimum interest coverage ratio. Our Revolving Credit Facility is secured by first-priority liens on substantially all of the assets of our company, including the stock of our significant subsidiaries, and the assets of the subsidiary guarantors under our Revolving Credit Facility. Our Ex-Im Credit Facility is guaranteed by ViaSat and is secured by first-priority liens on the ViaSat-2 satellite and related assets, as well as the stock of our foreign subsidiary that will own the ViaSat-2 satellite.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we default under our Credit Facilities or the indenture governing the 2020 Notes because of a covenant breach or otherwise, all outstanding amounts thereunder could become immediately due and payable. In the past we have violated the covenants in our former revolving credit facilities and received waivers for these violations. We cannot assure you that we will be able to comply with our financial or other covenants under our Credit Facilities or the indenture governing the 2020 Notes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We cannot assure you that we would have sufficient funds to repay all the outstanding amounts under our Credit Facilities or the indenture governing the 2020 Notes, and any acceleration of amounts due would have a material adverse effect on our liquidity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depend on a limited number of key technical, marketing and management personnel to manage and operate our business. In particular, we believe our success depends to a significant degree on our ability to attract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Global Business Environment and Economic Conditions Could Negatively Affect Our Business, Financial Condition and Results of Operations</w:t>
      </w:r>
    </w:p>
    <w:p>
      <w:pPr>
        <w:spacing w:after="0" w:line="11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consumer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Any of these factors could result in reduced demand for, and pricing pressure on, our products and services, which could lead to a reduction in our revenues and adversely affect our business, financial condition and results of operations.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Approximately 13%, 15% and 17% of our total revenues in fiscal years 2017, 2016 and 2015, respectively, were derived from international sales.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changes in laws, policies and regulatory requirements, including but not limited to regulations related to import-export control;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and marketing and research and development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instability or issues related to the political relationship between the United States and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foreign exchange controls and restrictions on cash repatriation;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for additional liquidity to fund our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success depends significantly on our ability to protect our proprietary rights to the technologies we use in our products and services. We generally rely on a combination of patents, copyrights, trademarks and trade secret laws and contractual rights to protect our proprietary rights in our technology and products. We also enter into confidentiality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SS/L and its former parent company Loral Space &amp; Communications, Inc. (Loral) for patent infringement and breach of contract relating to the manufacture of ViaSat-1 (see Note 13 to the consolidated financial statements). If we are unsuccessful in any such litigation in the future,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For example, during the third quarter of fiscal year 2017 we completed the sale of approximately 7.5 million shares of our common stock in an underwritten public offering.</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also issue additional shares of common stock to finance future acquisitions through the use of equity. For example, during the third quarter of fiscal year 2010 we issued approximately 4.3 million shares of our common stock to former equity and debt holders of WildBlue Holding, Inc. (WildBlue) in connection with our acquisition of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market price of our common stock has been volatile in the past. For example, since April 1, 2015, the market price of our common stock has ranged from $56.02 to $82.19. Trading prices may continue to fluctuate in response to a number of events and factors, including the following:</w:t>
      </w:r>
    </w:p>
    <w:p>
      <w:pPr>
        <w:spacing w:after="0" w:line="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 or the uptake of our in-flight services and broadband systems by commercial airlines;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suppliers and joint venture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(the Code). In general terms, an “ownership change” can occur whenever one or more “5% stockholders” collectively change the ownership of a company by more than 50 percentage points within a three-year period. The determination of whether an ownership change has occurred for purposes of Section 382 of the Code is complex and requires significant judgment. Moreover, the number of shares of our common stock outstanding at any particular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Executive Officers and Directors Own a Significant Percentage of Our Common Stock and May Exert Significant Influence over Matters Requiring Stockholder Approval</w:t>
      </w:r>
    </w:p>
    <w:p>
      <w:pPr>
        <w:spacing w:after="0" w:line="4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March 31, 2017, our executive officers and directors and their affiliates beneficially owned an aggregate of approximately 8% of our common stock. Accordingly, these stockholders may be able to significantly influence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21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4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also subject to Section 203 of the Delaware General Corporation Law, which imposes restrictions on mergers and other business combinations between us and any holder of 15% or more of our common stock. In addition, under the indenture governing the 2020 Notes, if certain “change of control” events occur, each holder of 2020 Notes may require us to repurchase all of such holder’s 2020 Notes at a purchase price equal to 101% of the principal amount of such notes. Additionally, our Credit Facilities provide for an event of default upon the occurrence of certain specified “change of control”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460" w:firstLine="456"/>
        <w:spacing w:after="0" w:line="286" w:lineRule="auto"/>
        <w:rPr>
          <w:sz w:val="20"/>
          <w:szCs w:val="20"/>
          <w:color w:val="auto"/>
        </w:rPr>
      </w:pPr>
      <w:r>
        <w:rPr>
          <w:rFonts w:ascii="Arial" w:cs="Arial" w:eastAsia="Arial" w:hAnsi="Arial"/>
          <w:sz w:val="16"/>
          <w:szCs w:val="16"/>
          <w:color w:val="auto"/>
        </w:rPr>
        <w:t>Our worldwide headquarters are located at our Carlsbad, California campus, consisting of approximately 695,000 square feet under various leases. In addition to our Carlsbad campus, we have facilities under various leases consisting of approximately: (1) 4,000 square feet in San Diego, California,</w:t>
      </w:r>
    </w:p>
    <w:p>
      <w:pPr>
        <w:ind w:right="60" w:firstLine="8"/>
        <w:spacing w:after="0" w:line="312" w:lineRule="auto"/>
        <w:tabs>
          <w:tab w:leader="none" w:pos="249" w:val="left"/>
        </w:tabs>
        <w:numPr>
          <w:ilvl w:val="0"/>
          <w:numId w:val="28"/>
        </w:numPr>
        <w:rPr>
          <w:rFonts w:ascii="Arial" w:cs="Arial" w:eastAsia="Arial" w:hAnsi="Arial"/>
          <w:sz w:val="15"/>
          <w:szCs w:val="15"/>
          <w:color w:val="auto"/>
        </w:rPr>
      </w:pPr>
      <w:r>
        <w:rPr>
          <w:rFonts w:ascii="Arial" w:cs="Arial" w:eastAsia="Arial" w:hAnsi="Arial"/>
          <w:sz w:val="15"/>
          <w:szCs w:val="15"/>
          <w:color w:val="auto"/>
        </w:rPr>
        <w:t>125,000 square feet in Englewood, Colorado, (3) 188,000 square feet in Duluth, Georgia, (4) 71,000 square feet in Germantown, Maryland, (5) 151,000 square feet in Tempe, Arizona, (6) 31,000 square feet in Cleveland, Ohio and (7) 20,000 square feet in San Jose, CA. We also maintain offices or a sales presence in Washington, D.C., Boston (Massachusetts), Linthicum Heights and Aberdeen (Maryland), Tampa (Florida), Bryan and College Station (Texas), Southern Pines (North Carolina), Australia, China, India, Israel, Italy, Ireland, Switzerland and the United Kingdom, and operate 23 earth station locations to support our satellite broadband services business across the United States and Canada. Although we believe that our existing facilities are suitable and adequate for our present purposes, we anticipate operating additional regional sales offices in fiscal year 2018 and beyond. Each of our segments uses each of these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2016</w:t>
            </w:r>
          </w:p>
        </w:tc>
        <w:tc>
          <w:tcPr>
            <w:tcW w:w="2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$64.74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$59.50</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71.41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58.18</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Fiscal Year 2017</w:t>
            </w:r>
          </w:p>
        </w:tc>
        <w:tc>
          <w:tcPr>
            <w:tcW w:w="2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76.77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68.84</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60" w:type="dxa"/>
            <w:vAlign w:val="bottom"/>
            <w:shd w:val="clear" w:color="auto" w:fill="CCEEFF"/>
          </w:tcPr>
          <w:p>
            <w:pPr>
              <w:spacing w:after="0"/>
              <w:rPr>
                <w:sz w:val="18"/>
                <w:szCs w:val="18"/>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69.72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62.25</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May 12, 2017, there were approximately 612 holders of record of our common stock. A substantially greater number of holders of ViaSat common stock are “street name” or beneficial holders, whose shares are held of record by banks, brokers and other financial institutions.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 governing our 2020 Notes restrict our ability to declare or pay dividends on our common stock.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following table provides our selected financial information for each of the fiscal years in the five-year period ended March 31, 2017. The data as of and for each of the fiscal years in the five-year period ended March 31, 2017 have been derived from our audited consolidated financial statements, except as otherwise noted.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April 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April 4,</w:t>
            </w:r>
          </w:p>
        </w:tc>
        <w:tc>
          <w:tcPr>
            <w:tcW w:w="80" w:type="dxa"/>
            <w:vAlign w:val="bottom"/>
          </w:tcPr>
          <w:p>
            <w:pPr>
              <w:spacing w:after="0"/>
              <w:rPr>
                <w:sz w:val="11"/>
                <w:szCs w:val="11"/>
                <w:color w:val="auto"/>
              </w:rPr>
            </w:pPr>
          </w:p>
        </w:tc>
        <w:tc>
          <w:tcPr>
            <w:tcW w:w="72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10"/>
          </w:tcPr>
          <w:p>
            <w:pPr>
              <w:jc w:val="center"/>
              <w:ind w:right="50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 revenues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713,936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664,821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728,074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664,417</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752,610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654,461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565,724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455,273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1,559,337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1,417,431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1,382,535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1,351,462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1,119,690</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Cost of product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489,246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484,973</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Cost of service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524,949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495,099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444,431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419,425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363,188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298,345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240,859</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Independent 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129,647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77,184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46,670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60,736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35,448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15,584</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41,119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83,144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(20,362)</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(43,820)</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(26,501)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(90,683)</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13,827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(25,947)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(50,054)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208"/>
        </w:trPr>
        <w:tc>
          <w:tcPr>
            <w:tcW w:w="5480" w:type="dxa"/>
            <w:vAlign w:val="bottom"/>
          </w:tcPr>
          <w:p>
            <w:pPr>
              <w:ind w:left="440"/>
              <w:spacing w:after="0"/>
              <w:rPr>
                <w:sz w:val="20"/>
                <w:szCs w:val="20"/>
                <w:color w:val="auto"/>
              </w:rPr>
            </w:pPr>
            <w:r>
              <w:rPr>
                <w:rFonts w:ascii="Arial" w:cs="Arial" w:eastAsia="Arial" w:hAnsi="Arial"/>
                <w:sz w:val="18"/>
                <w:szCs w:val="18"/>
                <w:color w:val="auto"/>
                <w:w w:val="92"/>
              </w:rPr>
              <w:t>Less: net (loss) income attributable to noncontrolling interests, net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6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ViaSat, Inc.</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(41,172)</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w w:val="90"/>
              </w:rPr>
              <w:t>Basic net income (loss) per share attributable to ViaSat, Inc. common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60"/>
              <w:spacing w:after="0"/>
              <w:rPr>
                <w:sz w:val="20"/>
                <w:szCs w:val="20"/>
                <w:color w:val="auto"/>
              </w:rPr>
            </w:pPr>
            <w:r>
              <w:rPr>
                <w:rFonts w:ascii="Arial" w:cs="Arial" w:eastAsia="Arial" w:hAnsi="Arial"/>
                <w:sz w:val="18"/>
                <w:szCs w:val="18"/>
                <w:color w:val="auto"/>
              </w:rPr>
              <w:t>stockholders</w:t>
            </w:r>
          </w:p>
        </w:tc>
        <w:tc>
          <w:tcPr>
            <w:tcW w:w="26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0.86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(loss) per share attributable to ViaSat, Inc.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stockholders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Shares used in computing basic net income (loss) per share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48,464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47,139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used in computing diluted net income (loss) per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105,738</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Working capital (1)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289,339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241,567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221,685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217,641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271,217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 (1)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2,954,653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2,397,312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2,147,405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1,951,160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1,783,680</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Senior notes, net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575,380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575,304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575,144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574,906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574,601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debt (2)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37,371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48,893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52,640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1,734,618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1,129,103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1,038,582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903,001</w:t>
            </w:r>
          </w:p>
        </w:tc>
        <w:tc>
          <w:tcPr>
            <w:tcW w:w="0" w:type="dxa"/>
            <w:vAlign w:val="bottom"/>
          </w:tcPr>
          <w:p>
            <w:pPr>
              <w:spacing w:after="0"/>
              <w:rPr>
                <w:sz w:val="1"/>
                <w:szCs w:val="1"/>
                <w:color w:val="auto"/>
              </w:rPr>
            </w:pPr>
          </w:p>
        </w:tc>
      </w:tr>
      <w:tr>
        <w:trPr>
          <w:trHeight w:val="363"/>
        </w:trPr>
        <w:tc>
          <w:tcPr>
            <w:tcW w:w="5480" w:type="dxa"/>
            <w:vAlign w:val="bottom"/>
          </w:tcPr>
          <w:p>
            <w:pPr>
              <w:spacing w:after="0"/>
              <w:rPr>
                <w:sz w:val="24"/>
                <w:szCs w:val="24"/>
                <w:color w:val="auto"/>
              </w:rPr>
            </w:pPr>
          </w:p>
        </w:tc>
        <w:tc>
          <w:tcPr>
            <w:tcW w:w="980" w:type="dxa"/>
            <w:vAlign w:val="bottom"/>
            <w:gridSpan w:val="3"/>
          </w:tcPr>
          <w:p>
            <w:pPr>
              <w:jc w:val="center"/>
              <w:ind w:right="434"/>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83"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November 2015, the Financial Accounting Standards Board (FASB) issued Accounting Standards Update (ASU) 2015-17, Income Taxes (Topic 740): Balance Sheet Classification of Deferred Taxes, which simplifies the presentation of deferred income taxes by requiring deferred tax assets and liabilities be classified as non-current on the balance sheet. We early adopted this standard retrospectively and reclassified all of our current deferred tax assets to non-current deferred tax assets on our consolidated balance sheets for all periods presented.</w:t>
      </w:r>
    </w:p>
    <w:p>
      <w:pPr>
        <w:spacing w:after="0" w:line="2" w:lineRule="exact"/>
        <w:rPr>
          <w:rFonts w:ascii="Arial" w:cs="Arial" w:eastAsia="Arial" w:hAnsi="Arial"/>
          <w:sz w:val="16"/>
          <w:szCs w:val="16"/>
          <w:color w:val="auto"/>
        </w:rPr>
      </w:pPr>
    </w:p>
    <w:p>
      <w:pPr>
        <w:ind w:left="460" w:right="60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first quarter of fiscal year 2017, we adopted ASU 2015-03. The retrospective adoption of this guidance resulted in the reclassification of unamortized debt issuance costs as a direct deduction from the carrying amounts of our 2020 Notes and the Ex-Im Credit Facility, consistent with unamortized discount, for all periods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fiscal year 2013 information presented reflects the repurchase and redemption of our former 8.875% Senior Notes due 2016 and the associated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$26.5 million loss on extinguishment of debt. Our fiscal year 2015 information presented reflects the amounts realized under our settlement agreement with SS/L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Loral (the Settlement Agreement) of $53.7 million, of which $33.0 million was recognized as product revenues in our satellite services segment,</w:t>
      </w:r>
    </w:p>
    <w:p>
      <w:pPr>
        <w:spacing w:after="0" w:line="32"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$18.7 million was recognized as a reduction to SG&amp;A expenses in our satellite services segment, and $2.0 million was recognized as interest income in the consolidated financial statements. Our fiscal year 2016 information presented reflects the amounts realized under the Settlement Agreement of $27.5 million, of which $25.3 million was recognized as product revenues in our satellite services segment, and $2.2 million was recognized as interest income in the consolidated financial statements. Our fiscal year 2017 information presented reflects amounts realized under the Settlement Agreement of $27.5 million, of which</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$26.8 million was recognized as product revenues in our satellite services segment, and $0.7 million was recognized as interest income in the consolidated financial statements. As of March 31, 2017 all payments pursuant to the Settlement Agreement have been recorded and no further impacts to our consolidated financial statements are anticipated related to the Settlement Agreement. Refer to Note 13 to the consolidated financial statements for discussion of the amounts realized under the Settlement Agreement. Our fiscal year 2017 information presented also reflects the amounts accrued for uncharacterized damages and penalties of $11.4 million and $0.4 million, respectively, in connection with the False Claims Act civil investigation related to our 52% majority-owned subsidiary TrellisWare, recognized in SG&amp;A expenses in our government systems segment. The impact of the loss contingency on net income attributable to ViaSat, Inc. stockholders for fiscal year 2017, net of tax, was $4.0 million, with the related amount of $3.7 million recorded to net (loss) income attributable to noncontrolling interests, net of tax. The impact of the loss contingency on basic and diluted net income per share attributable to ViaSat, Inc. common stockholders for fiscal year 2017 was $0.08 per share and $0.07 per share, respectively. At this time, we cannot determine with certainty how or whether the TrellisWare investigation will conclude or whether this will be the final amount of damages and penalties. Refer to Note 13 to the consolidated financial statements for further discussion of the False Claims Act civil investigation.</w:t>
      </w:r>
    </w:p>
    <w:p>
      <w:pPr>
        <w:spacing w:after="0" w:line="196" w:lineRule="exact"/>
        <w:rPr>
          <w:sz w:val="20"/>
          <w:szCs w:val="20"/>
          <w:color w:val="auto"/>
        </w:rPr>
      </w:pPr>
    </w:p>
    <w:p>
      <w:pPr>
        <w:ind w:right="192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operates in three segments: satellite services, commercial networks and government systems.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23, 2016, we completed the sale of an aggregate of 7,475,000 shares of ViaSat common stock in an underwritten public offering. Our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offering were approximately $503.1 million after deducting underwriting discounts and offering expenses. In November 2016, we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$225.0 million of the net proceeds from the offering to repay outstanding borrowings under the Revolving Credit Facility. We expect to use the remaining net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proceeds for general corporate purposes, which may include financing costs related to the purchase, launch and operation of satellites, potential acquisitions, joint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ventures and strategic alliances, working capital or capital expenditures.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satellite services segment provides satellite-based high-speed broadband services to consumers, enterprises, commercial airlines and mobile broadband customers. Our Exede broadband services offer high-speed, high-quality broadband internet access primarily in the United States. We also offer high-speed internet and other in-flight services for a growing number of commercial aircraft both in the United States and abroad. Our satellite services business also provides a platform for the provision of network management services to domestic and international satellite service providers. Our satellite services business uses our proprietary technology platform to provide broadband services with multiple applications. Our proprietary Ka-band satellites are at the core of our technology platform. The ViaSat-1 satellite (our first-generation high-capacity Ka-band spot-beam satellite) was placed into service in January 2012. Our second-generation ViaSat-2 satellite is currently located at the Arianespace launch facility in French Guiana and is undergoing preparations for launch into orbit. Due to recent civil unrest in French Guiana, the scheduled launch date of our ViaSat-2 satellite was further delayed and is currently expected to occur in June 2017 following completion of the launch preparation process. We currently have two third-generation ViaSat-3 class satellites under construction. We also own the WildBlue-1 satellite, which was placed into service in March 2007.</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broadband services under the Exede and WildBlue brands offered to consumers and businesses primarily in the United States, which provide users with high-speed broadband internet access and VoIP services. As of March 31, 2017, we provided broadband internet services to approximately 659,000 consumer and small business subscribers.</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services and aviation software services. As of March 31, 2017, 559 commercial aircraft were in service utilizing our ViaSat in-flight internet services.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broadband services, which include business connectivity, live on-line event streaming, oil and natural gas data gathering services and high-definition satellite news gathering.</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March 3, 2017, we consummated our strategic partnering arrangement with Eutelsat for the ownership and operation of satellite broadband infrastructure, equipment, and provision of satellite-based broadband internet services in the European region. At the closing of the transaction, Eutelsat contributed and transferred assets relating to its existing wholesale satellite broadband business (including its KA-SAT satellite) to Euro Infrastructure Co. in exchange for the issuance of new shares in such subsidiary, and immediately following such contribution and issuance, we purchased 49% of the issued shares of Euro Infrastructure Co. from Eutelsat for cash consideration of $139.5 million. Our total net cash outlay for this investment in Euro Infrastructure Co., including approximately $2.4 million of transaction costs, was approximately $141.9 million. Also at the closing, Eutelsat purchased 49% of the issued shares of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 services in the European region.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September 2014, we entered into the Settlement Agreement with SS/L and Loral, pursuant to which SS/L and Loral were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We record payments under the Settlement Agreement as product revenues and as a reduction of SG&amp;A expenses in our satellite services segment, and as interest income. For further information, see Note 13 to the consolidated financial statements.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CPE, satellite modems and antenna technologies, as well as satellite payload development and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2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50"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Satellite networking development, including specialized design and technology services covering all aspects of satellite communication system architecture and technology, including satellite and ground systems, fabless semiconductor design for ASIC and MMIC chips and WAN compression for enterprise networks,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government systems segment provides global mobile broadband services to military and government users, and develops and produces network-centric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(DoD), allied foreign governments, allied armed forces, public safety first-responders and remote government employees.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48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Government mobile broadband products and services, which provide military and government users with high-speed, real-time, broadband and multimedia connectivity in key regions of the world, as well as line-of-sight and beyond-line-of-sight ISR missions.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C2 missions, satellite networking services and network management systems for Wi-Fi and other internet access networks, and include products designed for manpacks, aircraft, UAVs, seagoing vessels, ground-mobile vehicles and fixed applications.</w:t>
      </w:r>
    </w:p>
    <w:p>
      <w:pPr>
        <w:spacing w:after="0" w:line="62"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HAIPE-compliant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Tactical data links, including our BATS-D handheld Link 16 radios, our KOR-24A 2-channel Small Tactical Terminal for manned and unmanned applications, “disposable” defense data links, our MIDS terminals for military fighter jets and their successor, MIDS-JTRS terminals.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fixed broadband services business, our in-flight services business and our worldwide managed network services.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Revenues in our commercial networks and government systems segments are primarily derived from three types of contracts: fixed-price, time-and-materials and cost-reimbursement contracts. Fixed-price contracts (which require us to provide products and services under a contract at a specified price) comprised approximately 87%, 90% and 90% of our total revenues for these segments for fiscal years 2017, 2016 and 2015, respectively. The remainder of our revenue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19%, 20% and 23% of our total revenues during fiscal years 2017, 2016 and 2015, respectively.</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8%, 5% and 3% of total revenues in fiscal years 2017, 2016 and 2015, respectively. As a government contractor, we are able to recover a portion of our IR&amp;D expenses pursuant to our government contracts.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Approximately 13%, 15% and 17% of our total revenues in fiscal years 2017, 2016 and 2015, respectively, were derived from international sales. Doing business internationally creates additional risks related to global political and economic conditions and other factors identified under the heading “Risk Factors” in Item 1A and elsewhere in this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2017, 2016 and 2015, we recorded losses of approximately $6.0 million, $5.1 million and $0.6 million, respectively, related to loss contracts.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March 31, 2017 would change our income before income taxes by approximately $0.4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40" w:firstLine="8"/>
        <w:spacing w:after="0" w:line="288"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the 12 months are recorded within other liabilities in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own two satellites: ViaSat-1 (our first-generation high-capacity Ka-band spot-beam satellite, which was placed into service in January 2012) and WildBlue-1 (which was placed into service in March 2007). Our second-generation ViaSat-2 satellite is expected to be launched in June 2017, after further delay in scheduled launch date due to recent civil unrest in French Guiana (the location of the satellite launch). We currently have two third-generation ViaSat-3 class satellites under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2017, 2016 and 2015.</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accordance with ASC 350, we assess qualitative factors to determine whether goodwill is impaired. Furthermore, in addition to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2017, we concluded that estimated fair values of our reporting units significantly exceed their respective carrying values.</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2017, we concluded that it was more likely than not that the estimated fair value of our reporting units exceeded their carrying value as of March 31, 2017 and, therefore, determined it was not necessary to perform the two-step goodwill impairment test.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w:t>
      </w:r>
    </w:p>
    <w:p>
      <w:pPr>
        <w:ind w:right="80"/>
        <w:spacing w:after="0" w:line="292" w:lineRule="auto"/>
        <w:rPr>
          <w:sz w:val="20"/>
          <w:szCs w:val="20"/>
          <w:color w:val="auto"/>
        </w:rPr>
      </w:pPr>
      <w:r>
        <w:rPr>
          <w:rFonts w:ascii="Arial" w:cs="Arial" w:eastAsia="Arial" w:hAnsi="Arial"/>
          <w:sz w:val="16"/>
          <w:szCs w:val="16"/>
          <w:color w:val="auto"/>
        </w:rPr>
        <w:t>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$17.1 million at March 31, 2016 to $17.7 million at March 31, 2017. The valuation allowance primarily relates to state net operating loss carryforwards and research and development tax credit carryforwards available to reduce state income taxes.</w:t>
      </w:r>
    </w:p>
    <w:p>
      <w:pPr>
        <w:spacing w:after="0" w:line="3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96"/>
              </w:rPr>
              <w:t>Fiscal Years Ended</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6200" w:type="dxa"/>
            <w:vAlign w:val="bottom"/>
          </w:tcPr>
          <w:p>
            <w:pPr>
              <w:spacing w:after="0"/>
              <w:rPr>
                <w:sz w:val="11"/>
                <w:szCs w:val="11"/>
                <w:color w:val="auto"/>
              </w:rPr>
            </w:pPr>
          </w:p>
        </w:tc>
        <w:tc>
          <w:tcPr>
            <w:tcW w:w="8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6"/>
              </w:rPr>
              <w:t>March 31,</w:t>
            </w:r>
          </w:p>
        </w:tc>
        <w:tc>
          <w:tcPr>
            <w:tcW w:w="480" w:type="dxa"/>
            <w:vAlign w:val="bottom"/>
          </w:tcPr>
          <w:p>
            <w:pPr>
              <w:spacing w:after="0"/>
              <w:rPr>
                <w:sz w:val="11"/>
                <w:szCs w:val="11"/>
                <w:color w:val="auto"/>
              </w:rPr>
            </w:pPr>
          </w:p>
        </w:tc>
        <w:tc>
          <w:tcPr>
            <w:tcW w:w="1360" w:type="dxa"/>
            <w:vAlign w:val="bottom"/>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w w:val="86"/>
              </w:rPr>
              <w:t>March 31,</w:t>
            </w: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200" w:type="dxa"/>
            <w:vAlign w:val="bottom"/>
          </w:tcPr>
          <w:p>
            <w:pPr>
              <w:spacing w:after="0"/>
              <w:rPr>
                <w:sz w:val="11"/>
                <w:szCs w:val="11"/>
                <w:color w:val="auto"/>
              </w:rPr>
            </w:pPr>
          </w:p>
        </w:tc>
      </w:tr>
      <w:tr>
        <w:trPr>
          <w:trHeight w:val="161"/>
        </w:trPr>
        <w:tc>
          <w:tcPr>
            <w:tcW w:w="6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58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r>
      <w:tr>
        <w:trPr>
          <w:trHeight w:val="217"/>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r>
      <w:tr>
        <w:trPr>
          <w:trHeight w:val="21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r>
      <w:tr>
        <w:trPr>
          <w:trHeight w:val="21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4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530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46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6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0"/>
              </w:rPr>
              <w:t>(Decrease)</w:t>
            </w:r>
          </w:p>
        </w:tc>
        <w:tc>
          <w:tcPr>
            <w:tcW w:w="46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5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5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713.9</w:t>
            </w: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664.8</w:t>
            </w: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49.1</w:t>
            </w:r>
          </w:p>
        </w:tc>
        <w:tc>
          <w:tcPr>
            <w:tcW w:w="4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845.4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1,559.3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300" w:type="dxa"/>
            <w:vAlign w:val="bottom"/>
          </w:tcPr>
          <w:p>
            <w:pPr>
              <w:jc w:val="right"/>
              <w:ind w:right="14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total revenues grew by $141.9 million as a result of a $92.8 million increase in service revenues and a $49.1 million increase in product revenues. The service revenue increase was comprised of an increase of $68.3 million in our satellite services segment, $13.4 million in our government systems segment and $11.1 million in our commercial networks segment. The product revenue increase was primarily driven by an increase of $64.2 million in our government systems segment, partially offset by a $17.2 million decrease in our commercial networks segment.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297"/>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March 31,</w:t>
            </w:r>
          </w:p>
        </w:tc>
        <w:tc>
          <w:tcPr>
            <w:tcW w:w="700" w:type="dxa"/>
            <w:vAlign w:val="bottom"/>
          </w:tcPr>
          <w:p>
            <w:pPr>
              <w:spacing w:after="0"/>
              <w:rPr>
                <w:sz w:val="12"/>
                <w:szCs w:val="12"/>
                <w:color w:val="auto"/>
              </w:rPr>
            </w:pPr>
          </w:p>
        </w:tc>
        <w:tc>
          <w:tcPr>
            <w:tcW w:w="128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2016</w:t>
            </w:r>
          </w:p>
        </w:tc>
        <w:tc>
          <w:tcPr>
            <w:tcW w:w="700" w:type="dxa"/>
            <w:vAlign w:val="bottom"/>
          </w:tcPr>
          <w:p>
            <w:pPr>
              <w:spacing w:after="0"/>
              <w:rPr>
                <w:sz w:val="12"/>
                <w:szCs w:val="12"/>
                <w:color w:val="auto"/>
              </w:rPr>
            </w:pPr>
          </w:p>
        </w:tc>
        <w:tc>
          <w:tcPr>
            <w:tcW w:w="1280" w:type="dxa"/>
            <w:vAlign w:val="bottom"/>
            <w:gridSpan w:val="3"/>
          </w:tcPr>
          <w:p>
            <w:pPr>
              <w:jc w:val="right"/>
              <w:ind w:right="68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7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524.0</w:t>
            </w:r>
          </w:p>
        </w:tc>
        <w:tc>
          <w:tcPr>
            <w:tcW w:w="34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489.2</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34.8</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524.9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495.1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29.9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860" w:type="dxa"/>
            <w:vAlign w:val="bottom"/>
            <w:gridSpan w:val="2"/>
            <w:shd w:val="clear" w:color="auto" w:fill="CCEEFF"/>
          </w:tcPr>
          <w:p>
            <w:pPr>
              <w:ind w:left="37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1,049.0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520" w:firstLine="456"/>
        <w:spacing w:after="0" w:line="302" w:lineRule="auto"/>
        <w:rPr>
          <w:sz w:val="20"/>
          <w:szCs w:val="20"/>
          <w:color w:val="auto"/>
        </w:rPr>
      </w:pPr>
      <w:r>
        <w:rPr>
          <w:rFonts w:ascii="Arial" w:cs="Arial" w:eastAsia="Arial" w:hAnsi="Arial"/>
          <w:sz w:val="15"/>
          <w:szCs w:val="15"/>
          <w:color w:val="auto"/>
        </w:rPr>
        <w:t>Cost of revenues increased by $64.6 million due to a $34.8 million increase in cost of product revenues and $29.9 million increase in cost of service revenues. The cost of product revenue increase was primarily due to increased revenues, causing a $36.1 million increase in cost of product revenues on a constant margin basis. This cost of product revenue increase mainly related to our cybersecurity and information assurance products and tactical data links products in our government systems segment. The cost of service revenue increase was primarily due to increased service revenues, which generated a</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$61.0 million increase in cost of service revenues on a constant margin basis. This increase mainly related to our Exede broadband services and in-flight services in our satellite services segment, as well as our network management services for Wi-Fi and other internet access networks in our government systems segment, and was partially offset by improved margins from our Exede broadband services resulting from a higher mix of subscribers choosing premium service plans and value-added service bundles compared to the prior year period in our satellite services segment and improved margins in our government mobile broadband services in our government systems segment.</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5"/>
                <w:szCs w:val="15"/>
                <w:color w:val="auto"/>
              </w:rPr>
            </w:pPr>
          </w:p>
        </w:tc>
        <w:tc>
          <w:tcPr>
            <w:tcW w:w="12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2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March 31,</w:t>
            </w:r>
          </w:p>
        </w:tc>
        <w:tc>
          <w:tcPr>
            <w:tcW w:w="70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March 31,</w:t>
            </w:r>
          </w:p>
        </w:tc>
        <w:tc>
          <w:tcPr>
            <w:tcW w:w="70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226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$ 333.5</w:t>
            </w:r>
          </w:p>
        </w:tc>
        <w:tc>
          <w:tcPr>
            <w:tcW w:w="7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$ 298.3</w:t>
            </w:r>
          </w:p>
        </w:tc>
        <w:tc>
          <w:tcPr>
            <w:tcW w:w="7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35.1</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$35.1 million increase in SG&amp;A expenses was primarily attributable to higher support costs of $41.4 million spread across all three segments. The increase in SG&amp;A expenses included the amounts accrued in fiscal year 2017 in our government systems segment for uncharacterized damages and penalties of $11.4 million and $0.4 million, respectively, in connection with the False Claims Act civil investigation related to our 52% majority-owned subsidiary TrellisWare.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Refer to Note 13 to the consolidated financial statements for further discussion of the False Claims Act civil investigation. The increase in SG&amp;A expenses was partially offset by lower new business proposal costs mainly in our government systems segment as well as lower selling costs in our satellite services segment. In addition to the amounts accrued for the TrellisWare False Claims Act civil investigation, SG&amp;A expenses consisted primarily of personnel costs and expenses for business development, marketing and sales, bid and proposal, facilities, finance, contract administration and general management.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Fiscal Years Ended</w:t>
            </w:r>
          </w:p>
        </w:tc>
        <w:tc>
          <w:tcPr>
            <w:tcW w:w="66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20" w:type="dxa"/>
            <w:vAlign w:val="bottom"/>
            <w:vMerge w:val="restart"/>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6"/>
              </w:rPr>
              <w:t>March 31,</w:t>
            </w:r>
          </w:p>
        </w:tc>
        <w:tc>
          <w:tcPr>
            <w:tcW w:w="6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660" w:type="dxa"/>
            <w:vAlign w:val="bottom"/>
          </w:tcPr>
          <w:p>
            <w:pPr>
              <w:spacing w:after="0"/>
              <w:rPr>
                <w:sz w:val="11"/>
                <w:szCs w:val="11"/>
                <w:color w:val="auto"/>
              </w:rPr>
            </w:pPr>
          </w:p>
        </w:tc>
        <w:tc>
          <w:tcPr>
            <w:tcW w:w="12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600" w:type="dxa"/>
            <w:vAlign w:val="bottom"/>
          </w:tcPr>
          <w:p>
            <w:pPr>
              <w:jc w:val="right"/>
              <w:ind w:right="87"/>
              <w:spacing w:after="0" w:line="148" w:lineRule="exact"/>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12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$ 129.6</w:t>
            </w:r>
          </w:p>
        </w:tc>
        <w:tc>
          <w:tcPr>
            <w:tcW w:w="6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77.2</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52.5</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$52.5 million increase in IR&amp;D expenses was primarily the result of increased IR&amp;D efforts in our commercial networks segment of $51.1 million, primarily related to research increases in next-generation satellite payload technologies for our ViaSat-3 class satellites, mobile broadband satellite communication systems and next-generation consumer broadband integrated networking technologies.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$5.7 million decrease in amortization of acquired intangible assets in fiscal year 2017 compared to fiscal year 2016 was primarily the result of certain acquired customer relationship intangibles in our satellite services segment becoming fully amortized over the preceding fiscal year. Expected amortization expense for acquired intangible assets for each of the following periods is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Amortization</w:t>
            </w:r>
          </w:p>
        </w:tc>
      </w:tr>
      <w:tr>
        <w:trPr>
          <w:trHeight w:val="142"/>
        </w:trPr>
        <w:tc>
          <w:tcPr>
            <w:tcW w:w="4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308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9,076</w:t>
            </w:r>
          </w:p>
        </w:tc>
        <w:tc>
          <w:tcPr>
            <w:tcW w:w="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4,993</w:t>
            </w:r>
          </w:p>
        </w:tc>
        <w:tc>
          <w:tcPr>
            <w:tcW w:w="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2022</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6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Thereafter</w:t>
            </w:r>
          </w:p>
        </w:tc>
        <w:tc>
          <w:tcPr>
            <w:tcW w:w="2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6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41,677</w:t>
            </w:r>
          </w:p>
        </w:tc>
        <w:tc>
          <w:tcPr>
            <w:tcW w:w="60" w:type="dxa"/>
            <w:vAlign w:val="bottom"/>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$1.2 million decrease in interest income in fiscal year 2017 compared to fiscal year 2016 was due to a decrease of $1.5 million in the amount of payments under the Settlement Agreement recognized as interest income during fiscal year 2017 compared to fiscal year 2016. As of March 31, 2017 all payments pursuant to the Settlement Agreement have been recorded and no further impacts to our consolidated financial statements are anticipated related to the Settlement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$13.7 million decrease in interest expense year-over-year was primarily due to an increase of $19.6 million in the amount of interest capitalized during fiscal year 2017 compared to fiscal year 2016. This decrease was partially offset by increased interest expense due to the overall higher amount of outstanding borrowings during fiscal year 2017 compared to fiscal year 2016. Capitalized interest expense during fiscal years 2017 and 2016 related to the construction of our ViaSat-2 and related gateway and networking equipment, construction of our ViaSat-3 class satellites, and other assets.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Income tax expense in fiscal year 2017 reflected the tax expense from our income before income taxes and the benefit from federal and state research tax credits. The effective income tax benefit in fiscal year 2016 reflected the tax expense from our income before income taxes and the benefit from federal and state research tax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credits. The Protecting Americans from Tax Hikes (PATH) Act of 2015 enacted on December 18, 2015 extended the federal research and development credit permanently, retroactive to January 2015. As a result, fiscal year 2016 included 15 months of federal research tax credit (comprising three months from fiscal year 2015 and 12 months from fiscal year 2016), whereas fiscal year 2017 only included 12 months of federal research tax credit. Fiscal year 2016 also included an expense related to the increase in valuation allowance related primarily to state net operating loss carryforwards and research and development credit carryforwards available to reduce state 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2017 Compared to Fiscal Year 2016</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70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70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2017</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2016</w:t>
            </w:r>
          </w:p>
        </w:tc>
        <w:tc>
          <w:tcPr>
            <w:tcW w:w="70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25.6</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601.9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533.6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68.3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559.2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satellite services segment revenues grew by $70.4 million as a result of a $68.3 million increase in service revenues and a $2.1 million increase in product revenues. The increase in service revenues was primarily driven by higher average revenue per Exede broadband subscriber, as well as the expansion of our in-flight services compared to the prior year period. As of March 31, 2017, 559 commercial aircraft were in service utilizing our in-flight internet services, compared to 476 commercial aircraft in service as of March 31, 2016. Total subscribers of our fixed broadband services decreased year over year, with approximately 659,000 subscribers at March 31, 2017 compared to 697,000 subscribers at March 31, 2016.</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2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Fiscal Years Ended</w:t>
            </w: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40" w:type="dxa"/>
            <w:vAlign w:val="bottom"/>
            <w:vMerge w:val="restart"/>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w w:val="86"/>
              </w:rPr>
              <w:t>March 31,</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760" w:type="dxa"/>
            <w:vAlign w:val="bottom"/>
          </w:tcPr>
          <w:p>
            <w:pPr>
              <w:spacing w:after="0"/>
              <w:rPr>
                <w:sz w:val="11"/>
                <w:szCs w:val="11"/>
                <w:color w:val="auto"/>
              </w:rPr>
            </w:pPr>
          </w:p>
        </w:tc>
        <w:tc>
          <w:tcPr>
            <w:tcW w:w="13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226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2"/>
                <w:szCs w:val="12"/>
                <w:color w:val="auto"/>
              </w:rPr>
            </w:pPr>
          </w:p>
        </w:tc>
        <w:tc>
          <w:tcPr>
            <w:tcW w:w="60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13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6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2"/>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$ 131.1</w:t>
            </w: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81.8</w:t>
            </w:r>
          </w:p>
        </w:tc>
        <w:tc>
          <w:tcPr>
            <w:tcW w:w="7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49.3</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40" w:type="dxa"/>
            <w:vAlign w:val="bottom"/>
            <w:gridSpan w:val="3"/>
          </w:tcPr>
          <w:p>
            <w:pPr>
              <w:jc w:val="right"/>
              <w:ind w:right="620"/>
              <w:spacing w:after="0"/>
              <w:rPr>
                <w:sz w:val="20"/>
                <w:szCs w:val="20"/>
                <w:color w:val="auto"/>
              </w:rPr>
            </w:pPr>
            <w:r>
              <w:rPr>
                <w:rFonts w:ascii="Arial" w:cs="Arial" w:eastAsia="Arial" w:hAnsi="Arial"/>
                <w:sz w:val="18"/>
                <w:szCs w:val="18"/>
                <w:color w:val="auto"/>
              </w:rPr>
              <w:t>20.8%</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14.6%</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$49.3 million increase in operating profit for our satellite services segment was driven primarily by higher earnings contributions of $52.6 million primarily due to the increase in service revenues. The higher average revenue per Exede broadband subscriber in the current year period was primarily driven by a higher mix of subscribers choosing premium service plans and value-added service bundles compared to the prior year period, and resulted in increased service revenues and improved margins. We also experienced positive contributions from our mobile broadband services and in-flight services in fiscal year 2017.</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26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20" w:type="dxa"/>
            <w:vAlign w:val="bottom"/>
          </w:tcPr>
          <w:p>
            <w:pPr>
              <w:spacing w:after="0"/>
              <w:rPr>
                <w:sz w:val="11"/>
                <w:szCs w:val="11"/>
                <w:color w:val="auto"/>
              </w:rPr>
            </w:pPr>
          </w:p>
        </w:tc>
        <w:tc>
          <w:tcPr>
            <w:tcW w:w="12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2017</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211.5</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228.7</w:t>
            </w:r>
          </w:p>
        </w:tc>
        <w:tc>
          <w:tcPr>
            <w:tcW w:w="34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(17.2)</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11.1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94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20" w:type="dxa"/>
            <w:vAlign w:val="bottom"/>
          </w:tcPr>
          <w:p>
            <w:pPr>
              <w:jc w:val="right"/>
              <w:ind w:right="39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commercial networks segment revenues decreased by $6.1 million, due to a $17.2 million decrease in product revenues partially offset by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$11.1 million increase in service revenues. The product revenue decrease was comprised mainly of a decrease of $21.1 million in mobile broadband satellite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systems and a decrease of $7.4 million in fixed satellite networks (reflecting the nearing of completion of the Australian Ka-band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 and a decrease from our next-generation Ka-band system contract in Canada), partially offset by an increase of $6.0 million related to satellite networking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programs and an increase of $5.3 million in antenna systems products. The service revenue increase was primarily due to a $10.5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fixed satellite networks support agreements.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vMerge w:val="restart"/>
          </w:tcPr>
          <w:p>
            <w:pPr>
              <w:spacing w:after="0"/>
              <w:rPr>
                <w:sz w:val="11"/>
                <w:szCs w:val="11"/>
                <w:color w:val="auto"/>
              </w:rPr>
            </w:pPr>
          </w:p>
        </w:tc>
        <w:tc>
          <w:tcPr>
            <w:tcW w:w="140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86"/>
              </w:rPr>
              <w:t>March 31,</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00" w:type="dxa"/>
            <w:vAlign w:val="bottom"/>
            <w:vMerge w:val="continue"/>
          </w:tcPr>
          <w:p>
            <w:pPr>
              <w:spacing w:after="0"/>
              <w:rPr>
                <w:sz w:val="12"/>
                <w:szCs w:val="12"/>
                <w:color w:val="auto"/>
              </w:rPr>
            </w:pPr>
          </w:p>
        </w:tc>
        <w:tc>
          <w:tcPr>
            <w:tcW w:w="58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2"/>
                <w:szCs w:val="12"/>
                <w:color w:val="auto"/>
              </w:rPr>
            </w:pPr>
          </w:p>
        </w:tc>
        <w:tc>
          <w:tcPr>
            <w:tcW w:w="60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5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(180.5)</w:t>
            </w:r>
          </w:p>
        </w:tc>
        <w:tc>
          <w:tcPr>
            <w:tcW w:w="8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(111.3)</w:t>
            </w:r>
          </w:p>
        </w:tc>
        <w:tc>
          <w:tcPr>
            <w:tcW w:w="5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(69.2)</w:t>
            </w:r>
          </w:p>
        </w:tc>
        <w:tc>
          <w:tcPr>
            <w:tcW w:w="7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(73.8)%</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$69.2 million increase in operating loss for our commercial networks segment was driven primarily by a $51.1 million increase in IR&amp;D expenses (primarily due to an increase in IR&amp;D efforts relating to next-generation satellite payload technologies for our ViaSat-3 class satellites, mobile broadband satellite communication systems and next-generation consumer broadband integrated networking technologies) and lower earnings contributions of $10.6 million primarily due to lower revenues and lower margins in our mobile broadband satellite communication systems. Additionally, support costs increased $8.5 million compared to the prior year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72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700" w:type="dxa"/>
            <w:vAlign w:val="bottom"/>
          </w:tcPr>
          <w:p>
            <w:pPr>
              <w:spacing w:after="0"/>
              <w:rPr>
                <w:sz w:val="11"/>
                <w:szCs w:val="11"/>
                <w:color w:val="auto"/>
              </w:rPr>
            </w:pPr>
          </w:p>
        </w:tc>
        <w:tc>
          <w:tcPr>
            <w:tcW w:w="132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2017</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w w:val="89"/>
              </w:rPr>
              <w:t>2016</w:t>
            </w:r>
          </w:p>
        </w:tc>
        <w:tc>
          <w:tcPr>
            <w:tcW w:w="700" w:type="dxa"/>
            <w:vAlign w:val="bottom"/>
          </w:tcPr>
          <w:p>
            <w:pPr>
              <w:spacing w:after="0"/>
              <w:rPr>
                <w:sz w:val="12"/>
                <w:szCs w:val="12"/>
                <w:color w:val="auto"/>
              </w:rPr>
            </w:pPr>
          </w:p>
        </w:tc>
        <w:tc>
          <w:tcPr>
            <w:tcW w:w="1320" w:type="dxa"/>
            <w:vAlign w:val="bottom"/>
            <w:gridSpan w:val="3"/>
          </w:tcPr>
          <w:p>
            <w:pPr>
              <w:jc w:val="right"/>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474.8</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410.5</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64.2</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210.3</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7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government systems segment revenues increased by $77.6 million, due to a $64.2 million increase in product revenues and a $13.4 million increase in service revenues. The product revenue increase was primarily due to a $25.9 million increase in cybersecurity and information assurance products, a</w:t>
      </w:r>
    </w:p>
    <w:p>
      <w:pPr>
        <w:ind w:right="20"/>
        <w:spacing w:after="0" w:line="255" w:lineRule="auto"/>
        <w:rPr>
          <w:sz w:val="20"/>
          <w:szCs w:val="20"/>
          <w:color w:val="auto"/>
        </w:rPr>
      </w:pPr>
      <w:r>
        <w:rPr>
          <w:rFonts w:ascii="Arial" w:cs="Arial" w:eastAsia="Arial" w:hAnsi="Arial"/>
          <w:sz w:val="18"/>
          <w:szCs w:val="18"/>
          <w:color w:val="auto"/>
        </w:rPr>
        <w:t>$19.1 million increase in tactical data link products, an $11.4 million increase in tactical satcom radio products and a $7.8 million increase in government satellite communications systems. Of the service revenues increase, $11.1 million related to our network management services for Wi-Fi and other internet access networks.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2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60" w:type="dxa"/>
            <w:vAlign w:val="bottom"/>
            <w:vMerge w:val="restart"/>
          </w:tcPr>
          <w:p>
            <w:pPr>
              <w:spacing w:after="0"/>
              <w:rPr>
                <w:sz w:val="11"/>
                <w:szCs w:val="11"/>
                <w:color w:val="auto"/>
              </w:rPr>
            </w:pPr>
          </w:p>
        </w:tc>
        <w:tc>
          <w:tcPr>
            <w:tcW w:w="1580" w:type="dxa"/>
            <w:vAlign w:val="bottom"/>
          </w:tcPr>
          <w:p>
            <w:pPr>
              <w:spacing w:after="0"/>
              <w:rPr>
                <w:sz w:val="11"/>
                <w:szCs w:val="11"/>
                <w:color w:val="auto"/>
              </w:rPr>
            </w:pPr>
          </w:p>
        </w:tc>
        <w:tc>
          <w:tcPr>
            <w:tcW w:w="142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89"/>
              </w:rPr>
              <w:t>March 31,</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820" w:type="dxa"/>
            <w:vAlign w:val="bottom"/>
          </w:tcPr>
          <w:p>
            <w:pPr>
              <w:spacing w:after="0"/>
              <w:rPr>
                <w:sz w:val="11"/>
                <w:szCs w:val="11"/>
                <w:color w:val="auto"/>
              </w:rPr>
            </w:pPr>
          </w:p>
        </w:tc>
        <w:tc>
          <w:tcPr>
            <w:tcW w:w="1380" w:type="dxa"/>
            <w:vAlign w:val="bottom"/>
            <w:gridSpan w:val="3"/>
          </w:tcPr>
          <w:p>
            <w:pPr>
              <w:jc w:val="center"/>
              <w:ind w:right="7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218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2"/>
                <w:szCs w:val="12"/>
                <w:color w:val="auto"/>
              </w:rPr>
            </w:pPr>
          </w:p>
        </w:tc>
        <w:tc>
          <w:tcPr>
            <w:tcW w:w="58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12"/>
                <w:szCs w:val="12"/>
                <w:color w:val="auto"/>
              </w:rPr>
            </w:pPr>
          </w:p>
        </w:tc>
        <w:tc>
          <w:tcPr>
            <w:tcW w:w="138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5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96.7</w:t>
            </w:r>
          </w:p>
        </w:tc>
        <w:tc>
          <w:tcPr>
            <w:tcW w:w="8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87.1</w:t>
            </w: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w:t>
            </w:r>
          </w:p>
        </w:tc>
        <w:tc>
          <w:tcPr>
            <w:tcW w:w="7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00" w:type="dxa"/>
            <w:vAlign w:val="bottom"/>
            <w:gridSpan w:val="3"/>
          </w:tcPr>
          <w:p>
            <w:pPr>
              <w:jc w:val="right"/>
              <w:ind w:right="660"/>
              <w:spacing w:after="0"/>
              <w:rPr>
                <w:sz w:val="20"/>
                <w:szCs w:val="20"/>
                <w:color w:val="auto"/>
              </w:rPr>
            </w:pPr>
            <w:r>
              <w:rPr>
                <w:rFonts w:ascii="Arial" w:cs="Arial" w:eastAsia="Arial" w:hAnsi="Arial"/>
                <w:sz w:val="18"/>
                <w:szCs w:val="18"/>
                <w:color w:val="auto"/>
              </w:rPr>
              <w:t>14.1%</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$9.6 million increase in our government systems segment operating profit reflected higher earnings contributions of $35.3 million primarily due to higher revenues and improved margins in our cybersecurity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information assurance products, tactical data link products and tactical satcom radio products. This operating profit increase was partially offset by higher overall SG&amp;A expenses of $24.4 million. The increase in our government systems segment SG&amp;A expenses included the amounts accrued in fiscal year 2017 for uncharacterized damages and penalties of $11.4 million and $0.4 million, respectively, in connection with the False Claims Act civil investigation related to our 52% majority-owned subsidiary TrellisWare.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Refer to Note 13 to the consolidated financial statements for further discussion of the False Claims Act civil investigation.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Compared to Fiscal Year 2015</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tcPr>
          <w:p>
            <w:pPr>
              <w:spacing w:after="0"/>
              <w:rPr>
                <w:sz w:val="11"/>
                <w:szCs w:val="11"/>
                <w:color w:val="auto"/>
              </w:rPr>
            </w:pPr>
          </w:p>
        </w:tc>
        <w:tc>
          <w:tcPr>
            <w:tcW w:w="9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6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9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664.8</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728.1</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(63.3)</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654.5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98.1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1,382.5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total revenues grew by $34.9 million as a result of a $98.1 million increase in service revenues, partially offset by a $63.3 million decrease in product revenues. The service revenue increase was comprised of an increase of $67.3 million in our satellite services segment, $24.8 million in our government systems segment and $6.0 million in our commercial networks segment. The product revenue decrease was comprised of a decrease of $102.4 million in our commercial networks segment and $8.0 million in our satellite services segment (mainly related to the Settlement Agreement, which we entered into during the second quarter of fiscal year 2015 — see Note 13 to the consolidated financial statements), partially offset by an increase of $47.1 million in our government systems segment.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9"/>
              </w:rPr>
              <w:t>March 31,</w:t>
            </w: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68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2"/>
                <w:szCs w:val="12"/>
                <w:color w:val="auto"/>
              </w:rPr>
            </w:pPr>
          </w:p>
        </w:tc>
        <w:tc>
          <w:tcPr>
            <w:tcW w:w="86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8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489.2</w:t>
            </w:r>
          </w:p>
        </w:tc>
        <w:tc>
          <w:tcPr>
            <w:tcW w:w="3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$519.5</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495.1</w:t>
            </w:r>
          </w:p>
        </w:tc>
        <w:tc>
          <w:tcPr>
            <w:tcW w:w="1540" w:type="dxa"/>
            <w:vAlign w:val="bottom"/>
            <w:gridSpan w:val="3"/>
          </w:tcPr>
          <w:p>
            <w:pPr>
              <w:jc w:val="right"/>
              <w:ind w:right="680"/>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984.3</w:t>
            </w:r>
          </w:p>
        </w:tc>
        <w:tc>
          <w:tcPr>
            <w:tcW w:w="15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$963.9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 of revenues increased by $20.4 million due to a $50.7 million increase in cost of service revenues, offset by a decrease in cost of product revenues of $30.2 million. The cost of service revenues increase was primarily due to increased service revenues, which generated a $66.7 million increase in cost of service revenues on a constant margin basis. This increase mainly related to our Exede broadband services and in-flight internet services in our satellite services segment and the addition of our network management services for Wi-Fi and other internet access networks resulting from our acquisition in June 2014 of NetNearU Corp. (NetNearU) in our government systems segment. This increase was partially offset by improved margins from our Exede broadband services resulting from the higher number of Exede subscribers compared to the prior year period and resultant scale in revenues, as well as higher value service plan offerings. The cost of product revenues decrease was primarily due to decreased revenues, causing a $41.5 million decrease in cost of product revenues on a constant margin basis, prior to the effects of product revenues related to the implied license under the Settlement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Agreement. This cost of product revenues decrease mainly related to our fixed satellite networks (driven by consumer broadband products) and our antenna systems products in our commercial networks segment, partially offset by lower margins in consumer broadband products in our commercial networks segment.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0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2"/>
              </w:rPr>
              <w:t>April 3,</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42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80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gridSpan w:val="2"/>
            <w:vMerge w:val="continue"/>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$ 298.3</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$270.8</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27.5</w:t>
            </w:r>
          </w:p>
        </w:tc>
        <w:tc>
          <w:tcPr>
            <w:tcW w:w="6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$27.5 million increase in SG&amp;A expenses was primarily attributable to higher support costs of $34.3 million mainly related to the recognition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$18.7 million of payments made under the Settlement Agreement as a reduction to SG&amp;A expenses in our satellite services segment during the second quarter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fiscal year 2015 and to an increase in support costs of $11.8 million in our commercial networks segment. This increase was partially offset by lower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proposal costs of $4.0 million mainly in our government systems segment and lower selling costs primarily in our satellite services segment. SG&amp;A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consisted primarily of personnel costs and expenses for business development, marketing and sales, bid and proposal, facilities, finance, contract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and general management.</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40" w:type="dxa"/>
            <w:vAlign w:val="bottom"/>
            <w:vMerge w:val="restart"/>
          </w:tcPr>
          <w:p>
            <w:pPr>
              <w:spacing w:after="0"/>
              <w:rPr>
                <w:sz w:val="11"/>
                <w:szCs w:val="11"/>
                <w:color w:val="auto"/>
              </w:rPr>
            </w:pPr>
          </w:p>
        </w:tc>
        <w:tc>
          <w:tcPr>
            <w:tcW w:w="1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680" w:type="dxa"/>
            <w:vAlign w:val="bottom"/>
          </w:tcPr>
          <w:p>
            <w:pPr>
              <w:spacing w:after="0"/>
              <w:rPr>
                <w:sz w:val="11"/>
                <w:szCs w:val="11"/>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April 3,</w:t>
            </w:r>
          </w:p>
        </w:tc>
        <w:tc>
          <w:tcPr>
            <w:tcW w:w="700" w:type="dxa"/>
            <w:vAlign w:val="bottom"/>
          </w:tcPr>
          <w:p>
            <w:pPr>
              <w:spacing w:after="0"/>
              <w:rPr>
                <w:sz w:val="11"/>
                <w:szCs w:val="11"/>
                <w:color w:val="auto"/>
              </w:rPr>
            </w:pPr>
          </w:p>
        </w:tc>
        <w:tc>
          <w:tcPr>
            <w:tcW w:w="12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220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2016</w:t>
            </w:r>
          </w:p>
        </w:tc>
        <w:tc>
          <w:tcPr>
            <w:tcW w:w="1120" w:type="dxa"/>
            <w:vAlign w:val="bottom"/>
            <w:gridSpan w:val="2"/>
          </w:tcPr>
          <w:p>
            <w:pPr>
              <w:jc w:val="right"/>
              <w:ind w:right="2"/>
              <w:spacing w:after="0" w:line="148" w:lineRule="exact"/>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6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gridSpan w:val="2"/>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77.2</w:t>
            </w:r>
          </w:p>
        </w:tc>
        <w:tc>
          <w:tcPr>
            <w:tcW w:w="6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$ 46.7</w:t>
            </w:r>
          </w:p>
        </w:tc>
        <w:tc>
          <w:tcPr>
            <w:tcW w:w="7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30.5</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$30.5 million increase in IR&amp;D expenses was primarily the result of increased IR&amp;D efforts in our commercial networks segment of $33.9 million (primarily related to research increases in next-generation consumer broadband, mobile broadband satellite communication systems and next-generation satellite payload technologies for our ViaSat-3 class satellites), partially offset by a decrease in our government systems segment of $3.9 million (primarily due to a decrease in development of next-generation dual band mobility solutions).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$1.5 million decrease in amortization of acquired intangible assets in fiscal year 2016 compared to last fiscal year was primarily the result of certain customer relationship intangibles in our satellite services segment becoming fully amortized during the fourth quarter of fiscal year 2016. Expected amortization expense for acquired intangible assets for each of the following periods is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484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2021</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20" w:type="dxa"/>
            <w:vAlign w:val="bottom"/>
            <w:vMerge w:val="restart"/>
          </w:tcPr>
          <w:p>
            <w:pPr>
              <w:jc w:val="right"/>
              <w:ind w:right="3272"/>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$0.2 million increase in interest income in fiscal year 2016 compared to fiscal year 2015 was due to an increase of $0.2 million in the amount of payments under the Settlement Agreement recognized as interest income during fiscal year 2016 compared to fiscal year 2015.</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$5.7 million decrease in interest expense year-over-year was primarily due to an increase of $13.9 million in the amount of interest capitalized during fiscal year 2016 compared to fiscal year 2015. This decrease was partially offset by increased interest expense due to the overall higher amount of outstanding borrowings during fiscal year 2016 compared to the prior year period. Capitalized interest expense during fiscal years 2016 and 2015 related to the construction of ViaSat-2 and other assets and in fiscal year 2016 also included interest expense related to the construction of our ViaSat-3 class satellites.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income tax benefit in fiscal year 2016 reflected the tax expense from our income before income taxes and the benefit from federal and state research tax credits. The Protecting Americans from Tax Hikes (PATH) Act of 2015 enacted on December 18, 2015 extended the federal research and development credit permanently, retroactive to January 2015. As a result, fiscal year 2016 includes 15 months of federal research tax credit (comprising three months from fiscal year 2015 and 12 months from fiscal year 2016). Fiscal year 2016 also included an expense related to the increase in valuation allowance related primarily to state net operating loss carryforwards and research and development credit carryforwards available to reduce state income taxes. The effective income tax expense in fiscal year 2015 reflected the tax expense from the income before income taxes and the benefit from federal and state research tax credits. Fiscal year 2015 includes 12 months of federal research tax credit including three months from fiscal year 2014 and nine months from fiscal year 2015. Fiscal year 2015 also included an expense related to the increase in valuation allowance related primarily to state net operating loss carryforwards and research and development credit carryforwards available to reduce state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2016 Compared to Fiscal Year 2015</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ind w:left="20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1"/>
                <w:szCs w:val="11"/>
                <w:color w:val="auto"/>
              </w:rPr>
            </w:pPr>
          </w:p>
        </w:tc>
        <w:tc>
          <w:tcPr>
            <w:tcW w:w="9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68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7"/>
              <w:spacing w:after="0" w:line="148" w:lineRule="exact"/>
              <w:rPr>
                <w:sz w:val="20"/>
                <w:szCs w:val="20"/>
                <w:color w:val="auto"/>
              </w:rPr>
            </w:pPr>
            <w:r>
              <w:rPr>
                <w:rFonts w:ascii="Arial" w:cs="Arial" w:eastAsia="Arial" w:hAnsi="Arial"/>
                <w:sz w:val="14"/>
                <w:szCs w:val="14"/>
                <w:b w:val="1"/>
                <w:bCs w:val="1"/>
                <w:color w:val="auto"/>
                <w:w w:val="89"/>
              </w:rPr>
              <w:t>2015</w:t>
            </w:r>
          </w:p>
        </w:tc>
        <w:tc>
          <w:tcPr>
            <w:tcW w:w="68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25.6</w:t>
            </w:r>
          </w:p>
        </w:tc>
        <w:tc>
          <w:tcPr>
            <w:tcW w:w="3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533.6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466.3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559.2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499.9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satellite services segment revenues grew by $59.4 million as a result of a $67.3 million increase in service revenues, offset by a $8.0 million decrease in product revenues. The increase in service revenues was primarily driven by an increase in the number of Exede broadband internet subscribers compared to the prior year period, as well as higher average revenue per subscriber. Total subscribers of our fixed broadband services grew from approximately 686,000 at April 3, 2015 to approximately 697,000 at March 31, 2016. The service revenue increase also reflected the expansion of our in-flight internet services compared to the prior year period, with 476 commercial aircraft in service as of March 31, 2016 compared to approximately 330 commercial aircraft in service at the end of fiscal year 2015. The decrease in product revenues mainly related to the amounts recorded under the Settlement Agreement, which we entered into during the second quarter of fiscal year 2015.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Fiscal Years Ended</w:t>
            </w: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2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3,</w:t>
            </w:r>
          </w:p>
        </w:tc>
        <w:tc>
          <w:tcPr>
            <w:tcW w:w="760" w:type="dxa"/>
            <w:vAlign w:val="bottom"/>
          </w:tcPr>
          <w:p>
            <w:pPr>
              <w:spacing w:after="0"/>
              <w:rPr>
                <w:sz w:val="11"/>
                <w:szCs w:val="11"/>
                <w:color w:val="auto"/>
              </w:rPr>
            </w:pPr>
          </w:p>
        </w:tc>
        <w:tc>
          <w:tcPr>
            <w:tcW w:w="13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234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76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13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81.8</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$ 62.4</w:t>
            </w:r>
          </w:p>
        </w:tc>
        <w:tc>
          <w:tcPr>
            <w:tcW w:w="7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19.5</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800" w:type="dxa"/>
            <w:vAlign w:val="bottom"/>
            <w:gridSpan w:val="3"/>
          </w:tcPr>
          <w:p>
            <w:pPr>
              <w:jc w:val="right"/>
              <w:ind w:right="320"/>
              <w:spacing w:after="0"/>
              <w:rPr>
                <w:sz w:val="20"/>
                <w:szCs w:val="20"/>
                <w:color w:val="auto"/>
              </w:rPr>
            </w:pPr>
            <w:r>
              <w:rPr>
                <w:rFonts w:ascii="Arial" w:cs="Arial" w:eastAsia="Arial" w:hAnsi="Arial"/>
                <w:sz w:val="18"/>
                <w:szCs w:val="18"/>
                <w:color w:val="auto"/>
              </w:rPr>
              <w:t>14.6%</w:t>
            </w: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$19.5 million increase in operating profit for our satellite services segment was driven primarily by higher earnings contributions of $34.8 million, and was partially offset by the recognition of $18.7 million of payments made under the Settlement Agreement as a reduction to SG&amp;A expenses during the second quarter of fiscal year 2015. Continued growth in the size of the subscriber base for our Exede broadband services subscriber base compared to the prior year period resulted in increased service revenues and improved margins. We have also experienced positive contributions from our in-flight internet services.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98"/>
              </w:rPr>
              <w:t>Fiscal Years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6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6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2016</w:t>
            </w:r>
          </w:p>
        </w:tc>
        <w:tc>
          <w:tcPr>
            <w:tcW w:w="112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228.7</w:t>
            </w:r>
          </w:p>
        </w:tc>
        <w:tc>
          <w:tcPr>
            <w:tcW w:w="6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$331.1</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(102.4)</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commercial networks segment revenues decreased by $96.4 million, primarily due to the $102.4 million decrease in product revenues. Of this product revenue decrease, $48.5 million related to fixed satellite networks (reflecting the nearing of completion of our large scale Australian Ka-band infrastructure project, partially offset by increased revenues from our next-generation Ka-band system contract in Canada). In addition, our antenna systems products revenues decreased $29.3 million (as certain programs were completed or moved closer to completion), our mobile broadband satellite communication systems revenues decreased $10.2 million, our satellite payload technology development programs revenues decreased $7.4 million and our satellite networking development programs revenues decreased $7.2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vMerge w:val="restart"/>
          </w:tcPr>
          <w:p>
            <w:pPr>
              <w:spacing w:after="0"/>
              <w:rPr>
                <w:sz w:val="11"/>
                <w:szCs w:val="11"/>
                <w:color w:val="auto"/>
              </w:rPr>
            </w:pPr>
          </w:p>
        </w:tc>
        <w:tc>
          <w:tcPr>
            <w:tcW w:w="134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6"/>
              </w:rPr>
              <w:t>March 31,</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3,</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58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46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5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(111.3)</w:t>
            </w:r>
          </w:p>
        </w:tc>
        <w:tc>
          <w:tcPr>
            <w:tcW w:w="7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(33.6)</w:t>
            </w:r>
          </w:p>
        </w:tc>
        <w:tc>
          <w:tcPr>
            <w:tcW w:w="4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(77.7)</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(44.4)%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$77.7 million increase in operating loss for our commercial networks segment was driven by a $33.9 million increase in IR&amp;D expenses (primarily due to an increase in IR&amp;D efforts relating to next-generation consumer broadband, mobile broadband satellite communication systems and next-generation satellite payload technologies for our ViaSat-3 class satellites), lower earnings contributions of $29.8 million primarily due to the decrease in product revenues, and an increase of $14.0 million in support, new business proposal and selling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6"/>
              </w:rPr>
              <w:t>Fiscal Years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0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800" w:type="dxa"/>
            <w:vAlign w:val="bottom"/>
            <w:gridSpan w:val="2"/>
          </w:tcPr>
          <w:p>
            <w:pPr>
              <w:jc w:val="right"/>
              <w:ind w:right="17"/>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60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410.5</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$363.4</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47.1</w:t>
            </w:r>
          </w:p>
        </w:tc>
        <w:tc>
          <w:tcPr>
            <w:tcW w:w="6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196.9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607.5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$535.5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government systems segment revenues increased by $71.9 million, due to a $47.1 million increase in product revenues and a $24.8 million increase in service revenues. The product revenue increase was primarily due to a $54.3 million increase in government satellite communication systems (mainly attributable to government mobile broadband and command and control situational awareness), a $12.9 million increase in tactical data link products, and a $6.4 million increase in tactical satcom radio products (relating to our 52% majority-owned subsidiary TrellisWare), partially offset by a $25.8 million decrease in cybersecurity and information assurance products. Of the service revenue increase, $16.0 million related to NetNearU, the subsidiary we acquired in June 2014 and $4.3 million related to government satellite communication systems services.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Fiscal Years Ended</w:t>
            </w: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2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3,</w:t>
            </w:r>
          </w:p>
        </w:tc>
        <w:tc>
          <w:tcPr>
            <w:tcW w:w="760" w:type="dxa"/>
            <w:vAlign w:val="bottom"/>
          </w:tcPr>
          <w:p>
            <w:pPr>
              <w:spacing w:after="0"/>
              <w:rPr>
                <w:sz w:val="11"/>
                <w:szCs w:val="11"/>
                <w:color w:val="auto"/>
              </w:rPr>
            </w:pPr>
          </w:p>
        </w:tc>
        <w:tc>
          <w:tcPr>
            <w:tcW w:w="13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234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76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13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87.1</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$ 72.3</w:t>
            </w:r>
          </w:p>
        </w:tc>
        <w:tc>
          <w:tcPr>
            <w:tcW w:w="7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14.7</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800" w:type="dxa"/>
            <w:vAlign w:val="bottom"/>
            <w:gridSpan w:val="3"/>
          </w:tcPr>
          <w:p>
            <w:pPr>
              <w:jc w:val="right"/>
              <w:ind w:right="320"/>
              <w:spacing w:after="0"/>
              <w:rPr>
                <w:sz w:val="20"/>
                <w:szCs w:val="20"/>
                <w:color w:val="auto"/>
              </w:rPr>
            </w:pPr>
            <w:r>
              <w:rPr>
                <w:rFonts w:ascii="Arial" w:cs="Arial" w:eastAsia="Arial" w:hAnsi="Arial"/>
                <w:sz w:val="18"/>
                <w:szCs w:val="18"/>
                <w:color w:val="auto"/>
              </w:rPr>
              <w:t>14.3%</w:t>
            </w: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$14.7 million increase in our government systems segment operating profit reflected higher earnings contributions of $9.5 million primarily due to the increase in revenue and a decrease of $3.9 million in IR&amp;D expenses (primarily due to lower spending in IR&amp;D efforts relating to development of next-generation dual band mobility solutions).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Unrestricted Subsidiaries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designated our majority-owned subsidiaries TrellisWare and Euro Retail Co. as “Unrestricted Subsidiaries” under the indenture governing our 2020 Notes. The financial position and results of operations of our Unrestricted Subsidiaries are included in our consolidated financial statements. Under the indenture governing our 2020 Notes, due to the significance of the net loss of our 52% majority-owned subsidiary TrellisWare for fiscal year 2017, which reflected our accrual for uncharacterized damages and penalties of $11.8 million recorded in the fourth quarter of fiscal year 2017 in connection with the False Claims Act civil investigation related to TrellisWare, we are required to present information sufficient to ascertain our financial condition and results of operations excluding our Unrestricted Subsidiaries.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The net loss of our Unrestricted Subsidiaries for the fiscal year ended March 31, 2017 was $4.2 million, which related primarily to TrellisWare. For the fiscal year ended March 31, 2017, total revenues and expenses of our Unrestricted Subsidiaries were immaterial to our consolidated results. For the fiscal years ended March 31, 2016 and 2015, total revenues, expenses and net income (loss) of our Unrestricted Subsidiaries were immaterial to our consolidated results. As of March 31, 2017 and 2016, total assets and liabilities of our Unrestricted Subsidiaries were immaterial to our consolidated results.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reflected in the table below, our overall firm and funded backlog increased during fiscal year 2017. The increases in both firm and funded backlog were attributable to increases in our government systems segment.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As of</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March 31, 2017</w:t>
            </w:r>
          </w:p>
        </w:tc>
        <w:tc>
          <w:tcPr>
            <w:tcW w:w="1940" w:type="dxa"/>
            <w:vAlign w:val="bottom"/>
            <w:gridSpan w:val="4"/>
          </w:tcPr>
          <w:p>
            <w:pPr>
              <w:ind w:left="980"/>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125.2</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r>
              <w:rPr>
                <w:rFonts w:ascii="Arial" w:cs="Arial" w:eastAsia="Arial" w:hAnsi="Arial"/>
                <w:sz w:val="18"/>
                <w:szCs w:val="18"/>
                <w:u w:val="single" w:color="auto"/>
                <w:color w:val="auto"/>
              </w:rPr>
              <w:t>4</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265.9</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937.9</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firm backlog does not include contract options. Of the $1.0 billion in firm backlog, $530.2 million is expected to be delivered in fiscal year 2018, and the balance is expected to be delivered in fiscal year 2019 and thereafter. We include in our backlog only those orders for which we have accepted purchase orders. Backlog does not include contracts with our Exede broadband internet subscribers in our satellite services segment, nor does it include anticipated purchase orders and requests for the installation of in-flight broadband systems or future recurring internet services revenues under commercial in-flight internet agreements recorded in our commercial networks and satellite services segments, respectively. As of March 31, 2017, we expect to install in-flight broadband systems on approximately 800 additional aircraft under our existing customer agreements with commercial airlines, although there can be no assurance that all anticipated purchase orders and requests will be placed.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new awards were approximately $1.7 billion, $1.5 billion and $1.4 billion for fiscal years 2017, 2016 and 2015, respectively.</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export credit agency financing and equity financing, including the sale of 7,475,000 shares of ViaSat common stock in an underwritten public offering in November 2016. At March 31, 2017, we had $130.1 million in cash and cash equivalents, $289.3 million in working capital, no outstanding borrowings under our Revolving Credit Facility and $274.6 million in principal amount of outstanding borrowings under our Ex-Im Credit Facility, and we had accrued $29.5 million in completion exposure fees expected to be financed under the Ex-Im Credit Facility. At March 31, 2016, we had $42.1 million in cash and cash equivalents, $241.6 million in working capital, $180.0 million in outstanding borrowings under our Revolving Credit Facility and $197.2 million in principal amount of outstanding borrowings under our Ex-Im Credit Facility, and we had accrued $21.0 million in completion exposure fees expected to be financed under the Ex-Im Credit Facility. We invest our cash in excess of current operating requirements in short-term, interest-bearing, investment-grade securities.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our satellite projects and any future broadband satellite projects we may engage in, our proposed Eutelsat strategic partnering arrangements,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investments in joint ventures and strategic partnering arrangements (such as our Eutelsat strategic partnering arrangement)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23, 2016, we completed the sale of an aggregate of 7,475,000 shares of our common stock in an underwritten public offering. Our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offering were approximately $503.1 million after deducting underwriting discounts and offering expenses. In November 2016, we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$225.0 million of the net proceeds from the offering to repay outstanding borrowings under the Revolving Credit Facility. We expect to use the remaining net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proceeds for general corporate purposes, which may include financing costs related to the purchase, launch and operation of satellites, potential acquisitions, joint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ventures and strategic alliances, working capital or capital expenditures.</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12 months.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Cash provided by operating activities for fiscal year 2017 was $411.3 million compared to cash provided by operating activities of $296.9 million for fiscal year 2016. This $114.4 million increase was primarily driven by a $94.9 million year-over-year decrease in cash used to fund net operating assets needs, coupled with our operating results (net income adjusted for depreciation, amortization and other non-cash charges) which generated $19.4 million of higher cash inflows year-over-year. The decrease in cash used to fund net operating assets during fiscal year 2017 when compared to fiscal year 2016 was primarily due to an increase in our collections in excess of revenues and deferred revenues included in accrued liabilities due to the timing of milestone billings for certain larger development projects in our commercial networks and government systems segments, lower combined billed and unbilled accounts receivable, net, attributable to the timing of contractual milestones for certain larger development programs in our commercial networks and government systems segments, as well as a decrease in cash used for inventory in our government systems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used in investing activities for fiscal year 2017 was $715.0 million compared to cash used in investing activities in fiscal year 2016 of $456.3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cash used in investing activities year-over year reflects increases of $139.1 million in cash used for investment in unconsolidated affiliates,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$101.3 million in cash used for satellite construction, $18.6 million in cash used for the construction of earth stations and network operation systems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ViaSat-2, $16.9 million in capital expenditures for property and other general purpose equipment and $12.1 million in cash used for acquisitions,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$27.6 million in proceeds from the sale of real property adjacent to our current headquarters location.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Cash provided by financing activities for fiscal year 2017 was $392.8 million compared to cash provided by financing activities of $149.1 million for fiscal year 2016. This $243.7 million increase in cash provided by financing activities year-over-year was primarily related to $503.1 million in net proceeds from a public offering of common stock in November 2016 (after deducting underwriting discounts and offering expenses). This increase was partially offset by a year-over-year increase of $150.0 million in net payments on borrowings under our Revolving Credit Facility, as well as a $98.4 million year-over-year decrease in net proceeds from borrowings under our Ex-Im Credit Facility.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 and payment of debt issuance costs.</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Comparing cash flows in fiscal year 2016 to fiscal year 2015, the $52.6 million decrease in cash provided by operating activities was primarily driven by a $52.0 million year-over year increase in cash used to fund net operating assets needs and by our operating results (net income adjusted for depreciation, amortization and other non-cash charges) which generated cash inflows in fiscal year 2016 that were $0.6 million lower than in fiscal year 2015. The decrease in cash used in investing activities reflected a year-over-year decrease of $54.6 million in cash used for satellite construction and a decrease of $53.0 million in cash used for acquisitions, offset by increases of $39.5 million in capital expenditures for real property adjacent to our current headquarters location, $21.1 million for capital expenditures for other general purpose equipment, $21.6 million in cash used for capital software development and $5.4 million for the construction of earth stations and network operation systems related to ViaSat-2. The $27.7 million increase in cash provided by financing activities year-over-year was primarily related to the $161.9 million increase in net proceeds from borrowings under our Ex-Im Credit Facility during fiscal year 2016 compared to the prior year period. This increase was partially offset by $30.0 million of net payments on borrowings under our Revolving Credit Facility during the fiscal year 2016 compared to $105.0 million in net proceeds from borrowings in the prior year period.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May 2013, we entered into an agreement to purchase the ViaSat-2 satellite from Boeing at a price of approximately $358.0 million, plus an additional amount for launch support services to be performed by Boeing. In April 2017, the satellite construction agreement was amended to replace the remaining milestone payments for the satellite under the agreement with approximately $21.0 million of in-orbit satellite performance incentive payments, excluding interest, payable monthly over a nine-year period commencing one month after the completion of in-orbit testing, subject to the continued satisfactory performance of the satellite. The projected total cost of the ViaSat-2 project, including the satellite, launch, insurance and related earth station infrastructure, through satellite service launch, together with the estimated liability for the in-orbit satellite performance incentive payments, is estimated to be approximately $580.0 million. The ViaSat-2 satellite is currently located at the Arianespace launch facility in French Guiana in preparation for launch into orbit. Due to recent civil unrest in French Guiana the launch of our ViaSat-2 satellite has been further delayed and is currently expected to occur in June 2017 following completion of the launch preparation process.</w:t>
      </w:r>
    </w:p>
    <w:p>
      <w:pPr>
        <w:spacing w:after="0" w:line="34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July 2016, we entered into two separate agreements with Boeing for the construction and purchase of two ViaSat-3 class satellites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These agreements supersede the prior limited authorization to proceed, which was entered into during the fourth quarter of fiscal year 2016. The first ViaSat-3 class satellite is expected to provide broadband services over the Americas, and the second is expected to provide broadband services over the EMEA region. The projected aggregate total project cost for the two ViaSat-3 class satellites, including the satellites, launches, insurance and related earth station infrastructure, through satellite launch is estimated to be between $1.2 billion and $1.4 billion, and will depend on the timing of the earth station infrastructure roll-out of each satellite and method we use to procure fiber access. Our total cash funding may be reduced through various third 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12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believe the launch and roll-out of our ViaSat-2 satellite and related ground infrastructure will impact our financial results in our satellite services segment in fiscal year 2018 and beyond. In particular, we expect to increase our investment in subscriber acquisition costs after ViaSat-2 is placed into service as we expand our subscriber base for our Exede broadband services. However, there can be no assurance that we will be successful in our expansion plans. We expect the relative impact of the launch and roll-out of the satellite and related ground infrastructure to our financial results to be less than we experienced in relation to the launch and roll-out of our ViaSat-1 satellite and related ground infrastructure. During the period from 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which negatively impacted income from operations during that period, included costs associated with depreciation, earth station connectivity, subscriber acquisition costs, logistics, customer care and various support systems.</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IR&amp;D investments in our ViaSat-3 class satellites currently under construction are also expected to continue to negatively impact our financial results in our commercial networks segment in fiscal year 2018, with our investments in related ground infrastructure development continuing in subsequent fiscal years.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March 31, 2017, the Revolving Credit Facility provided an $800.0 million revolving line of credit (including up to $150.0 million of letters of credit) with a maturity date of May 24, 2021 (or March 16, 2020, if more than $200.0 million of our 2020 Notes are then outstanding and certain conditions are met).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March 31, 2017, none of our subsidiaries guaranteed the Revolving Credit Facility.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March 31, 2017, we had no outstanding borrowings under the Revolving Credit Facility and $38.6 million outstanding under standby letters of credit, leaving borrowing availability under the Revolving Credit Facility as of March 31, 2017 of $761.4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March 31, 2017,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 On May 17, 2017, subsequent to fiscal year end, we reduced the size of the Ex-Im Credit Facility by $24.3 million from $386.7 million to $362.4 million in light of the April 2017 amendment to the Boeing satellite construction agreement described above under “— Satellite-related activities” (which replaced the remaining milestone payments for the satellite under the agreement with approximately $21.0 million of in-orbit satellite performance incentive payments, excluding interest, payable monthly over a nine-year period commencing one month after the completion of in-orbit testing, subject to the continued satisfactory performance of the satellite) and certain project cost reductions.</w:t>
      </w:r>
    </w:p>
    <w:p>
      <w:pPr>
        <w:spacing w:after="0" w:line="11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estimated to be between 4.4% and 4.5% as of March 31, 2017. The Ex-Im Credit Facility is guaranteed by ViaSat and is secured by first-priority liens on the ViaSat-2 satellite and related assets as well as a pledge of the capital stock of the borrower under the facility.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March 31, 2017, we had $274.6 million in principal amount of outstanding borrowings under the Ex-Im Credit Facility and had accrued $29.5 million in completion exposure fees expected to be financed under the Ex-Im Credit Facility. As of March 31, 2017, the undrawn commitment under the Ex-Im Credit Facility was $82.5 million (excluding $29.5 million of accrued completion exposure fees), of which $74.4 million was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available to finance ViaSat-2 related costs once incurred (prior to giving effect to the $24.3 million reduction in the size of the Ex-Im Credit Facility subsequent to fiscal year end described above). Borrowings under the Ex-Im Credit Facility were issued with a discount of $36.6 million (comprising the initial $6.0 million exposure fee, the completion exposure fees accrued as of March 31, 2017 and other customary fees). The borrowings under the Ex-Im Credit Facility are recorded as long-term debt, net of unamortized discount and debt issuance costs, in our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consolidated financial statements and is being amortized as a reduction to interest expense on an effective interest rate basis over the term of those 2020 Notes.</w:t>
      </w:r>
    </w:p>
    <w:p>
      <w:pPr>
        <w:spacing w:after="0" w:line="10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Revolving Credit Facility. As of March 31, 2017,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2020 Notes may be redeemed, in whole or in part, at any time during the 12 months beginning on June 15, 2016 at a redemption price of 103.438%, during the 12 months beginning on June 15, 2017 at a redemption price of 101.719%, and at any time on or after June 15, 2018 at a redemption price of 100%, in each case plus accrued and unpaid interest, if any, thereon to the redemption date.</w:t>
      </w:r>
    </w:p>
    <w:p>
      <w:pPr>
        <w:spacing w:after="0" w:line="14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March 31, 2017: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For the Fiscal Years Ending</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86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440,605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69,645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115,104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85,080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170,776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713,359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39,531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79,063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594,765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Ex-Im Credit Facility (1)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341,511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6,599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85,548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160,212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 (2)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60" w:type="dxa"/>
            <w:vAlign w:val="bottom"/>
            <w:gridSpan w:val="3"/>
          </w:tcPr>
          <w:p>
            <w:pPr>
              <w:ind w:left="200"/>
              <w:spacing w:after="0"/>
              <w:rPr>
                <w:sz w:val="20"/>
                <w:szCs w:val="20"/>
                <w:color w:val="auto"/>
              </w:rPr>
            </w:pPr>
            <w:r>
              <w:rPr>
                <w:rFonts w:ascii="Arial" w:cs="Arial" w:eastAsia="Arial" w:hAnsi="Arial"/>
                <w:sz w:val="18"/>
                <w:szCs w:val="18"/>
                <w:color w:val="auto"/>
              </w:rPr>
              <w:t>agreements (2)</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1,023,394</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504,446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424,155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2,549,634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622,515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712,579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836,456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8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 As of March 31, 2017, we had accrued $29.5 million in completion exposure fees expected to be financed under the Ex-Im Credit Facility.</w:t>
      </w:r>
    </w:p>
    <w:p>
      <w:pPr>
        <w:spacing w:after="0" w:line="2" w:lineRule="exact"/>
        <w:rPr>
          <w:rFonts w:ascii="Arial" w:cs="Arial" w:eastAsia="Arial" w:hAnsi="Arial"/>
          <w:sz w:val="16"/>
          <w:szCs w:val="16"/>
          <w:color w:val="auto"/>
        </w:rPr>
      </w:pPr>
    </w:p>
    <w:p>
      <w:pPr>
        <w:ind w:left="460" w:right="40" w:hanging="452"/>
        <w:spacing w:after="0" w:line="290"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amounts listed reflect our contractual obligations under the Boeing satellite construction agreement for the ViaSat-2 satellite as of March 31, 2017 and do not include in-orbit satellite performance incentives payments payable with respect to the ViaSat-2 satellite pursuant to the amendment of the Boeing satellite construction agreement entered into in April 2017, subsequent to fiscal year end. Under the April 2017 amendment, the remaining milestone payments for the satellite were replaced with approximately $21.0 million of in-orbit satellite performance incentives payments, excluding interest, payable monthly over a nine-year period commencing one month after the completion of in-orbit testing, subject to the continued satisfactory performance of the satellite. See “Liquidity and Capital Resources — Satellite-related activities.”</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consolidated balance sheets included $42.7 million and $37.4 million of “other liabilities” as of March 31, 2017 and March 31, 2016,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8 to our consolidated financial statements for additional information regarding our income taxes and related tax positions and Note 14 to our consolidated financial statements for a discussion of our product warranties.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We had no material off-balance sheet arrangements at March 31, 2017 as defined in Regulation S-K Item 303(a)(4) other than as discussed under Contractual Obligations above or disclosed in the notes to our consolidated financial statements included in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regarding recently adopted and issued accounting pronouncements, see Note 1 to the consolidated financial statements</w:t>
      </w:r>
      <w:r>
        <w:rPr>
          <w:rFonts w:ascii="Arial" w:cs="Arial" w:eastAsia="Arial" w:hAnsi="Arial"/>
          <w:sz w:val="18"/>
          <w:szCs w:val="18"/>
          <w:i w:val="1"/>
          <w:iCs w:val="1"/>
          <w:color w:val="auto"/>
        </w:rPr>
        <w:t>.</w:t>
      </w:r>
    </w:p>
    <w:p>
      <w:pPr>
        <w:spacing w:after="0" w:line="246" w:lineRule="exact"/>
        <w:rPr>
          <w:sz w:val="20"/>
          <w:szCs w:val="20"/>
          <w:color w:val="auto"/>
        </w:rPr>
      </w:pPr>
    </w:p>
    <w:p>
      <w:pPr>
        <w:ind w:right="4580"/>
        <w:spacing w:after="0" w:line="347"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March 31, 2017, we had no outstanding borrowings under our Revolving Credit Facility, $274.6 million in principal amount of outstanding borrowings under our Ex-Im Credit Facility as well as $29.5 million in accrued completion exposure fees expected to be financed under the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fiscal years ended March 31, 2017 and March 31, 2016.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March 31, 2017 that would have been applied to any new Eurodollar-based borrowings under the Revolving Credit Facility was approximately 3.55%. As of March 31, 2017, we had no outstanding borrowings under our Revolving Credit Facility. Accordingly, assuming the outstanding balance remained constant over a year, changes in interests rates applicable to our Revolving Credit Facility would have no effect on our interest incurred and cash flow.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The closing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strategic partnering arrangement with Eutelsat during the fourth quarter of fiscal year 2017 and related investment in Euro Infrastructure Co., which is denominated in Euros, increases our exposure to foreign currency risk.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March 31, 2017, we had a number of foreign currency forward contracts outstanding which are intended to reduce the foreign currency risk for amounts payable to vendors in Euros. The foreign currency forward contracts with a notional amount of $2.6 million had an insignificant amount of fair value recorded in accrued liabilities as of March 31, 2017. If the foreign currency forward rate for the Euro to U.S. dollar on these foreign currency forward contracts had changed by 10%, the fair value of these foreign currency forward contracts as of March 31, 2017 would have changed by an insignificant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consolidated financial statements at March 31, 2017 and March 31, 2016 and for each of the three fiscal years in the period ended March 31, 2017, and the Report of PricewaterhouseCoopers LLP, Independent Registered Public Accounting Firm, are included in this report on pages F-1 through F-46.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2017 and 2016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w w:val="88"/>
              </w:rPr>
              <w:t>1st Quarter</w:t>
            </w:r>
          </w:p>
        </w:tc>
        <w:tc>
          <w:tcPr>
            <w:tcW w:w="1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2nd Quarter</w:t>
            </w:r>
          </w:p>
        </w:tc>
        <w:tc>
          <w:tcPr>
            <w:tcW w:w="12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3rd Quarter</w:t>
            </w: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4th Quarter</w:t>
            </w:r>
          </w:p>
        </w:tc>
      </w:tr>
      <w:tr>
        <w:trPr>
          <w:trHeight w:val="142"/>
        </w:trPr>
        <w:tc>
          <w:tcPr>
            <w:tcW w:w="5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Total revenues</w:t>
            </w:r>
          </w:p>
        </w:tc>
        <w:tc>
          <w:tcPr>
            <w:tcW w:w="2480" w:type="dxa"/>
            <w:vAlign w:val="bottom"/>
            <w:gridSpan w:val="2"/>
          </w:tcPr>
          <w:p>
            <w:pPr>
              <w:jc w:val="right"/>
              <w:ind w:right="72"/>
              <w:spacing w:after="0"/>
              <w:rPr>
                <w:sz w:val="20"/>
                <w:szCs w:val="20"/>
                <w:color w:val="auto"/>
              </w:rPr>
            </w:pPr>
            <w:r>
              <w:rPr>
                <w:rFonts w:ascii="Arial" w:cs="Arial" w:eastAsia="Arial" w:hAnsi="Arial"/>
                <w:sz w:val="18"/>
                <w:szCs w:val="18"/>
                <w:color w:val="auto"/>
              </w:rPr>
              <w:t>$ 363,130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92"/>
              </w:rPr>
              <w:t>399,158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w w:val="92"/>
              </w:rPr>
              <w:t>380,630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416,419</w:t>
            </w: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7,778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18,414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7,591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ind w:right="72"/>
              <w:spacing w:after="0"/>
              <w:rPr>
                <w:sz w:val="20"/>
                <w:szCs w:val="20"/>
                <w:color w:val="auto"/>
              </w:rPr>
            </w:pPr>
            <w:r>
              <w:rPr>
                <w:rFonts w:ascii="Arial" w:cs="Arial" w:eastAsia="Arial" w:hAnsi="Arial"/>
                <w:sz w:val="18"/>
                <w:szCs w:val="18"/>
                <w:color w:val="auto"/>
              </w:rPr>
              <w:t>2,157</w:t>
            </w:r>
          </w:p>
        </w:tc>
        <w:tc>
          <w:tcPr>
            <w:tcW w:w="4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10,739</w:t>
            </w:r>
          </w:p>
        </w:tc>
        <w:tc>
          <w:tcPr>
            <w:tcW w:w="320" w:type="dxa"/>
            <w:vAlign w:val="bottom"/>
          </w:tcPr>
          <w:p>
            <w:pPr>
              <w:spacing w:after="0"/>
              <w:rPr>
                <w:sz w:val="18"/>
                <w:szCs w:val="18"/>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4,622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4,249</w:t>
            </w: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1,855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11,019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4,243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Basic net income per share attributable to ViaSat, Inc.</w:t>
            </w:r>
          </w:p>
        </w:tc>
        <w:tc>
          <w:tcPr>
            <w:tcW w:w="2480" w:type="dxa"/>
            <w:vAlign w:val="bottom"/>
            <w:gridSpan w:val="2"/>
          </w:tcPr>
          <w:p>
            <w:pPr>
              <w:jc w:val="right"/>
              <w:ind w:right="72"/>
              <w:spacing w:after="0"/>
              <w:rPr>
                <w:sz w:val="20"/>
                <w:szCs w:val="20"/>
                <w:color w:val="auto"/>
              </w:rPr>
            </w:pPr>
            <w:r>
              <w:rPr>
                <w:rFonts w:ascii="Arial" w:cs="Arial" w:eastAsia="Arial" w:hAnsi="Arial"/>
                <w:sz w:val="18"/>
                <w:szCs w:val="18"/>
                <w:color w:val="auto"/>
              </w:rPr>
              <w:t>0.04</w:t>
            </w:r>
          </w:p>
        </w:tc>
        <w:tc>
          <w:tcPr>
            <w:tcW w:w="4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18"/>
                <w:szCs w:val="18"/>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w:t>
            </w:r>
          </w:p>
        </w:tc>
        <w:tc>
          <w:tcPr>
            <w:tcW w:w="2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$ 344,378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2"/>
              </w:rPr>
              <w:t>353,330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2"/>
              </w:rPr>
              <w:t>347,759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371,964</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80" w:type="dxa"/>
            <w:vAlign w:val="bottom"/>
            <w:gridSpan w:val="2"/>
          </w:tcPr>
          <w:p>
            <w:pPr>
              <w:jc w:val="right"/>
              <w:ind w:right="72"/>
              <w:spacing w:after="0"/>
              <w:rPr>
                <w:sz w:val="20"/>
                <w:szCs w:val="20"/>
                <w:color w:val="auto"/>
              </w:rPr>
            </w:pPr>
            <w:r>
              <w:rPr>
                <w:rFonts w:ascii="Arial" w:cs="Arial" w:eastAsia="Arial" w:hAnsi="Arial"/>
                <w:sz w:val="18"/>
                <w:szCs w:val="18"/>
                <w:color w:val="auto"/>
              </w:rPr>
              <w:t>9,414</w:t>
            </w:r>
          </w:p>
        </w:tc>
        <w:tc>
          <w:tcPr>
            <w:tcW w:w="4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13,826</w:t>
            </w:r>
          </w:p>
        </w:tc>
        <w:tc>
          <w:tcPr>
            <w:tcW w:w="320" w:type="dxa"/>
            <w:vAlign w:val="bottom"/>
          </w:tcPr>
          <w:p>
            <w:pPr>
              <w:spacing w:after="0"/>
              <w:rPr>
                <w:sz w:val="18"/>
                <w:szCs w:val="18"/>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10,385</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7,494</w:t>
            </w: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2,519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4,920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9,944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 attributable to ViaSat, Inc.</w:t>
            </w:r>
          </w:p>
        </w:tc>
        <w:tc>
          <w:tcPr>
            <w:tcW w:w="2480" w:type="dxa"/>
            <w:vAlign w:val="bottom"/>
            <w:gridSpan w:val="2"/>
          </w:tcPr>
          <w:p>
            <w:pPr>
              <w:jc w:val="right"/>
              <w:ind w:right="72"/>
              <w:spacing w:after="0"/>
              <w:rPr>
                <w:sz w:val="20"/>
                <w:szCs w:val="20"/>
                <w:color w:val="auto"/>
              </w:rPr>
            </w:pPr>
            <w:r>
              <w:rPr>
                <w:rFonts w:ascii="Arial" w:cs="Arial" w:eastAsia="Arial" w:hAnsi="Arial"/>
                <w:sz w:val="18"/>
                <w:szCs w:val="18"/>
                <w:color w:val="auto"/>
              </w:rPr>
              <w:t>2,608</w:t>
            </w:r>
          </w:p>
        </w:tc>
        <w:tc>
          <w:tcPr>
            <w:tcW w:w="4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4,936</w:t>
            </w:r>
          </w:p>
        </w:tc>
        <w:tc>
          <w:tcPr>
            <w:tcW w:w="320" w:type="dxa"/>
            <w:vAlign w:val="bottom"/>
          </w:tcPr>
          <w:p>
            <w:pPr>
              <w:spacing w:after="0"/>
              <w:rPr>
                <w:sz w:val="18"/>
                <w:szCs w:val="18"/>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9,747</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4,450</w:t>
            </w: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attributable to ViaSat, Inc.</w:t>
            </w:r>
          </w:p>
        </w:tc>
        <w:tc>
          <w:tcPr>
            <w:tcW w:w="2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0.05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Diluted net income per share attributable to ViaSat, Inc.</w:t>
            </w:r>
          </w:p>
        </w:tc>
        <w:tc>
          <w:tcPr>
            <w:tcW w:w="2480" w:type="dxa"/>
            <w:vAlign w:val="bottom"/>
            <w:gridSpan w:val="2"/>
          </w:tcPr>
          <w:p>
            <w:pPr>
              <w:jc w:val="right"/>
              <w:ind w:right="72"/>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Summarized quarterly data reflects product revenue recognized with respect to amounts realized under the Settlement Agreement of approximately $6.7 million for each quarter of fiscal year 2017. Summarized quarterly data reflects product revenue recognized with respect to amounts realized under the Settlement Agreement of approximately $6.0 million for each quarter of fiscal year 2016. As of March 31, 2017, all payments pursuant to the Settlement Agreement have been recorded and no further impacts to our consolidated financial statements are anticipated related to the Settlement Agreement. Refer to Note 13 to the consolidated financial statements for discussion of the Settlement Agreement. In addition, summarized quarterly data for the fourth quarter of fiscal year 2017 reflects (under income from operations and net income) $11.4 million of uncharacterized damages and $0.4 million of penalties, and (under net income attributable to ViaSat, Inc.) approximately $4.0 million, net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tax, related to the impact of the loss contingency, in each case accrued in SG&amp;A expenses in our government systems segment in connection with the False Claims Act civil investigation related to our 52% majority-owned subsidiary TrellisWare. The TrellisWare False Claims Act civil investigation also resulted in a $0.07 per share impact to basic and diluted net income per share attributable to ViaSat Inc. in the fourth quarter of fiscal year 2017. Refer to Note 13 to the consolidated financial statements for further discussion of the TrellisWare False Claims Act civil investigation.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Basic and diluted net income per share are computed independently for each of the quarters presented. Therefore, the sum of quarterly basic and diluted per share information may not equal annual basic and diluted net income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2017, the end of the period covered by this report. Based upon the foregoing, our Chief Executive Officer and Chief Financial Officer concluded that our disclosure controls and procedures were effective at a reasonable assurance level as of March 31,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Based on this evaluation, the company’s management concluded that its internal control over financial reporting was effective as of March 31, 2017.</w:t>
      </w:r>
    </w:p>
    <w:p>
      <w:pPr>
        <w:spacing w:after="0" w:line="10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2017, as stated in their report which appears on page F-1.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2017,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2017 Annual Meeting of Stockholders (the Proxy Statement) under the headings “Corporate Governance Principles and Board Matters,” “Election of Directors” and “Ownership of Securities,” and is incorporated herein by reference.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right="146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following documents are filed as part of this report:</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tab/>
        <w:t>Consolidated Financial Statements</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9960" w:type="dxa"/>
            <w:vAlign w:val="bottom"/>
            <w:gridSpan w:val="10"/>
            <w:vMerge w:val="restart"/>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9960" w:type="dxa"/>
            <w:vAlign w:val="bottom"/>
            <w:gridSpan w:val="10"/>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9960" w:type="dxa"/>
            <w:vAlign w:val="bottom"/>
            <w:gridSpan w:val="1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Balance Sheets as of March 31, 2017 and March 31, 2016</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Consolidated Statements of Operations and Comprehensive Income for the fiscal years ended March 31, 2017, March 31, 2016 and</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April 3, 2015</w:t>
              </w:r>
            </w:hyperlink>
          </w:p>
        </w:tc>
        <w:tc>
          <w:tcPr>
            <w:tcW w:w="70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Consolidated Statements of Cash Flows for the fiscal years ended March 31, 2017, March 31, 2016 and April 3, 2015</w:t>
              </w:r>
            </w:hyperlink>
          </w:p>
        </w:tc>
        <w:tc>
          <w:tcPr>
            <w:tcW w:w="166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9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Equity for the fiscal years ended March 31, 2017, March 31, 2016 and April 3, 2015</w:t>
              </w:r>
            </w:hyperlink>
          </w:p>
        </w:tc>
        <w:tc>
          <w:tcPr>
            <w:tcW w:w="202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the Consolidated Financial Statements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1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(2)  </w:t>
            </w:r>
            <w:hyperlink w:anchor="page128">
              <w:r>
                <w:rPr>
                  <w:rFonts w:ascii="Arial" w:cs="Arial" w:eastAsia="Arial" w:hAnsi="Arial"/>
                  <w:sz w:val="18"/>
                  <w:szCs w:val="18"/>
                  <w:color w:val="0000EE"/>
                </w:rPr>
                <w:t>Schedule II — Valuation and Qualifying Accounts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113"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 Index on page 78 is incorporated herein by reference as the list of exhibits required as part of this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2017</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Shawn Duffy,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6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424"/>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w w:val="99"/>
              </w:rPr>
              <w:t>Chairman of the Board and</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190"/>
        </w:trPr>
        <w:tc>
          <w:tcPr>
            <w:tcW w:w="2480" w:type="dxa"/>
            <w:vAlign w:val="bottom"/>
            <w:gridSpan w:val="2"/>
          </w:tcPr>
          <w:p>
            <w:pPr>
              <w:spacing w:after="0" w:line="190" w:lineRule="exact"/>
              <w:rPr>
                <w:sz w:val="20"/>
                <w:szCs w:val="20"/>
                <w:color w:val="auto"/>
              </w:rPr>
            </w:pPr>
            <w:r>
              <w:rPr>
                <w:rFonts w:ascii="Arial" w:cs="Arial" w:eastAsia="Arial" w:hAnsi="Arial"/>
                <w:sz w:val="18"/>
                <w:szCs w:val="18"/>
                <w:color w:val="auto"/>
              </w:rPr>
              <w:t>Mark Dankberg</w:t>
            </w:r>
          </w:p>
        </w:tc>
        <w:tc>
          <w:tcPr>
            <w:tcW w:w="1860" w:type="dxa"/>
            <w:vAlign w:val="bottom"/>
          </w:tcPr>
          <w:p>
            <w:pPr>
              <w:spacing w:after="0"/>
              <w:rPr>
                <w:sz w:val="16"/>
                <w:szCs w:val="16"/>
                <w:color w:val="auto"/>
              </w:rPr>
            </w:pPr>
          </w:p>
        </w:tc>
        <w:tc>
          <w:tcPr>
            <w:tcW w:w="442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Chief Executive Officer</w:t>
            </w: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6"/>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SHAWN DUFFY</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190"/>
        </w:trPr>
        <w:tc>
          <w:tcPr>
            <w:tcW w:w="2480" w:type="dxa"/>
            <w:vAlign w:val="bottom"/>
            <w:gridSpan w:val="2"/>
          </w:tcPr>
          <w:p>
            <w:pPr>
              <w:spacing w:after="0" w:line="190" w:lineRule="exact"/>
              <w:rPr>
                <w:sz w:val="20"/>
                <w:szCs w:val="20"/>
                <w:color w:val="auto"/>
              </w:rPr>
            </w:pPr>
            <w:r>
              <w:rPr>
                <w:rFonts w:ascii="Arial" w:cs="Arial" w:eastAsia="Arial" w:hAnsi="Arial"/>
                <w:sz w:val="18"/>
                <w:szCs w:val="18"/>
                <w:color w:val="auto"/>
              </w:rPr>
              <w:t>Shawn Duffy</w:t>
            </w:r>
          </w:p>
        </w:tc>
        <w:tc>
          <w:tcPr>
            <w:tcW w:w="1860" w:type="dxa"/>
            <w:vAlign w:val="bottom"/>
          </w:tcPr>
          <w:p>
            <w:pPr>
              <w:spacing w:after="0"/>
              <w:rPr>
                <w:sz w:val="16"/>
                <w:szCs w:val="16"/>
                <w:color w:val="auto"/>
              </w:rPr>
            </w:pPr>
          </w:p>
        </w:tc>
        <w:tc>
          <w:tcPr>
            <w:tcW w:w="442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Chief Financial Officer</w:t>
            </w: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7"/>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RICK BALDRIDGE</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 President and Chief Operating Officer</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Rick Baldridge</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J. BIONDI, JR.</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JOHNSON</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ALLEN LAY</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Allen Lay</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NASH</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STENBIT</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HARVEY WHITE</w:t>
            </w:r>
          </w:p>
        </w:tc>
        <w:tc>
          <w:tcPr>
            <w:tcW w:w="1860" w:type="dxa"/>
            <w:vAlign w:val="bottom"/>
            <w:tcBorders>
              <w:bottom w:val="single" w:sz="8" w:color="auto"/>
            </w:tcBorders>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w w:val="95"/>
              </w:rPr>
              <w:t>May 24, 2017</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70"/>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gridSpan w:val="2"/>
          </w:tcPr>
          <w:p>
            <w:pPr>
              <w:jc w:val="right"/>
              <w:ind w:right="852"/>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462"/>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40" w:type="dxa"/>
            <w:vAlign w:val="bottom"/>
          </w:tcPr>
          <w:p>
            <w:pPr>
              <w:spacing w:after="0"/>
              <w:rPr>
                <w:sz w:val="24"/>
                <w:szCs w:val="24"/>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40" w:type="dxa"/>
            <w:vAlign w:val="bottom"/>
          </w:tcPr>
          <w:p>
            <w:pPr>
              <w:ind w:left="246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Second Amended and Restated Certificate of Incorporation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Second Amended and Restated Bylaws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4"/>
              </w:rPr>
              <w:t>Indenture dated as of February 27, 2012 by and among ViaSat, Inc., Wilmington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Trust, National Association, as trustee, and the guarantors party thereto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1"/>
              </w:rPr>
              <w:t>Form of 6.875% Senior Note due 2020 of ViaSat, Inc. (attached as Exhibit A to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Indenture filed as Exhibit 4.2 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Form of Indemnification Agreement between ViaSat, Inc. and each of its directors</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and officers</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ViaSat, Inc. Employee Stock Purchase Plan (as Amended and Restated Effective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September 16, 2015)</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1"/>
              </w:rPr>
              <w:t>1996 Equity Participation Plan of ViaSat, Inc. (As Amended and Restated Effective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September 16, 2015)</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Form of Stock Option Agreement for the 1996 Equity Participation Plan of ViaSat,</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Form of Restricted Stock Unit Award Agreement for the 1996 Equity Participation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Plan of ViaSat, Inc.—Global</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Form of Restricted Stock Unit Award Agreement for the 1996 Equity Participation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Plan of ViaSat, Inc.—Independent Director</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Form of Restricted Stock Unit Award Agreement for the 1996 Equity Participation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Plan of ViaSat, Inc.—Executive</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0"/>
              </w:rPr>
              <w:t>Form of Change in Control Severance Agreement between ViaSat, Inc. and each of</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its executive officers</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89"/>
              </w:rPr>
              <w:t>Credit Agreement dated as of November 26, 2013, by and among ViaSat, Inc., Union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Bank, N.A. (as agent) and the other lenders party thereto</w:t>
            </w:r>
          </w:p>
        </w:tc>
      </w:tr>
      <w:tr>
        <w:trPr>
          <w:trHeight w:val="318"/>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10.9.1</w:t>
            </w:r>
          </w:p>
        </w:tc>
        <w:tc>
          <w:tcPr>
            <w:tcW w:w="6040" w:type="dxa"/>
            <w:vAlign w:val="bottom"/>
          </w:tcPr>
          <w:p>
            <w:pPr>
              <w:spacing w:after="0"/>
              <w:rPr>
                <w:sz w:val="20"/>
                <w:szCs w:val="20"/>
                <w:color w:val="auto"/>
              </w:rPr>
            </w:pPr>
            <w:r>
              <w:rPr>
                <w:rFonts w:ascii="Arial" w:cs="Arial" w:eastAsia="Arial" w:hAnsi="Arial"/>
                <w:sz w:val="18"/>
                <w:szCs w:val="18"/>
                <w:color w:val="auto"/>
                <w:w w:val="96"/>
              </w:rPr>
              <w:t>First Amendment to Credit Agreement and Other Loan Documents dated as of</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March 12, 2015, by and among ViaSat, Inc., Union Bank, N.A. (as agent) and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lenders party thereto</w:t>
            </w:r>
          </w:p>
        </w:tc>
      </w:tr>
      <w:tr>
        <w:trPr>
          <w:trHeight w:val="36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tcPr>
          <w:p>
            <w:pPr>
              <w:ind w:left="4700"/>
              <w:spacing w:after="0"/>
              <w:rPr>
                <w:sz w:val="20"/>
                <w:szCs w:val="20"/>
                <w:color w:val="auto"/>
              </w:rPr>
            </w:pPr>
            <w:r>
              <w:rPr>
                <w:rFonts w:ascii="Arial" w:cs="Arial" w:eastAsia="Arial" w:hAnsi="Arial"/>
                <w:sz w:val="18"/>
                <w:szCs w:val="18"/>
                <w:color w:val="auto"/>
              </w:rPr>
              <w:t>78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1266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2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302"/>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10-Q</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11/14/2000</w:t>
            </w:r>
          </w:p>
        </w:tc>
      </w:tr>
      <w:tr>
        <w:trPr>
          <w:trHeight w:val="324"/>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12/04/2012</w:t>
            </w:r>
          </w:p>
        </w:tc>
      </w:tr>
      <w:tr>
        <w:trPr>
          <w:trHeight w:val="324"/>
        </w:trPr>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333-13183</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11/05/1996</w:t>
            </w:r>
          </w:p>
        </w:tc>
      </w:tr>
      <w:tr>
        <w:trPr>
          <w:trHeight w:val="324"/>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02/27/2012</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02/27/2012</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03/07/2008</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09/17/2015</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09/17/2015</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05/26/2015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05/26/2015</w:t>
      </w:r>
    </w:p>
    <w:p>
      <w:pPr>
        <w:spacing w:after="0" w:line="333" w:lineRule="exact"/>
        <w:rPr>
          <w:sz w:val="20"/>
          <w:szCs w:val="20"/>
          <w:color w:val="auto"/>
        </w:rPr>
      </w:pPr>
    </w:p>
    <w:p>
      <w:pPr>
        <w:ind w:left="6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05/26/2015</w:t>
      </w:r>
    </w:p>
    <w:p>
      <w:pPr>
        <w:spacing w:after="0" w:line="333" w:lineRule="exact"/>
        <w:rPr>
          <w:sz w:val="20"/>
          <w:szCs w:val="20"/>
          <w:color w:val="auto"/>
        </w:rPr>
      </w:pPr>
    </w:p>
    <w:p>
      <w:pPr>
        <w:ind w:left="10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08/04/2010</w:t>
      </w:r>
    </w:p>
    <w:p>
      <w:pPr>
        <w:spacing w:after="0" w:line="333" w:lineRule="exact"/>
        <w:rPr>
          <w:sz w:val="20"/>
          <w:szCs w:val="20"/>
          <w:color w:val="auto"/>
        </w:rPr>
      </w:pPr>
    </w:p>
    <w:p>
      <w:pPr>
        <w:ind w:left="10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11/26/2013</w:t>
      </w:r>
    </w:p>
    <w:p>
      <w:pPr>
        <w:spacing w:after="0" w:line="333" w:lineRule="exact"/>
        <w:rPr>
          <w:sz w:val="20"/>
          <w:szCs w:val="20"/>
          <w:color w:val="auto"/>
        </w:rPr>
      </w:pPr>
    </w:p>
    <w:p>
      <w:pPr>
        <w:ind w:left="10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03/13/2015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2" w:lineRule="exact"/>
        <w:rPr>
          <w:sz w:val="20"/>
          <w:szCs w:val="20"/>
          <w:color w:val="auto"/>
        </w:rPr>
      </w:pPr>
    </w:p>
    <w:p>
      <w:pPr>
        <w:ind w:left="40" w:hanging="27"/>
        <w:spacing w:after="0" w:line="297" w:lineRule="auto"/>
        <w:rPr>
          <w:sz w:val="20"/>
          <w:szCs w:val="20"/>
          <w:color w:val="auto"/>
        </w:rPr>
      </w:pPr>
      <w:r>
        <w:rPr>
          <w:rFonts w:ascii="Arial" w:cs="Arial" w:eastAsia="Arial" w:hAnsi="Arial"/>
          <w:sz w:val="12"/>
          <w:szCs w:val="12"/>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-28575</wp:posOffset>
            </wp:positionV>
            <wp:extent cx="4286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960" w:space="220"/>
            <w:col w:w="3340" w:space="260"/>
            <w:col w:w="60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5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5580" w:type="dxa"/>
            <w:vAlign w:val="bottom"/>
          </w:tcPr>
          <w:p>
            <w:pPr>
              <w:ind w:left="22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1160" w:type="dxa"/>
            <w:vAlign w:val="bottom"/>
            <w:gridSpan w:val="2"/>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283"/>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10.9.2</w:t>
            </w:r>
          </w:p>
        </w:tc>
        <w:tc>
          <w:tcPr>
            <w:tcW w:w="5580" w:type="dxa"/>
            <w:vAlign w:val="bottom"/>
          </w:tcPr>
          <w:p>
            <w:pPr>
              <w:spacing w:after="0"/>
              <w:rPr>
                <w:sz w:val="20"/>
                <w:szCs w:val="20"/>
                <w:color w:val="auto"/>
              </w:rPr>
            </w:pPr>
            <w:r>
              <w:rPr>
                <w:rFonts w:ascii="Arial" w:cs="Arial" w:eastAsia="Arial" w:hAnsi="Arial"/>
                <w:sz w:val="18"/>
                <w:szCs w:val="18"/>
                <w:color w:val="auto"/>
                <w:w w:val="88"/>
              </w:rPr>
              <w:t>Second Amendment to Credit Agreement and Other Loan Documents dated as</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4"/>
              </w:rPr>
              <w:t>of May 24, 2016, by and among ViaSat, Inc., MUFG Union Bank, N.A. (as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agent) and the other lenders party thereto</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10.10</w:t>
            </w:r>
          </w:p>
        </w:tc>
        <w:tc>
          <w:tcPr>
            <w:tcW w:w="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Credit Agreement dated as of March 12, 2015, by and among ViaSat</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Technologies Limited, ViaSat, Inc., JPMorgan Chase Bank, National</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9"/>
              </w:rPr>
              <w:t>Association (as Ex-Im facility agent) and the Export-Import Bank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10.10.1</w:t>
            </w:r>
          </w:p>
        </w:tc>
        <w:tc>
          <w:tcPr>
            <w:tcW w:w="5580" w:type="dxa"/>
            <w:vAlign w:val="bottom"/>
          </w:tcPr>
          <w:p>
            <w:pPr>
              <w:spacing w:after="0"/>
              <w:rPr>
                <w:sz w:val="20"/>
                <w:szCs w:val="20"/>
                <w:color w:val="auto"/>
              </w:rPr>
            </w:pPr>
            <w:r>
              <w:rPr>
                <w:rFonts w:ascii="Arial" w:cs="Arial" w:eastAsia="Arial" w:hAnsi="Arial"/>
                <w:sz w:val="18"/>
                <w:szCs w:val="18"/>
                <w:color w:val="auto"/>
                <w:w w:val="94"/>
              </w:rPr>
              <w:t>First Amendment to Credit Agreement, dated as of June 12, 2015, by and</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4"/>
              </w:rPr>
              <w:t>among ViaSat Technologies Limited, ViaSat, Inc., JPMorgan Chase Bank,</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1"/>
              </w:rPr>
              <w:t>National Association (as Ex-Im Facility Agent) and the Export-Import Bank of</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 United States</w:t>
            </w: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10.10.2</w:t>
            </w:r>
          </w:p>
        </w:tc>
        <w:tc>
          <w:tcPr>
            <w:tcW w:w="5580" w:type="dxa"/>
            <w:vAlign w:val="bottom"/>
          </w:tcPr>
          <w:p>
            <w:pPr>
              <w:spacing w:after="0"/>
              <w:rPr>
                <w:sz w:val="20"/>
                <w:szCs w:val="20"/>
                <w:color w:val="auto"/>
              </w:rPr>
            </w:pPr>
            <w:r>
              <w:rPr>
                <w:rFonts w:ascii="Arial" w:cs="Arial" w:eastAsia="Arial" w:hAnsi="Arial"/>
                <w:sz w:val="18"/>
                <w:szCs w:val="18"/>
                <w:color w:val="auto"/>
                <w:w w:val="91"/>
              </w:rPr>
              <w:t>Second Amendment Agreement, dated as of March 23, 2016, by and among</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2"/>
              </w:rPr>
              <w:t>ViaSat Technologies Limited, ViaSat, Inc., JPMorgan Chase Bank, National</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7"/>
              </w:rPr>
              <w:t>Association (as Ex-Im Facility Agent) and the Export-Import Bank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10.10.3</w:t>
            </w:r>
          </w:p>
        </w:tc>
        <w:tc>
          <w:tcPr>
            <w:tcW w:w="5580" w:type="dxa"/>
            <w:vAlign w:val="bottom"/>
          </w:tcPr>
          <w:p>
            <w:pPr>
              <w:spacing w:after="0"/>
              <w:rPr>
                <w:sz w:val="20"/>
                <w:szCs w:val="20"/>
                <w:color w:val="auto"/>
              </w:rPr>
            </w:pPr>
            <w:r>
              <w:rPr>
                <w:rFonts w:ascii="Arial" w:cs="Arial" w:eastAsia="Arial" w:hAnsi="Arial"/>
                <w:sz w:val="18"/>
                <w:szCs w:val="18"/>
                <w:color w:val="auto"/>
                <w:w w:val="92"/>
              </w:rPr>
              <w:t>Third Amendment Agreement, dated as of October 11, 2016, by and among</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2"/>
              </w:rPr>
              <w:t>ViaSat Technologies Limited, ViaSat, Inc., JPMorgan Chase Bank, National</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7"/>
              </w:rPr>
              <w:t>Association (as Ex-Im Facility Agent) and the Export-Import Bank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5580" w:type="dxa"/>
            <w:vAlign w:val="bottom"/>
          </w:tcPr>
          <w:p>
            <w:pPr>
              <w:spacing w:after="0"/>
              <w:rPr>
                <w:sz w:val="20"/>
                <w:szCs w:val="20"/>
                <w:color w:val="auto"/>
              </w:rPr>
            </w:pPr>
            <w:r>
              <w:rPr>
                <w:rFonts w:ascii="Arial" w:cs="Arial" w:eastAsia="Arial" w:hAnsi="Arial"/>
                <w:sz w:val="18"/>
                <w:szCs w:val="18"/>
                <w:color w:val="auto"/>
                <w:w w:val="92"/>
              </w:rPr>
              <w:t>Award/Contract dated March 10, 2010 between ViaSat, Inc. and Space and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Naval Warfare Systems</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21.1</w:t>
            </w:r>
          </w:p>
        </w:tc>
        <w:tc>
          <w:tcPr>
            <w:tcW w:w="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Subsidiaries</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4"/>
              </w:rPr>
              <w:t>Consent of PricewaterhouseCoopers LLP, Independent Registered Public</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Accounting Firm</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3"/>
              </w:rPr>
              <w:t>Certification Pursuant to Section 302 of the Sarbanes-Oxley Act of 2002 of</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3"/>
              </w:rPr>
              <w:t>Certification Pursuant to Section 302 of the Sarbanes-Oxley Act of 2002 of</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3"/>
              </w:rPr>
              <w:t>Certifications Pursuant to 18 U.S.C. Section 1350, as Adopted Pursuant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365"/>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0"/>
              </w:rPr>
              <w:t>Incorporated by Reference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Filed or</w:t>
            </w:r>
          </w:p>
        </w:tc>
        <w:tc>
          <w:tcPr>
            <w:tcW w:w="0" w:type="dxa"/>
            <w:vAlign w:val="bottom"/>
          </w:tcPr>
          <w:p>
            <w:pPr>
              <w:spacing w:after="0"/>
              <w:rPr>
                <w:sz w:val="1"/>
                <w:szCs w:val="1"/>
                <w:color w:val="auto"/>
              </w:rPr>
            </w:pPr>
          </w:p>
        </w:tc>
      </w:tr>
      <w:tr>
        <w:trPr>
          <w:trHeight w:val="67"/>
        </w:trPr>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gridSpan w:val="4"/>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62"/>
        </w:trPr>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220" w:type="dxa"/>
            <w:vAlign w:val="bottom"/>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02"/>
        </w:trPr>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05/24/2016</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03/13/2015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08/10/2015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03/24/2016</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10/12/2016</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10-K/A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08/03/2010</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740" w:space="220"/>
            <w:col w:w="446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Filed or</w:t>
            </w:r>
          </w:p>
        </w:tc>
        <w:tc>
          <w:tcPr>
            <w:tcW w:w="0" w:type="dxa"/>
            <w:vAlign w:val="bottom"/>
          </w:tcPr>
          <w:p>
            <w:pPr>
              <w:spacing w:after="0"/>
              <w:rPr>
                <w:sz w:val="1"/>
                <w:szCs w:val="1"/>
                <w:color w:val="auto"/>
              </w:rPr>
            </w:pPr>
          </w:p>
        </w:tc>
      </w:tr>
      <w:tr>
        <w:trPr>
          <w:trHeight w:val="67"/>
        </w:trPr>
        <w:tc>
          <w:tcPr>
            <w:tcW w:w="10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gridSpan w:val="4"/>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48"/>
        </w:trPr>
        <w:tc>
          <w:tcPr>
            <w:tcW w:w="10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80" w:type="dxa"/>
            <w:vAlign w:val="bottom"/>
            <w:gridSpan w:val="2"/>
          </w:tcPr>
          <w:p>
            <w:pPr>
              <w:ind w:left="2040"/>
              <w:spacing w:after="0" w:line="129" w:lineRule="exact"/>
              <w:rPr>
                <w:sz w:val="20"/>
                <w:szCs w:val="20"/>
                <w:color w:val="auto"/>
              </w:rPr>
            </w:pPr>
            <w:r>
              <w:rPr>
                <w:rFonts w:ascii="Arial" w:cs="Arial" w:eastAsia="Arial" w:hAnsi="Arial"/>
                <w:sz w:val="14"/>
                <w:szCs w:val="14"/>
                <w:b w:val="1"/>
                <w:bCs w:val="1"/>
                <w:color w:val="auto"/>
              </w:rPr>
              <w:t>Exhibit Description</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Form</w:t>
            </w:r>
          </w:p>
        </w:tc>
        <w:tc>
          <w:tcPr>
            <w:tcW w:w="9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File No.</w:t>
            </w: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Filing Date</w:t>
            </w:r>
          </w:p>
        </w:tc>
        <w:tc>
          <w:tcPr>
            <w:tcW w:w="480" w:type="dxa"/>
            <w:vAlign w:val="bottom"/>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Schema</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Definition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Labels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compensatory plan or arrangement.</w:t>
      </w:r>
    </w:p>
    <w:p>
      <w:pPr>
        <w:spacing w:after="0" w:line="15" w:lineRule="exact"/>
        <w:rPr>
          <w:sz w:val="20"/>
          <w:szCs w:val="20"/>
          <w:color w:val="auto"/>
        </w:rPr>
      </w:pPr>
    </w:p>
    <w:p>
      <w:pPr>
        <w:ind w:left="220" w:right="280" w:hanging="212"/>
        <w:spacing w:after="0" w:line="261"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ViaSat, Inc.:</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ViaSat, Inc. and its subsidiaries at March 31, 2017 and 2016, and the results of their operations and their cash flows for each of the three years in the period ended March 31, 2017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31,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(In thousands, except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263,721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521,556</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Satellites, net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1,108,270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898,197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529,366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340,005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2,954,653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2,397,312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326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100,270</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325,517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279,989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273,103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1,216,722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1,262,888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12 and 13)</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w w:val="93"/>
              </w:rPr>
              <w:t>Preferred stock, $.0001 par value; 5,000,000 shares authorized; no shares issued and outstanding at March 31, 2017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rPr>
              <w:t>and 2016, respectively</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57,600,609 and 48,926,417 shares outstanding at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2017 and 2016, respectively</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1,439,645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855,387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1,734,618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Noncontrolling interest in subsidiaries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1,737,931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1,134,424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2,954,653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2,397,312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Fiscal Years Ended</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2017</w:t>
            </w:r>
          </w:p>
        </w:tc>
        <w:tc>
          <w:tcPr>
            <w:tcW w:w="3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2016</w:t>
            </w: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April 3,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6"/>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713,936</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664,821</w:t>
            </w:r>
          </w:p>
        </w:tc>
        <w:tc>
          <w:tcPr>
            <w:tcW w:w="6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845,401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752,610</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1,559,337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1,417,431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1,382,535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524,026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489,246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524,949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495,099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333,468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298,345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129,647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(12,083)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(25,748)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(4,173)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Less: net (loss) income attributable to noncontrolling interests, net of tax</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attributable to ViaSat, Inc. common stockholders: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0.45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0.44</w:t>
            </w:r>
          </w:p>
        </w:tc>
        <w:tc>
          <w:tcPr>
            <w:tcW w:w="6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used in computing basic net income per share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Shares used in computing diluted net income per share</w:t>
            </w:r>
          </w:p>
        </w:tc>
        <w:tc>
          <w:tcPr>
            <w:tcW w:w="1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53,396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49,445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21,767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21,770</w:t>
            </w:r>
          </w:p>
        </w:tc>
        <w:tc>
          <w:tcPr>
            <w:tcW w:w="6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Unrealized (loss) gain on hedging, net of tax</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 net of tax</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(2,511)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21,630</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Less: comprehensive (loss) income attributable to noncontrolling interests, net of tax</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attributable to ViaSat, Inc.</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Fiscal Years Ended</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2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2017</w:t>
            </w:r>
          </w:p>
        </w:tc>
        <w:tc>
          <w:tcPr>
            <w:tcW w:w="4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2016</w:t>
            </w: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3, 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440"/>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21,767</w:t>
            </w:r>
          </w:p>
        </w:tc>
        <w:tc>
          <w:tcPr>
            <w:tcW w:w="7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21,770</w:t>
            </w:r>
          </w:p>
        </w:tc>
        <w:tc>
          <w:tcPr>
            <w:tcW w:w="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39,891</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Adjustments to reconcile net income to net cash provided by operating activities:</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200,686</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193,086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179,542</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Amortization of intangible assets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45,236</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48,990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41,891</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(218)</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(5,003)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12,420</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55,775</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47,510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39,353</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Loss on disposition of fixed assets</w:t>
            </w:r>
          </w:p>
        </w:tc>
        <w:tc>
          <w:tcPr>
            <w:tcW w:w="2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35,431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33,960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31,997</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non-cash adjustments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10,018</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8,957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4,778</w:t>
            </w:r>
          </w:p>
        </w:tc>
        <w:tc>
          <w:tcPr>
            <w:tcW w:w="0" w:type="dxa"/>
            <w:vAlign w:val="bottom"/>
          </w:tcPr>
          <w:p>
            <w:pPr>
              <w:spacing w:after="0"/>
              <w:rPr>
                <w:sz w:val="1"/>
                <w:szCs w:val="1"/>
                <w:color w:val="auto"/>
              </w:rPr>
            </w:pPr>
          </w:p>
        </w:tc>
      </w:tr>
      <w:tr>
        <w:trPr>
          <w:trHeight w:val="138"/>
        </w:trPr>
        <w:tc>
          <w:tcPr>
            <w:tcW w:w="7200" w:type="dxa"/>
            <w:vAlign w:val="bottom"/>
          </w:tcPr>
          <w:p>
            <w:pPr>
              <w:ind w:left="440"/>
              <w:spacing w:after="0" w:line="138" w:lineRule="exact"/>
              <w:rPr>
                <w:sz w:val="20"/>
                <w:szCs w:val="20"/>
                <w:color w:val="auto"/>
              </w:rPr>
            </w:pPr>
            <w:r>
              <w:rPr>
                <w:rFonts w:ascii="Arial" w:cs="Arial" w:eastAsia="Arial" w:hAnsi="Arial"/>
                <w:sz w:val="14"/>
                <w:szCs w:val="14"/>
                <w:color w:val="auto"/>
              </w:rPr>
              <w:t>Increase (decrease) in cash resulting from changes in operating assets and liabilities, net of effects of</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0" w:type="dxa"/>
            <w:vAlign w:val="bottom"/>
          </w:tcPr>
          <w:p>
            <w:pPr>
              <w:ind w:left="660"/>
              <w:spacing w:after="0" w:line="159" w:lineRule="exact"/>
              <w:rPr>
                <w:sz w:val="20"/>
                <w:szCs w:val="20"/>
                <w:color w:val="auto"/>
              </w:rPr>
            </w:pPr>
            <w:r>
              <w:rPr>
                <w:rFonts w:ascii="Arial" w:cs="Arial" w:eastAsia="Arial" w:hAnsi="Arial"/>
                <w:sz w:val="14"/>
                <w:szCs w:val="14"/>
                <w:color w:val="auto"/>
              </w:rPr>
              <w:t>acquisitions: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16,071</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(26,342)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(12,386)</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(26,749)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(15,259)</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(3,335)</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(16,328)</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972</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5,250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48,039</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20,017</w:t>
            </w:r>
          </w:p>
        </w:tc>
        <w:tc>
          <w:tcPr>
            <w:tcW w:w="0" w:type="dxa"/>
            <w:vAlign w:val="bottom"/>
          </w:tcPr>
          <w:p>
            <w:pPr>
              <w:spacing w:after="0"/>
              <w:rPr>
                <w:sz w:val="1"/>
                <w:szCs w:val="1"/>
                <w:color w:val="auto"/>
              </w:rPr>
            </w:pPr>
          </w:p>
        </w:tc>
      </w:tr>
      <w:tr>
        <w:trPr>
          <w:trHeight w:val="156"/>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5,166</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(820)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(7,435)</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411,298</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296,937</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349,516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Purchase of property, equipment and satellites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(514,692)</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(377,894)</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(366,492)</w:t>
            </w:r>
          </w:p>
        </w:tc>
        <w:tc>
          <w:tcPr>
            <w:tcW w:w="0" w:type="dxa"/>
            <w:vAlign w:val="bottom"/>
          </w:tcPr>
          <w:p>
            <w:pPr>
              <w:spacing w:after="0"/>
              <w:rPr>
                <w:sz w:val="1"/>
                <w:szCs w:val="1"/>
                <w:color w:val="auto"/>
              </w:rPr>
            </w:pPr>
          </w:p>
        </w:tc>
      </w:tr>
      <w:tr>
        <w:trPr>
          <w:trHeight w:val="149"/>
        </w:trPr>
        <w:tc>
          <w:tcPr>
            <w:tcW w:w="7200" w:type="dxa"/>
            <w:vAlign w:val="bottom"/>
          </w:tcPr>
          <w:p>
            <w:pPr>
              <w:ind w:left="440"/>
              <w:spacing w:after="0" w:line="149" w:lineRule="exact"/>
              <w:rPr>
                <w:sz w:val="20"/>
                <w:szCs w:val="20"/>
                <w:color w:val="auto"/>
              </w:rPr>
            </w:pPr>
            <w:r>
              <w:rPr>
                <w:rFonts w:ascii="Arial" w:cs="Arial" w:eastAsia="Arial" w:hAnsi="Arial"/>
                <w:sz w:val="14"/>
                <w:szCs w:val="14"/>
                <w:color w:val="auto"/>
              </w:rPr>
              <w:t>Investment in unconsolidated affiliate</w:t>
            </w:r>
          </w:p>
        </w:tc>
        <w:tc>
          <w:tcPr>
            <w:tcW w:w="26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(140,378)</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paid for patents, licenses and other assets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(70,966)</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(72,731)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(52,686)</w:t>
            </w:r>
          </w:p>
        </w:tc>
        <w:tc>
          <w:tcPr>
            <w:tcW w:w="0" w:type="dxa"/>
            <w:vAlign w:val="bottom"/>
          </w:tcPr>
          <w:p>
            <w:pPr>
              <w:spacing w:after="0"/>
              <w:rPr>
                <w:sz w:val="1"/>
                <w:szCs w:val="1"/>
                <w:color w:val="auto"/>
              </w:rPr>
            </w:pPr>
          </w:p>
        </w:tc>
      </w:tr>
      <w:tr>
        <w:trPr>
          <w:trHeight w:val="149"/>
        </w:trPr>
        <w:tc>
          <w:tcPr>
            <w:tcW w:w="7200" w:type="dxa"/>
            <w:vAlign w:val="bottom"/>
          </w:tcPr>
          <w:p>
            <w:pPr>
              <w:ind w:left="440"/>
              <w:spacing w:after="0" w:line="149" w:lineRule="exact"/>
              <w:rPr>
                <w:sz w:val="20"/>
                <w:szCs w:val="20"/>
                <w:color w:val="auto"/>
              </w:rPr>
            </w:pPr>
            <w:r>
              <w:rPr>
                <w:rFonts w:ascii="Arial" w:cs="Arial" w:eastAsia="Arial" w:hAnsi="Arial"/>
                <w:sz w:val="14"/>
                <w:szCs w:val="14"/>
                <w:color w:val="auto"/>
              </w:rPr>
              <w:t>Payments related to acquisition of businesses, net of cash acquired</w:t>
            </w:r>
          </w:p>
        </w:tc>
        <w:tc>
          <w:tcPr>
            <w:tcW w:w="26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(16,528)</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(4,402)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(57,376)</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sale of real property</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27,559</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0" w:type="dxa"/>
            <w:vAlign w:val="bottom"/>
          </w:tcPr>
          <w:p>
            <w:pPr>
              <w:ind w:left="1300"/>
              <w:spacing w:after="0" w:line="155"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spacing w:after="0"/>
              <w:rPr>
                <w:sz w:val="13"/>
                <w:szCs w:val="13"/>
                <w:color w:val="auto"/>
              </w:rPr>
            </w:pP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(715,005)</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(456,285)</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(476,554)</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revolving credit facility borrowings</w:t>
            </w:r>
          </w:p>
        </w:tc>
        <w:tc>
          <w:tcPr>
            <w:tcW w:w="2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90,000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175,000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Payments of revolving credit facility borrowings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(270,000)</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(205,000)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(245,000)</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Ex-Im credit facility borrowings, net of discount</w:t>
            </w:r>
          </w:p>
        </w:tc>
        <w:tc>
          <w:tcPr>
            <w:tcW w:w="2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77,469</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175,834</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13,914</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 of debt issuance costs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(6,677)</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(840)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(2,757)</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issuance of common stock under equity plans</w:t>
            </w:r>
          </w:p>
        </w:tc>
        <w:tc>
          <w:tcPr>
            <w:tcW w:w="2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22,403</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22,309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23,202</w:t>
            </w:r>
          </w:p>
        </w:tc>
        <w:tc>
          <w:tcPr>
            <w:tcW w:w="0" w:type="dxa"/>
            <w:vAlign w:val="bottom"/>
          </w:tcPr>
          <w:p>
            <w:pPr>
              <w:spacing w:after="0"/>
              <w:rPr>
                <w:sz w:val="1"/>
                <w:szCs w:val="1"/>
                <w:color w:val="auto"/>
              </w:rPr>
            </w:pPr>
          </w:p>
        </w:tc>
      </w:tr>
      <w:tr>
        <w:trPr>
          <w:trHeight w:val="138"/>
        </w:trPr>
        <w:tc>
          <w:tcPr>
            <w:tcW w:w="7200" w:type="dxa"/>
            <w:vAlign w:val="bottom"/>
            <w:shd w:val="clear" w:color="auto" w:fill="CCEEFF"/>
          </w:tcPr>
          <w:p>
            <w:pPr>
              <w:ind w:left="880"/>
              <w:spacing w:after="0" w:line="138" w:lineRule="exact"/>
              <w:rPr>
                <w:sz w:val="20"/>
                <w:szCs w:val="20"/>
                <w:color w:val="auto"/>
              </w:rPr>
            </w:pPr>
            <w:r>
              <w:rPr>
                <w:rFonts w:ascii="Arial" w:cs="Arial" w:eastAsia="Arial" w:hAnsi="Arial"/>
                <w:sz w:val="14"/>
                <w:szCs w:val="14"/>
                <w:color w:val="auto"/>
                <w:w w:val="99"/>
              </w:rPr>
              <w:t>Purchase of common stock in treasury (immediately retired) related to tax withholdings for stock-based</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0" w:type="dxa"/>
            <w:vAlign w:val="bottom"/>
            <w:shd w:val="clear" w:color="auto" w:fill="CCEEFF"/>
          </w:tcPr>
          <w:p>
            <w:pPr>
              <w:ind w:left="1080"/>
              <w:spacing w:after="0" w:line="159" w:lineRule="exact"/>
              <w:rPr>
                <w:sz w:val="20"/>
                <w:szCs w:val="20"/>
                <w:color w:val="auto"/>
              </w:rPr>
            </w:pPr>
            <w:r>
              <w:rPr>
                <w:rFonts w:ascii="Arial" w:cs="Arial" w:eastAsia="Arial" w:hAnsi="Arial"/>
                <w:sz w:val="14"/>
                <w:szCs w:val="14"/>
                <w:color w:val="auto"/>
              </w:rPr>
              <w:t>compensation</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(21,670)</w:t>
            </w: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(16,397)</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(14,788)</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common stock issued in public offering, net of issuance costs</w:t>
            </w:r>
          </w:p>
        </w:tc>
        <w:tc>
          <w:tcPr>
            <w:tcW w:w="2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503,061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financing activities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(1,802)</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(1,784)</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56"/>
        </w:trPr>
        <w:tc>
          <w:tcPr>
            <w:tcW w:w="720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392,784</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149,122</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121,464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(1,067)</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88,010</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(10,175)</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fiscal year</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42,088</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52,263</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fiscal year</w:t>
            </w: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130,098</w:t>
            </w:r>
          </w:p>
        </w:tc>
        <w:tc>
          <w:tcPr>
            <w:tcW w:w="70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42,088</w:t>
            </w:r>
          </w:p>
        </w:tc>
        <w:tc>
          <w:tcPr>
            <w:tcW w:w="54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52,263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information:</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440"/>
              <w:spacing w:after="0" w:line="149" w:lineRule="exact"/>
              <w:rPr>
                <w:sz w:val="20"/>
                <w:szCs w:val="20"/>
                <w:color w:val="auto"/>
              </w:rPr>
            </w:pPr>
            <w:r>
              <w:rPr>
                <w:rFonts w:ascii="Arial" w:cs="Arial" w:eastAsia="Arial" w:hAnsi="Arial"/>
                <w:sz w:val="14"/>
                <w:szCs w:val="14"/>
                <w:color w:val="auto"/>
              </w:rPr>
              <w:t>Cash paid for interest (net of amounts capitalized)</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10,094</w:t>
            </w:r>
          </w:p>
        </w:tc>
        <w:tc>
          <w:tcPr>
            <w:tcW w:w="7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21,787</w:t>
            </w:r>
          </w:p>
        </w:tc>
        <w:tc>
          <w:tcPr>
            <w:tcW w:w="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29,645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Cash paid for income taxes, net</w:t>
            </w:r>
          </w:p>
        </w:tc>
        <w:tc>
          <w:tcPr>
            <w:tcW w:w="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1,468</w:t>
            </w:r>
          </w:p>
        </w:tc>
        <w:tc>
          <w:tcPr>
            <w:tcW w:w="70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1,380</w:t>
            </w:r>
          </w:p>
        </w:tc>
        <w:tc>
          <w:tcPr>
            <w:tcW w:w="5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Issuance of stock in satisfaction of certain accrued employee compensation liabilities</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13,080</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11,609</w:t>
            </w: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10,194</w:t>
            </w:r>
          </w:p>
        </w:tc>
        <w:tc>
          <w:tcPr>
            <w:tcW w:w="0" w:type="dxa"/>
            <w:vAlign w:val="bottom"/>
          </w:tcPr>
          <w:p>
            <w:pPr>
              <w:spacing w:after="0"/>
              <w:rPr>
                <w:sz w:val="1"/>
                <w:szCs w:val="1"/>
                <w:color w:val="auto"/>
              </w:rPr>
            </w:pPr>
          </w:p>
        </w:tc>
      </w:tr>
      <w:tr>
        <w:trPr>
          <w:trHeight w:val="149"/>
        </w:trPr>
        <w:tc>
          <w:tcPr>
            <w:tcW w:w="7200" w:type="dxa"/>
            <w:vAlign w:val="bottom"/>
          </w:tcPr>
          <w:p>
            <w:pPr>
              <w:ind w:left="880"/>
              <w:spacing w:after="0" w:line="149" w:lineRule="exact"/>
              <w:rPr>
                <w:sz w:val="20"/>
                <w:szCs w:val="20"/>
                <w:color w:val="auto"/>
              </w:rPr>
            </w:pPr>
            <w:r>
              <w:rPr>
                <w:rFonts w:ascii="Arial" w:cs="Arial" w:eastAsia="Arial" w:hAnsi="Arial"/>
                <w:sz w:val="14"/>
                <w:szCs w:val="14"/>
                <w:color w:val="auto"/>
              </w:rPr>
              <w:t>Capital expenditures not paid for</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29,813</w:t>
            </w:r>
          </w:p>
        </w:tc>
        <w:tc>
          <w:tcPr>
            <w:tcW w:w="7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60,796</w:t>
            </w:r>
          </w:p>
        </w:tc>
        <w:tc>
          <w:tcPr>
            <w:tcW w:w="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Exposure fees on Ex-Im credit facility expected to be financed through Ex-Im credit facility</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8,505</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20,992</w:t>
            </w: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200" w:type="dxa"/>
            <w:vAlign w:val="bottom"/>
          </w:tcPr>
          <w:p>
            <w:pPr>
              <w:ind w:left="880"/>
              <w:spacing w:after="0"/>
              <w:rPr>
                <w:sz w:val="20"/>
                <w:szCs w:val="20"/>
                <w:color w:val="auto"/>
              </w:rPr>
            </w:pPr>
            <w:r>
              <w:rPr>
                <w:rFonts w:ascii="Arial" w:cs="Arial" w:eastAsia="Arial" w:hAnsi="Arial"/>
                <w:sz w:val="14"/>
                <w:szCs w:val="14"/>
                <w:color w:val="auto"/>
              </w:rPr>
              <w:t>Issuance of common stock in connection with acquisition</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4,988</w:t>
            </w: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8"/>
              </w:rPr>
              <w:t>ViaSat, Inc. Stockholders</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4"/>
          </w:tcPr>
          <w:p>
            <w:pPr>
              <w:jc w:val="right"/>
              <w:ind w:right="192"/>
              <w:spacing w:after="0" w:line="129"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w w:val="87"/>
              </w:rPr>
              <w:t>Common 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Held in Treasury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 in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Issued</w:t>
            </w:r>
          </w:p>
        </w:tc>
        <w:tc>
          <w:tcPr>
            <w:tcW w:w="1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7"/>
          </w:tcPr>
          <w:p>
            <w:pPr>
              <w:ind w:left="460"/>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April 4, 2014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47,419,831</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60"/>
              <w:spacing w:after="0"/>
              <w:rPr>
                <w:sz w:val="20"/>
                <w:szCs w:val="20"/>
                <w:color w:val="auto"/>
              </w:rPr>
            </w:pPr>
            <w:r>
              <w:rPr>
                <w:rFonts w:ascii="Arial" w:cs="Arial" w:eastAsia="Arial" w:hAnsi="Arial"/>
                <w:sz w:val="10"/>
                <w:szCs w:val="10"/>
                <w:color w:val="auto"/>
                <w:w w:val="71"/>
              </w:rPr>
              <w:t>5</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776,452</w:t>
            </w:r>
          </w:p>
        </w:tc>
        <w:tc>
          <w:tcPr>
            <w:tcW w:w="8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$ 211,600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(1,190,572)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4"/>
              </w:rPr>
              <w:t>(49,358)</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2,313</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5,623</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724,800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15,732</w:t>
            </w:r>
          </w:p>
        </w:tc>
        <w:tc>
          <w:tcPr>
            <w:tcW w:w="120" w:type="dxa"/>
            <w:vAlign w:val="bottom"/>
          </w:tcPr>
          <w:p>
            <w:pPr>
              <w:spacing w:after="0"/>
              <w:rPr>
                <w:sz w:val="12"/>
                <w:szCs w:val="12"/>
                <w:color w:val="auto"/>
              </w:rPr>
            </w:pP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Issuance of stock under Employee Stock Purchase Plan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7,470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40,765</w:t>
            </w:r>
          </w:p>
        </w:tc>
        <w:tc>
          <w:tcPr>
            <w:tcW w:w="120" w:type="dxa"/>
            <w:vAlign w:val="bottom"/>
          </w:tcPr>
          <w:p>
            <w:pPr>
              <w:spacing w:after="0"/>
              <w:rPr>
                <w:sz w:val="12"/>
                <w:szCs w:val="12"/>
                <w:color w:val="auto"/>
              </w:rPr>
            </w:pP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Shares issued in settlement of certain accrued employee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180,526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10,194</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Retirement of common stock held in treasury</w:t>
            </w: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(1,190,572)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(49,358)</w:t>
            </w:r>
          </w:p>
        </w:tc>
        <w:tc>
          <w:tcPr>
            <w:tcW w:w="120" w:type="dxa"/>
            <w:vAlign w:val="bottom"/>
          </w:tcPr>
          <w:p>
            <w:pPr>
              <w:spacing w:after="0"/>
              <w:rPr>
                <w:sz w:val="12"/>
                <w:szCs w:val="12"/>
                <w:color w:val="auto"/>
              </w:rPr>
            </w:pP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1,190,572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49,358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RSU awards vesting, net of shares withheld for taxes which</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have been retired</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410,560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(14,788)</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40,363</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(472)</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Balance at April 3, 2015</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47,697,413</w:t>
            </w:r>
          </w:p>
        </w:tc>
        <w:tc>
          <w:tcPr>
            <w:tcW w:w="160" w:type="dxa"/>
            <w:vAlign w:val="bottom"/>
          </w:tcPr>
          <w:p>
            <w:pPr>
              <w:spacing w:after="0"/>
              <w:rPr>
                <w:sz w:val="13"/>
                <w:szCs w:val="13"/>
                <w:color w:val="auto"/>
              </w:rPr>
            </w:pPr>
          </w:p>
        </w:tc>
        <w:tc>
          <w:tcPr>
            <w:tcW w:w="3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5</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786,467</w:t>
            </w:r>
          </w:p>
        </w:tc>
        <w:tc>
          <w:tcPr>
            <w:tcW w:w="86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w w:val="99"/>
              </w:rPr>
              <w:t>$ 251,963</w:t>
            </w: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00" w:type="dxa"/>
            <w:vAlign w:val="bottom"/>
            <w:gridSpan w:val="2"/>
          </w:tcPr>
          <w:p>
            <w:pPr>
              <w:ind w:left="20"/>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147</w:t>
            </w: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5,151</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1,043,733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432,706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13,520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w w:val="98"/>
              </w:rPr>
              <w:t>Issuance of stock under Employee Stock Purchase Plan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170,968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8,789</w:t>
            </w:r>
          </w:p>
        </w:tc>
        <w:tc>
          <w:tcPr>
            <w:tcW w:w="120" w:type="dxa"/>
            <w:vAlign w:val="bottom"/>
          </w:tcPr>
          <w:p>
            <w:pPr>
              <w:spacing w:after="0"/>
              <w:rPr>
                <w:sz w:val="12"/>
                <w:szCs w:val="12"/>
                <w:color w:val="auto"/>
              </w:rPr>
            </w:pP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51,399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51,399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tcPr>
          <w:p>
            <w:pPr>
              <w:spacing w:after="0" w:line="138" w:lineRule="exact"/>
              <w:rPr>
                <w:sz w:val="20"/>
                <w:szCs w:val="20"/>
                <w:color w:val="auto"/>
              </w:rPr>
            </w:pPr>
            <w:r>
              <w:rPr>
                <w:rFonts w:ascii="Arial" w:cs="Arial" w:eastAsia="Arial" w:hAnsi="Arial"/>
                <w:sz w:val="14"/>
                <w:szCs w:val="14"/>
                <w:color w:val="auto"/>
                <w:w w:val="97"/>
              </w:rPr>
              <w:t>Shares issued in settlement of certain accrued employee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185,424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11,609</w:t>
            </w:r>
          </w:p>
        </w:tc>
        <w:tc>
          <w:tcPr>
            <w:tcW w:w="120" w:type="dxa"/>
            <w:vAlign w:val="bottom"/>
          </w:tcPr>
          <w:p>
            <w:pPr>
              <w:spacing w:after="0"/>
              <w:rPr>
                <w:sz w:val="13"/>
                <w:szCs w:val="13"/>
                <w:color w:val="auto"/>
              </w:rPr>
            </w:pPr>
          </w:p>
        </w:tc>
        <w:tc>
          <w:tcPr>
            <w:tcW w:w="7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11,609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RSU awards vesting, net of shares withheld for taxes which</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have been retired</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439,906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(16,397)</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Other noncontrolling interest activity</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141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21,741</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2016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48,926,417</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60"/>
              <w:spacing w:after="0"/>
              <w:rPr>
                <w:sz w:val="20"/>
                <w:szCs w:val="20"/>
                <w:color w:val="auto"/>
              </w:rPr>
            </w:pPr>
            <w:r>
              <w:rPr>
                <w:rFonts w:ascii="Arial" w:cs="Arial" w:eastAsia="Arial" w:hAnsi="Arial"/>
                <w:sz w:val="10"/>
                <w:szCs w:val="10"/>
                <w:color w:val="auto"/>
                <w:w w:val="71"/>
              </w:rPr>
              <w:t>5</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855,387</w:t>
            </w:r>
          </w:p>
        </w:tc>
        <w:tc>
          <w:tcPr>
            <w:tcW w:w="8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$ 273,704</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5,321</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1,134,424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273,050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12,117</w:t>
            </w:r>
          </w:p>
        </w:tc>
        <w:tc>
          <w:tcPr>
            <w:tcW w:w="120" w:type="dxa"/>
            <w:vAlign w:val="bottom"/>
          </w:tcPr>
          <w:p>
            <w:pPr>
              <w:spacing w:after="0"/>
              <w:rPr>
                <w:sz w:val="12"/>
                <w:szCs w:val="12"/>
                <w:color w:val="auto"/>
              </w:rPr>
            </w:pP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Issuance of stock under Employee Stock Purchase Plan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10,286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tcPr>
          <w:p>
            <w:pPr>
              <w:spacing w:after="0" w:line="138" w:lineRule="exact"/>
              <w:rPr>
                <w:sz w:val="20"/>
                <w:szCs w:val="20"/>
                <w:color w:val="auto"/>
              </w:rPr>
            </w:pPr>
            <w:r>
              <w:rPr>
                <w:rFonts w:ascii="Arial" w:cs="Arial" w:eastAsia="Arial" w:hAnsi="Arial"/>
                <w:sz w:val="14"/>
                <w:szCs w:val="14"/>
                <w:color w:val="auto"/>
                <w:w w:val="99"/>
              </w:rPr>
              <w:t>Common stock issued in public offering, net of issuance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tcPr>
          <w:p>
            <w:pPr>
              <w:ind w:left="200"/>
              <w:spacing w:after="0" w:line="159" w:lineRule="exact"/>
              <w:rPr>
                <w:sz w:val="20"/>
                <w:szCs w:val="20"/>
                <w:color w:val="auto"/>
              </w:rPr>
            </w:pPr>
            <w:r>
              <w:rPr>
                <w:rFonts w:ascii="Arial" w:cs="Arial" w:eastAsia="Arial" w:hAnsi="Arial"/>
                <w:sz w:val="14"/>
                <w:szCs w:val="14"/>
                <w:color w:val="auto"/>
              </w:rPr>
              <w:t>costs</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7,475,000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ind w:left="160"/>
              <w:spacing w:after="0"/>
              <w:rPr>
                <w:sz w:val="20"/>
                <w:szCs w:val="20"/>
                <w:color w:val="auto"/>
              </w:rPr>
            </w:pPr>
            <w:r>
              <w:rPr>
                <w:rFonts w:ascii="Arial" w:cs="Arial" w:eastAsia="Arial" w:hAnsi="Arial"/>
                <w:sz w:val="10"/>
                <w:szCs w:val="10"/>
                <w:color w:val="auto"/>
                <w:w w:val="71"/>
              </w:rPr>
              <w:t>1</w:t>
            </w:r>
          </w:p>
        </w:tc>
        <w:tc>
          <w:tcPr>
            <w:tcW w:w="30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503,060</w:t>
            </w:r>
          </w:p>
        </w:tc>
        <w:tc>
          <w:tcPr>
            <w:tcW w:w="120" w:type="dxa"/>
            <w:vAlign w:val="bottom"/>
          </w:tcPr>
          <w:p>
            <w:pPr>
              <w:spacing w:after="0"/>
              <w:rPr>
                <w:sz w:val="13"/>
                <w:szCs w:val="13"/>
                <w:color w:val="auto"/>
              </w:rPr>
            </w:pPr>
          </w:p>
        </w:tc>
        <w:tc>
          <w:tcPr>
            <w:tcW w:w="7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62,397</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tcPr>
          <w:p>
            <w:pPr>
              <w:spacing w:after="0" w:line="138" w:lineRule="exact"/>
              <w:rPr>
                <w:sz w:val="20"/>
                <w:szCs w:val="20"/>
                <w:color w:val="auto"/>
              </w:rPr>
            </w:pPr>
            <w:r>
              <w:rPr>
                <w:rFonts w:ascii="Arial" w:cs="Arial" w:eastAsia="Arial" w:hAnsi="Arial"/>
                <w:sz w:val="14"/>
                <w:szCs w:val="14"/>
                <w:color w:val="auto"/>
                <w:w w:val="97"/>
              </w:rPr>
              <w:t>Shares issued in settlement of certain accrued employee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176,731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13,080</w:t>
            </w:r>
          </w:p>
        </w:tc>
        <w:tc>
          <w:tcPr>
            <w:tcW w:w="120" w:type="dxa"/>
            <w:vAlign w:val="bottom"/>
          </w:tcPr>
          <w:p>
            <w:pPr>
              <w:spacing w:after="0"/>
              <w:rPr>
                <w:sz w:val="13"/>
                <w:szCs w:val="13"/>
                <w:color w:val="auto"/>
              </w:rPr>
            </w:pPr>
          </w:p>
        </w:tc>
        <w:tc>
          <w:tcPr>
            <w:tcW w:w="7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13,080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RSU awards vesting, net of shares withheld for taxes which</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have been retired</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498,585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(21,670)</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w w:val="98"/>
              </w:rPr>
              <w:t>Shares issued in connection with acquisition of business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61,888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4,988</w:t>
            </w:r>
          </w:p>
        </w:tc>
        <w:tc>
          <w:tcPr>
            <w:tcW w:w="120" w:type="dxa"/>
            <w:vAlign w:val="bottom"/>
          </w:tcPr>
          <w:p>
            <w:pPr>
              <w:spacing w:after="0"/>
              <w:rPr>
                <w:sz w:val="12"/>
                <w:szCs w:val="12"/>
                <w:color w:val="auto"/>
              </w:rPr>
            </w:pP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noncontrolling interest activity</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23,767</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Balance at March 31, 2017</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57,600,609</w:t>
            </w:r>
          </w:p>
        </w:tc>
        <w:tc>
          <w:tcPr>
            <w:tcW w:w="160" w:type="dxa"/>
            <w:vAlign w:val="bottom"/>
          </w:tcPr>
          <w:p>
            <w:pPr>
              <w:spacing w:after="0"/>
              <w:rPr>
                <w:sz w:val="13"/>
                <w:szCs w:val="13"/>
                <w:color w:val="auto"/>
              </w:rPr>
            </w:pPr>
          </w:p>
        </w:tc>
        <w:tc>
          <w:tcPr>
            <w:tcW w:w="3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6</w:t>
            </w:r>
          </w:p>
        </w:tc>
        <w:tc>
          <w:tcPr>
            <w:tcW w:w="3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3"/>
              </w:rPr>
              <w:t>1,439,645</w:t>
            </w:r>
          </w:p>
        </w:tc>
        <w:tc>
          <w:tcPr>
            <w:tcW w:w="86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w w:val="99"/>
              </w:rPr>
              <w:t>$ 297,471</w:t>
            </w: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00" w:type="dxa"/>
            <w:vAlign w:val="bottom"/>
            <w:gridSpan w:val="2"/>
          </w:tcPr>
          <w:p>
            <w:pPr>
              <w:ind w:left="20"/>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(2,504)</w:t>
            </w: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3,313</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1,737,931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ViaSat, Inc. (also referred to hereafter as the “Company” or “ViaSat”) is an innovator in broadband technologies and services, including high-speed and cost-effective broadband and advanced communications products and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subsidiaries, TrellisWare Technologies, Inc. (TrellisWare) and Euro Broadband Retail Sàrl (Euro Retail Co.).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4, 2015, the Company’s Board of Directors approved a change in the Company’s fiscal year from a 52 or 53 week fiscal year ending on the Friday closest to March 31 to a fiscal year ending on March 31 of each year, effective with the fiscal year commencing April 4, 2015. Beginning April 4, 2015, the Company’s fiscal quarters end on June 30, September 30, December 31, and March 31 of each year. Fiscal year 2015 was a 52 week year, whereas fiscal year 2016 was slightly shorter than 52 weeks due to the change in fiscal year beginning April 4, 2015. The Company does not believe that this difference in length of year had any material impact on its financial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the first quarter of fiscal year 2015, the Company completed the acquisition of NetNearU Corp. (NetNearU), a privately held company that has developed a comprehensive network management system for Wi-Fi and other internet access networks. During the first quarter of fiscal year 2016, the Company completed the acquisition of Engreen Inc. (Engreen), a privately held company focused on network function virtualization. The Engreen purchase price of approximately $5.3 million was primarily allocated to acquired technology intangible assets and the assumption of certain liabilities. These acquisitions were accounted for as purchases and, accordingly, the consolidated financial statements include the operating results of NetNearU and Engreen from the dates of acquisition.</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November 14, 2016, the Company completed the acquisition of Aerodocs Limited (Arconics), a privately held company focused on wireless in-flight entertainment management software services. The Arconics purchase price of approximately $21.6 million was comprised of approximately $16.6 million in cash consideration paid to former Arconics equity holders and $5.0 million related to the fair value of 61,888 shares of the Company’s common stock issued at the closing. The approximately $16.6 million in cash consideration paid to former Arconics equity holders less cash acquired of $0.6 million resulted in a net cash outlay by the Company of approximately $16.0 million. The Arconics purchase price was primarily allocated to acquired technology and customer relationships intangible assets, and goodwill. Through this acquisition the Company gained broader expertise, aviation-grade software and mobile applications to make flying safer and more efficient for pilots, cabin crews and flight operations teams, as well as applications that are expected to create new opportunities for passenger entertainment and airline services and revenue. This acquisition was accounted for as a purchase and, accordingly, the consolidated financial statements include the operating results of Arconics in our satellite services segment from the date of acquisition.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On November 23, 2016, the Company completed the sale of an aggregate of 7,475,000 shares of ViaSat common stock in an underwritten public offering. The Company’s net proceeds from the offering were approximately $503.1 million after deducting underwriting discounts and offering expenses. In November 2016, the Company used $225.0 million of the net proceeds from the offering to repay outstanding borrowings under the Company’s revolving credit facility (the Revolving Credit Facility). The Company expects to use the remaining net proceeds for general corporate purposes, which may include financing costs related to the purchase, launch and operation of satellites, potential acquisitions, joint ventures and strategic alliances, working capital or capital expenditures.</w:t>
      </w:r>
    </w:p>
    <w:p>
      <w:pPr>
        <w:spacing w:after="0" w:line="10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3, 2017, the Company consummated its strategic partnering arrangement with Eutelsat S.A (together with its affiliates, Eutelsat) for the ownership and operation of satellite broadband infrastructure and equipment, and provision of satellite-based broadband internet services in the European region (see Note 9). At the closing of the transaction, Eutelsat contributed and transferred assets relating to its existing wholesale satellite broadband business (including its KA-SAT satellite) to a subsidiary of Eutelsat, Euro Broadband Infrastructure Sàrl (Euro Infrastructure Co.), in exchange for the issuance of new shares in such subsidiary, and immediately following such contribution and issuance, the Company purchased 49% of the issued shares of Euro Infrastructure Co. from Eutelsat for cash consideration of $139.5 million. The Company’s total net cash outlay for this investment in Euro Infrastructure Co., including approximately $2.4 million of transaction costs, was approximately $141.9 million. Also at the closing, Eutelsat purchased 49% of the issued shares of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 services in the European region.</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unbilled accounts receivable and allowance for doubtful accounts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Unbilled accounts receivables consist of costs and fees earned and billable on contract completion or other specified events. Unbilled accounts receivables are generally expected to be billed and collected within one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Revenues from the U.S. government as an individual customer comprised approximately 28.8%, 23.7% and 22.8% of total revenues for fiscal years 2017, 2016 and 2015, respectively. Billed accounts receivable to the U.S. government as of March 31, 2017 and 2016 were approximately 30.1% and 22.8%, respectively, of total billed receivables. In addition, none of the Company’s commercial customers comprised 10.0% or more of total revenues for fiscal years 2017, 2016 and 2015. The Company’s five largest contracts generated approximately 19.6%, 19.4% and 21.1% of the Company’s total revenues for the fiscal years ended March 31, 2017, March 31, 2016 and April 3, 2015,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 useful lives of the assets. Costs incurred for additions to property, equipment and satellites, together with major renewals and betterments, are capitalized and depreciated over the remaining life of the underlying asset. Costs incurred for maintenance, repairs and minor renewals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(Accounting Standards Codification (ASC) 835-20). With respect to assets under construction, including the ViaSat-2 satellite and related gateway and networking equipment (which commenced construction during the first quarter of fiscal year 2014), and the ViaSat-3 class satellites (which commenced construction during the fourth quarter of fiscal year 2016), the Company capitalized $49.7 million, $30.1 million, and $16.2 million of interest expense during the fiscal years ended March 31, 2017, March 31, 2016 and April 3, 2015, respectively.</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owns two satellites: ViaSat-1 (its first-generation high-capacity Ka-band spot-beam satellite, which was placed into service in January 2012) and WildBlue-1 (which was placed into service in March 2007). The Company’s second-generation ViaSat-2 satellite is expected to be launched in June 2017, after the slight further delay in scheduled launch date due to recent civil unrest in French Guiana (the location of the satellite launch). The Company currently has two third-generation ViaSat-3 class satellites under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March 31, 2017 were $271.9 million and $158.2 million, respectively. The total cost and accumulated depreciation of CPE units included in property and equipment, net, as of March 31, 2016 were $260.4 million and $136.4 million, respectively.</w:t>
      </w:r>
    </w:p>
    <w:p>
      <w:pPr>
        <w:spacing w:after="0" w:line="1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October 6, 2015, the Company purchased approximately 23 acres of land adjacent to the Company’s current headquarters location for $39.5 million. On March 1, 2017, the Company sold approximately 16 acres of the land for approximately $27.6 million and leased back certain office space in a sale-leaseback transaction. The lease has been classified as an operating lease and contains a ten year initial term plus renewal options with the future commitments included in Note 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but instead requires these assets to be tested for impairment at least annually and more frequently upon the occurrence of specified events. In addition, all goodwill must be assigned to reporting units for purposes of impairment testing.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March 31, 2017 and 2016. The Company capitalized costs of $15.4 million related to acquiring and obtaining orbital slots and other licenses included in other assets as of March 31, 2017 and 2016. Accumulated amortization related to these assets was $2.1 million and $1.7 million as of March 31, 2017 and 2016, respectively. Amortization expense related to these assets was an insignificant amount for the fiscal years ended March 31, 2017, March 31, 2016 and April 3, 2015. If a patent, orbital slot or orbital license is rejected, abandoned or otherwise invalidated, the unamortized cost is expensed in that period. During fiscal years 2017, 2016 and 2015, the Company did not write off any significant costs due to abandonment or impairment.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Debt issuance costs are amortized and recognized as interest expense using the effective interest rate method, or, when the results are not materially different, on a straight-line basis over the expected term of the related debt. During fiscal years 2017, 2016 and 2015, the Company capitalized $6.1 million, an insignificant amount and $3.5 million, respectively, of debt issuance costs. Unamortized debt issuance costs related to extinguished debt are expensed at the time the debt is extinguished and recorded in loss on extinguishment of debt in the consolidated statements of operations and comprehensive income. Debt issuance costs related to the Revolving Credit Facility are recorded in prepaid expenses and other current assets and in other long-term assets in the consolidated balance sheets in accordance with Accounting Standards Update (ASU) 2015-15, Interest — Imputation of Interest (Subtopic 835-30): Presentation and Subsequent Measurement of Debt Issuance Costs Associated with Line-of-Credit Arrangements, which the Company adopted during the first quarter of fiscal year 2017. Debt issuance costs related to the Company’s 6.875% Senior Notes due 2020 (2020 Notes) and the Company’s direct loan facility with the Export-Import Bank of the United States for ViaSat-2 (the Ex-Im Credit Facility and, together with the Revolving Credit Facility, the Credit Facilities) are recorded as a direct deduction from the carrying amount of the related debt, consistent with debt discounts, in accordance with ASU 2015-03, Interest — Imputation of Interest (ASC 835-30): Simplifying the Presentation of Debt Issuance Costs, which the Company adopted during the first quarter of fiscal year 2017.</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$203.7 million and $163.1 million related to software developed for resale were included in other assets as of March 31, 2017 and 2016, respectively. The Company capitalized $73.1 million and $75.4 million of costs related to software developed for resale for the fiscal years ended March 31, 2017 and 2016, respectively. Amortization expense for software development costs was $32.5 million, $32.2 million and $23.5 million during fiscal years 2017, 2016 and 2015,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2017, 2016 and 2015.</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accounts for its goodwill under the authoritative guidance for goodwill and other intangible assets (ASC 350) and the provisions of ASU 2011-08, Intangibles — Goodwill and Other (ASC 350): Testing Goodwill for Impairment, which simplifies how the Company tests goodwill for impairment. Current authoritative guidance allows the Company to first assess qualitative factors to determine whether it is necessary to perform the two-step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the reporting unit exceeds its estimated fair value, the Company compares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The Company tests goodwill for impairment during the fourth quarter every fiscal year and when an event occurs or circumstances change such that it is reasonably possible that an impairment may exist.</w:t>
      </w:r>
    </w:p>
    <w:p>
      <w:pPr>
        <w:spacing w:after="0" w:line="33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accordance with ASC 350, the Company assesses qualitative factors to determine whether goodwill is impaired. Furthermore, in addition to qualitative analysis, the Company believes it is appropriate to conduct a quantitative analysis periodically as a prudent review of its reporting unit goodwill fair values. The Company’s quantitative analysis estimates the fair values of the reporting units using discounted cash flows and other indicators of fair value. The forecast of future cash flow is based on the Company’s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2017, the Company concluded that estimated fair values of the Company’s reporting units significantly exceed their respective carrying value.</w:t>
      </w:r>
    </w:p>
    <w:p>
      <w:pPr>
        <w:spacing w:after="0" w:line="12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Based on the Company’s qualitative and quantitative assessment performed during the fourth quarter of fiscal year 2017, the Company concluded that it was more likely than not that the estimated fair value of the Company’s reporting units exceeded their carrying value as of March 31, 2017, and therefore, determined it was not necessary to perform the two-step goodwill impairment test. No impairments were recorded by the Company related to goodwill and other intangible assets for fiscal years 2017, 2016 and 2015.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(see Note 14).</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$4.2 million and $3.8 million in accrued liabilities in the consolidated balance sheets as of March 31, 2017 and 2016,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2017 and 2016, no such amounts were accrued related to the aforementioned provisions.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 and unrestricted subsidiaries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designated its majority-owned subsidiaries TrellisWare and Euro Retail Co. as “Unrestricted Subsidiaries” under the indenture governing the 2020 Notes. The financial position and results of operations of the Company’s Unrestricted Subsidiaries are included in its consolidated financial statements. Under the indenture governing the 2020 Notes, due to the significance of the net loss of the Company’s 52% majority-owned subsidiary TrellisWare for fiscal year 2017, which reflected the Company’s accrual for uncharacterized damages and penalties of $11.8 million recorded in the fourth quarter of fiscal year 2017 in connection with the False Claims Act civil investigation related to TrellisWare, the Company is required to present information sufficient to ascertain its financial condition and results of operations excluding the Company’s Unrestricted Subsidiaries.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The net loss of the Company’s Unrestricted Subsidiaries for the fiscal year ended March 31, 2017 was $4.2 million, which related primarily to TrellisWare. For the fiscal year ended March 31, 2017, total revenues and expenses of the Company’s Unrestricted Subsidiaries were immaterial to the Company’s consolidated results. For the fiscal years ended March 31, 2016 and 2015, total revenues, expenses and net income (loss) of the Company’s Unrestricted Subsidiaries were immaterial to the Company’s consolidated results. As of March 31, 2017 and 2016, total assets and liabilities of the Company’s Unrestricted Subsidiaries were immaterial to the Company’s consolidated results.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earnings (losses)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and 2016, the Company had no shares of common stock held in treasury.</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During fiscal years 2017, 2016 and 2015, the Company issued 792,616, 703,043 and 647,006 shares of common stock, respectively, based on the vesting terms of certain restricted stock unit agreements. In order for employees to satisfy minimum statutory employee tax withholding requirements related to the issuance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common stock underlying these restricted stock unit agreements, the Company repurchased 294,031, 263,137 and 236,446 shares of common stock at cost with a total value of $21.7 million, $16.4 million and $14.8 million during fiscal years 2017, 2016 and 2015, respectively. The shares of common stock repurchased during fiscal years 2017 and 2016 and the fourth quarter of fiscal year 2015 were immediately retired. These retired shares remain as authorized stock; however they are considered to be unissued. The retirement of treasury stock had no impact on the Company’s total consolidated stockholders’ equity.</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fiscal year 2015, the Company retired 1,427,018 shares of treasury stock with a total value of $64.1 million. These retired shares remain as authorized stock; however they are now considered to be unissued. This treasury stock retirement resulted in a decrease in common stock held in treasury and in paid-in capital of $64.1 million in the Company’s consolidated balance sheet. The retirement of treasury stock had no impact on the Company’s total consolidated stockholders’ equity.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third quarter of fiscal year 2015, the Board of Directors of the Company approved the retirement of all shares of treasury stock and, with respect to the future issuance of shares of common stock upon vesting of restricted stock units, approved the immediate retirement of shares withheld for employee withholding taxes.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fiscal years 2017, 2016 and 2015, the Company settled certain foreign exchange contracts and in connection therewith for each year recognized an insignificant gain or loss recorded in cost of revenues based on the nature of the underlying transactions. The fair value of the Company’s foreign currency forward contracts was an insignificant amount recorded as an accrued liability as of March 31, 2017 and as an other current asset as of March 31, 2016. The notional value of foreign currency forward contracts outstanding as of March 31, 2017 and 2016 was $2.6 million and $5.0 million, respectively.</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March 31, 2017 the estimated net amount of unrealized gains or losses related to foreign currency forward contracts that was expected to be reclassified to earnings within the next 12 months was insignificant. The Company’s foreign currency forward contracts outstanding as of March 31, 2017 will mature within approximately 24 to 36 months from their inception. There were no gains or losses from ineffectiveness of these derivative instruments recorded for fiscal years 2017, 2016 and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U.S. dollars, and the effects of foreign currency translation adjustments are included as a component of accumulated other comprehensive income within ViaSat, Inc. stockholders’ equity.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fiscal years 2017, 2016 and 2015, the Company recorded losses of approximately $6.0 million, $5.1 million and $0.6 million, respectively, related to loss contracts.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12 months are recorded within other liabilities in the consolidated financial statements.</w:t>
      </w:r>
    </w:p>
    <w:p>
      <w:pPr>
        <w:spacing w:after="0" w:line="140"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2016. As of March 31,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2017 and 2016, the Company had $1.8 million and $2.5 million, respectively, in contract-related reserves for its estimate of potential refunds to customers for potential cost adjustments on several multi-year U.S. government cost reimbursable contracts (see Note 13).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accordance with the authoritative guidance for advertising costs (ASC 720-35), advertising costs are expensed as incurred and included in SG&amp;A expenses. Advertising expenses for fiscal years 2017, 2016 and 2015 were $4.8 million, $12.2 million and $17.0 million, respectively.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consolidated statements of operations and comprehensive income for fiscal years 2017, 2016 and 2015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leases all of its facilities under operating leases. Some of these lease agreements contain tenant improvement allowances funded by landlord incentives, rent holidays and rent escalation clauses. The authoritative guidance for leases (ASC 840) requires rent expense to be recognized on a straight-line basis over the lease term. The difference between the rent due under the stated periods of the lease compared to that of the straight-line basis is recorded as deferred rent within other long-term liabilities in the consolidated balance sheets.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purposes of recognizing landlord incentives and minimum rental expenses on a straight-line basis over the terms of the leases, the Company uses the date that it obtains the legal right to use and control the leased space to begin recording rent expense,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sheets and amortizes the deferred liability as a reduction to rent expense on the consolidated statements of operations and comprehensive income (loss) over the term of the lease.</w:t>
      </w:r>
    </w:p>
    <w:p>
      <w:pPr>
        <w:spacing w:after="0" w:line="11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statements of operations and comprehensive income (loss) on a straight-line basis over the lease term.</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March 31, 2017 and 2016, deferred rent included in other long-term liabilities in the Company’s consolidated balance sheets was $10.7 million and $8.8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 future operating results. In addition, the Company’s evaluation considered other factors, including the Company’s contractual backlog, the Company’s history of positive earnings, current earnings trends assuming the Company’s satellite services segment continues to grow, taxable income adjusted for certain items, and forecasted income by jurisdiction. The Company also considered the period over which these net deferred tax assets can be realized and the Company’s history of not having federal tax loss carryforwards expire unused.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satellite-based broadband services to customers,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w:t>
      </w:r>
    </w:p>
    <w:p>
      <w:pPr>
        <w:spacing w:after="0" w:line="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2016-20, Technical Corrections and Improvements to Topic 606, Revenue from Contracts with Customers, which provides for correction or improvement to the guidance previously issued in ASU 2014-09. These standards permit the use of either the retrospective or cumulative effect transition method. The Company currently plans to adopt the standard in fiscal year 2019 using the “modified retrospective method.” Under that method, the Company will apply the rules to all contracts existing as of April 1, 2018, recognizing in beginning retained earnings an adjustment for the cumulative effect of the change and providing additional disclosures comparing results to previous accounting standards.</w:t>
      </w:r>
    </w:p>
    <w:p>
      <w:pPr>
        <w:spacing w:after="0" w:line="11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initial evaluation, the Company believes the key changes in the standard that impact its revenue recognition relate to the deferral of commissions in the Company’s satellite service segment, which are currently expensed as incurred under the current standard. The requirement to defer incremental contract acquisition costs and recognize them with the transfer of the related good or service will result in the recognition of a deferred charge on the Company’s consolidated balance sheet and corresponding impact to the Company’s consolidated statement of operations and comprehensive income.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August 2014, the FASB issued ASU 2014-15, Disclosure of Uncertainties about an Entity’s Ability to Continue as a Going Concern. ASU 2014-15 provides guidance regarding management’s responsibility to evaluate whether there is substantial doubt about an organization’s ability to continue as a going concern and to provide related footnote disclosures. The new standard requires management to perform interim and annual evaluations and sets forth principles for considering the mitigating effect of management’s plans. The standard mandates certain disclosures when conditions give rise to substantial doubt about a company’s ability to continue as a going concern within one year from the financial statement issuance date. This guidance is effective for the Company in fiscal year 2017, with early application permitted. The Company early adopted the guidance, which did not have a material impact on the Company’s consolidated financial statements and disclosures.</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became effective for the Company beginning in the first quarter of fiscal year 2017 and did not have a material impact on the Company’s consolidated financial statements and disclosures.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April 2015, the FASB issued ASU 2015-03, which requires that debt issuance costs related to a recognized debt liability be presented in the balance sheet as a direct deduction from the carrying amount of that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00"/>
          </w:cols>
          <w:pgMar w:left="24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debt liability, consistent with debt discounts. In August 2015, the FASB issued ASU 2015-15, which provides additional guidance to ASU 2015-03, which did not address presentation or subsequent measurement of debt issuance costs related to line-of-credit arrangements. ASU 2015-15 noted that staff of the Securities and Exchange Commission (the SEC)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This new guidance became effective for the Company beginning in the first quarter of fiscal year 2017 and was applied on a retrospective basis, wherein the consolidated balance sheet of each individual period presented was adjusted to reflect the period-specific effects of applying the new guidance. As a result, the Company reclassed unamortized debt issuance costs related to the Company’s 2020 Notes and the Ex-Im Credit Facility from prepaid expenses and other current assets and from other assets (long-term) to senior notes, net, and other long-term debt, net, respectively, within its consolidated balance sheet as of March 31, 2016. In accordance with ASU 2015-15, the Company has elected to continue to present debt issuance costs related to the Revolving Credit Facility as an asset and subsequently amortize the deferred debt issuance costs over the term of the Revolving Credit Facility arrangement.</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2015, the FASB issued ASU 2015-05, Intangibles — Goodwill and Other — Internal-Use Software (Subtopic 350-40): Customer’s Accounting for Fees Paid in a Cloud Computing Arrangement.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This guidance became effective for the Company beginning in the first quarter of fiscal year 2017. The Company elected to adopt this guidance on a prospective basis and the adoption of this guidance did not have a material impact on the Company’s consolidated financial statements and disclosures.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in-scope inventory should be measured at the lower of cost and net realizable value. The new standard should be applied prospectively and will become effective for the Company in fiscal year 2018, with early adoption permitted. The Company elected to adopt this guidance on a prospective basis in the fourth quarter of fiscal year 2017 and the adoption of this guidance did not have a material impact on the Company’s consolidated financial statements and disclosures.</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ASU 2015-16 requires that an acquirer recognize adjustments to provisional amounts that are identified during the measurement period in the reporting period in which the adjustment amounts are determined. Under current GAAP, the acquirer is required to retrospectively apply adjustments made to provisional amounts recognized in a business combination. This guidance became effective for the Company beginning in the first quarter of fiscal year 2017. The Company adopted this guidance on a prospective basis and the guidance did not have a material impact on the Company’s consolidated financial statements and disclosures.</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November 2015, the FASB issued ASU 2015-17, Balance Sheet Classification of Deferred Income Taxes, which requires entities to classify deferred tax liabilities and assets as non-current in a classified balance sheet. The new guidance can be applied either prospectively to all deferred tax liabilities and assets or retrospectively to all periods presented. ASU 2015-17 will become effective for the Company in fiscal year 2018,</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with early adoption permitted. During the fourth quarter of fiscal year 2016, the Company early adopted this standard retrospectively and reclassified all of its current deferred tax assets to non-current deferred tax assets on its consolidated balance sheets for all periods presented.</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(Subtopic 825-10). ASU 2016-01 requires that most equity investments (except those accounted for under the equity method for accounting or those that result in consolidation of the investee) be measured at fair value, with subsequent changes in fair value recognized in net income.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16"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In March 2016, the FASB issued ASU 2016-05, Derivatives and Hedging (Topic 815). ASU 2016-05 clarifies that a change in the counterparty to a derivative instrument, in and of itself, does not require dedesignation of a hedging relationship. The new guidance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March 2016, the FASB issued ASU 2016-06, Derivatives and Hedging (Topic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ASU 2016-06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March 2016, the FASB issued ASU 2016-07, Investment — Equity Method and Joint Ventures (Topic 323). ASU 2016-07 eliminates the requirement to apply the equity method of accounting retrospectively when a reporting entity obtains significant influence over a previously held investment. ASU 2016-07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ASU 2016-09 simplifies various aspects related to how share-based payments are accounted for and presented in the financial statements. The new guidance will become effective for the Company beginning in fiscal year 2018, with early adoption permitted. The Company will adopt this guidance in the first quarter of fiscal year 2018. On a prospective basis the Company will recognize excess tax benefits or deficiencies on vesting or settlement of awards as an income tax benefit or provision within net income (loss) and the related cash flows classified within operating activities. With respect to the forfeiture accounting policy election, the Company expects to elect to account for forfeitures as they occur, adopted on a modified retrospective basis as a cumulative effect adjustment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to retained earnings. The Company does not expect the election to account for forfeitures as they occur to have a material impact on the Company’s consolidated financial statements and disclosures. See Note 8 for additional information regarding the impact of the adoption of this guidance.</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(Topic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August 2016, the FASB issued ASU 2016-15, Statement of Cash Flows (Topic 230). ASU 2016-15 makes eight targeted changes to how companies present and classify certain cash receipts and cash payments in the statement of cash flows. The new standard will become effective for the Company beginning in fiscal year 2019, with early adoption permitted. The new standard will require adoption on a retrospective basis unless it is impracticable to apply, in which case the Company would be required to apply the amendments prospectively as of the earliest date practicable. The Company is currently evaluating the impact of this standard on its consolidated financial statements and disclosures.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2016, the FASB issued ASU 2016-16, Income Taxes (Topic 740). ASU 2016-16 requires that an entity should recognize the income tax consequences of an intra-entity transfer of an asset other than inventory when the transfer occurs as opposed to when the asset has been sold to an outside party. The new standard will become effective for the Company beginning in fiscal year 2019, with early adoption permitted. The new standard will require adoption on a modified retrospective basis through cumulative-effect adjustment directly to retained earnings as of the beginning of the period. The Company is currently evaluating the impact of this standard on its consolidated financial statements and disclosures.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2016, the FASB issued ASU 2016-17, Consolidation: Interests Held through Related Parties That Are Under Common Control (Topic 810). The amendments change how a reporting entity that is the single decision maker of a variable interest entity should treat indirect interests in the entity held through related parties that are under common control with the reporting entity when determining whether it is the primary beneficiary of that variable interest entity. The new standard will become effective for the Company beginning in fiscal year 2018, with early adoption permitted. The Company is currently evaluating the impact of this standard on its consolidated financial statements and disclosures.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November 2016, the FASB issued ASU 2016-18, Statement of Cash Flows: Restricted Cash (Topic 230). The amendments address diversity in practice that exists in the classification and presentation of changes in restricted cash and require that a statement of cash flows explain the change during the period in the total of cash, cash equivalents, and amounts generally described as restricted cash or restricted cash equivalents. The new standard will become effective for the Company beginning in fiscal year 2019, with early adoption permitted. During the third quarter of fiscal year 2017, the Company early adopted this standard on a retrospective basis. The guidance did not have a material impact on the Company’s consolidated financial statements and disclosures.</w:t>
      </w:r>
    </w:p>
    <w:p>
      <w:pPr>
        <w:spacing w:after="0" w:line="1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(Topic 805). ASU 2017-01 clarifies the definition of a business with the objective of adding guidance to assist entities with evaluating whether transactions should be accounted for as acquisitions (or disposals)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assets or businesses. The definition of a business affects many areas of accounting including acquisitions, disposals, goodwill, and consolidation. The new standard will become effective for the Company beginning in fiscal year 2019, with early adoption permitted with limitations. The Company is currently evaluating the impact of this standard on its consolidated financial statements and disclosures.</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January 2017, the FASB issued ASU 2017-04, Intangibles — Goodwill and Other: Simplifying the Test for Goodwill Impairment (Topic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February 2017, the FASB issued ASU 2017-05, Other Income — Gains and Losses from the Derecognition of Nonfinancial Assets (Subtopic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will become effective for the Company in fiscal year 2019, with early adoption permitted. The Company is currently evaluating the impact of this standard on its consolidated financial statements and disclosures.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2017, the FASB issued ASU 2017-08, Receivables — Nonrefundable Fees and Other Costs (Subtopic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ASU 2017-09 provides guidance about which changes to the terms or conditions of a share-based payment award require an entity to apply modification accounting. The standard will become effective for the Company beginning in fiscal year 2019, with early adoption permitted. The Company is currently evaluating the impact of this standard on its consolidated financial statements and disclosures.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March 31,</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2017</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right"/>
              <w:ind w:right="3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Billed</w:t>
            </w:r>
          </w:p>
        </w:tc>
        <w:tc>
          <w:tcPr>
            <w:tcW w:w="2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145,626</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146,309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Unbilled</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119,565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Allowance for doubtful accounts</w:t>
            </w: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(1,470)</w:t>
            </w: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263,721</w:t>
            </w: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286,724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Inventories:</w:t>
            </w: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Raw materials</w:t>
            </w:r>
          </w:p>
        </w:tc>
        <w:tc>
          <w:tcPr>
            <w:tcW w:w="2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56,096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Work in process</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25,820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Finished goods</w:t>
            </w:r>
          </w:p>
        </w:tc>
        <w:tc>
          <w:tcPr>
            <w:tcW w:w="2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81,285</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71,204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spacing w:after="0"/>
              <w:rPr>
                <w:sz w:val="13"/>
                <w:szCs w:val="13"/>
                <w:color w:val="auto"/>
              </w:rPr>
            </w:pPr>
          </w:p>
        </w:tc>
        <w:tc>
          <w:tcPr>
            <w:tcW w:w="2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163,201</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145,161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w:t>
            </w:r>
          </w:p>
        </w:tc>
        <w:tc>
          <w:tcPr>
            <w:tcW w:w="2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51,856</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41,784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2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5,980</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spacing w:after="0"/>
              <w:rPr>
                <w:sz w:val="13"/>
                <w:szCs w:val="13"/>
                <w:color w:val="auto"/>
              </w:rPr>
            </w:pPr>
          </w:p>
        </w:tc>
        <w:tc>
          <w:tcPr>
            <w:tcW w:w="2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57,836</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47,583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Satellites, net:</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Satellites (estimated useful life of 10-17 years)</w:t>
            </w:r>
          </w:p>
        </w:tc>
        <w:tc>
          <w:tcPr>
            <w:tcW w:w="2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559,380</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559,094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lease of satellite capacity — Anik F2 (estimated useful life of 10 years)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Satellites under construction</w:t>
            </w: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776,354</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515,696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1,434,824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1,173,880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(326,554)</w:t>
            </w: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(275,683)</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1,108,270</w:t>
            </w: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898,197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Property and equipment, net:</w:t>
            </w: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Equipment and software (estimated useful life of 2-7 years)</w:t>
            </w:r>
          </w:p>
        </w:tc>
        <w:tc>
          <w:tcPr>
            <w:tcW w:w="2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679,008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568,663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CPE leased equipment (estimated useful life of 4-5 years)</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271,917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260,409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Furniture and fixtures (estimated useful life of 7 years)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30,539</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Leasehold improvements (estimated useful life of 2-17 years)</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80,727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Building (estimated useful life of 24 years)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Land</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14,573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Construction in progress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116,902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1,202,589</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1,050,886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accumulated depreciation</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(661,981)</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(563,976)</w:t>
            </w:r>
          </w:p>
        </w:tc>
        <w:tc>
          <w:tcPr>
            <w:tcW w:w="0" w:type="dxa"/>
            <w:vAlign w:val="bottom"/>
          </w:tcPr>
          <w:p>
            <w:pPr>
              <w:spacing w:after="0"/>
              <w:rPr>
                <w:sz w:val="1"/>
                <w:szCs w:val="1"/>
                <w:color w:val="auto"/>
              </w:rPr>
            </w:pPr>
          </w:p>
        </w:tc>
      </w:tr>
      <w:tr>
        <w:trPr>
          <w:trHeight w:val="156"/>
        </w:trPr>
        <w:tc>
          <w:tcPr>
            <w:tcW w:w="7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540,608</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486,910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Other assets: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Investment in unconsolidated affiliate</w:t>
            </w:r>
          </w:p>
        </w:tc>
        <w:tc>
          <w:tcPr>
            <w:tcW w:w="2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141,894</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134,764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Capitalized software costs, net</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203,686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163,061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Patents, orbital slots and other licenses, net</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32,522</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rPr>
                <w:sz w:val="12"/>
                <w:szCs w:val="12"/>
                <w:color w:val="auto"/>
              </w:rPr>
            </w:pPr>
          </w:p>
        </w:tc>
        <w:tc>
          <w:tcPr>
            <w:tcW w:w="2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529,366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Accrued liabilities:</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Collections in excess of revenues and deferred revenues</w:t>
            </w:r>
          </w:p>
        </w:tc>
        <w:tc>
          <w:tcPr>
            <w:tcW w:w="2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76,682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Accrued employee compensation</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41,691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vacation</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33,214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Warranty reserve, current portion</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7,796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7,867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Current portion of other long-term debt</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65,576</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47,877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rPr>
                <w:sz w:val="12"/>
                <w:szCs w:val="12"/>
                <w:color w:val="auto"/>
              </w:rPr>
            </w:pPr>
          </w:p>
        </w:tc>
        <w:tc>
          <w:tcPr>
            <w:tcW w:w="2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225,247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Other liabilities:</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revenue, long-term portion</w:t>
            </w:r>
          </w:p>
        </w:tc>
        <w:tc>
          <w:tcPr>
            <w:tcW w:w="2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Deferred rent, long-term portion</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10,743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Warranty reserve, long-term portion</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Satellite performance incentives obligation, long-term portion</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19,164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19,514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 long-term</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3,000</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rPr>
                <w:sz w:val="12"/>
                <w:szCs w:val="12"/>
                <w:color w:val="auto"/>
              </w:rPr>
            </w:pPr>
          </w:p>
        </w:tc>
        <w:tc>
          <w:tcPr>
            <w:tcW w:w="2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42,722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tables present the Company’s hierarchy for its assets and liabilities measured at fair value on a recurring basis as of March 31, 2017 and assets measured at fair value on a recurring basis as of March 31, 2016. The Company had no liabilities measured at fair value on a recurring basis as of March 31,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2017</w:t>
            </w:r>
          </w:p>
        </w:tc>
        <w:tc>
          <w:tcPr>
            <w:tcW w:w="5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4"/>
              </w:rPr>
              <w:t>Level 2</w:t>
            </w:r>
          </w:p>
        </w:tc>
        <w:tc>
          <w:tcPr>
            <w:tcW w:w="2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2,003</w:t>
            </w:r>
          </w:p>
        </w:tc>
        <w:tc>
          <w:tcPr>
            <w:tcW w:w="5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2,003</w:t>
            </w:r>
          </w:p>
        </w:tc>
        <w:tc>
          <w:tcPr>
            <w:tcW w:w="78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2,003</w:t>
            </w: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80" w:type="dxa"/>
            <w:vAlign w:val="bottom"/>
            <w:gridSpan w:val="2"/>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2016</w:t>
            </w:r>
          </w:p>
        </w:tc>
        <w:tc>
          <w:tcPr>
            <w:tcW w:w="5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4"/>
              </w:rPr>
              <w:t>Level 2</w:t>
            </w:r>
          </w:p>
        </w:tc>
        <w:tc>
          <w:tcPr>
            <w:tcW w:w="2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2,003</w:t>
            </w:r>
          </w:p>
        </w:tc>
        <w:tc>
          <w:tcPr>
            <w:tcW w:w="1600" w:type="dxa"/>
            <w:vAlign w:val="bottom"/>
            <w:gridSpan w:val="4"/>
          </w:tcPr>
          <w:p>
            <w:pPr>
              <w:ind w:left="580"/>
              <w:spacing w:after="0"/>
              <w:rPr>
                <w:sz w:val="20"/>
                <w:szCs w:val="20"/>
                <w:color w:val="auto"/>
              </w:rPr>
            </w:pPr>
            <w:r>
              <w:rPr>
                <w:rFonts w:ascii="Arial" w:cs="Arial" w:eastAsia="Arial" w:hAnsi="Arial"/>
                <w:sz w:val="18"/>
                <w:szCs w:val="18"/>
                <w:color w:val="auto"/>
              </w:rPr>
              <w:t>$2,003</w:t>
            </w:r>
          </w:p>
        </w:tc>
        <w:tc>
          <w:tcPr>
            <w:tcW w:w="78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196</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80" w:type="dxa"/>
            <w:vAlign w:val="bottom"/>
            <w:gridSpan w:val="2"/>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2,199</w:t>
            </w:r>
          </w:p>
        </w:tc>
        <w:tc>
          <w:tcPr>
            <w:tcW w:w="58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2,003</w:t>
            </w:r>
          </w:p>
        </w:tc>
        <w:tc>
          <w:tcPr>
            <w:tcW w:w="780" w:type="dxa"/>
            <w:vAlign w:val="bottom"/>
            <w:gridSpan w:val="4"/>
          </w:tcPr>
          <w:p>
            <w:pPr>
              <w:ind w:left="60"/>
              <w:spacing w:after="0"/>
              <w:rPr>
                <w:sz w:val="20"/>
                <w:szCs w:val="20"/>
                <w:color w:val="auto"/>
              </w:rPr>
            </w:pPr>
            <w:r>
              <w:rPr>
                <w:rFonts w:ascii="Arial" w:cs="Arial" w:eastAsia="Arial" w:hAnsi="Arial"/>
                <w:sz w:val="18"/>
                <w:szCs w:val="18"/>
                <w:color w:val="auto"/>
              </w:rPr>
              <w:t>$ 196</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i w:val="1"/>
          <w:iCs w:val="1"/>
          <w:color w:val="auto"/>
        </w:rPr>
        <w:t xml:space="preserve">Foreign currency forward contracts </w:t>
      </w:r>
      <w:r>
        <w:rPr>
          <w:rFonts w:ascii="Arial" w:cs="Arial" w:eastAsia="Arial" w:hAnsi="Arial"/>
          <w:sz w:val="15"/>
          <w:szCs w:val="15"/>
          <w:color w:val="auto"/>
        </w:rPr>
        <w:t>— The Company uses derivative financial instruments to manage foreign currency risk relating to foreign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rates. The Company does not use these instruments for speculative or trading purposes. The Company’s objective is to reduce the risk to earnings and cash flows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its Revolving Credit Facility and Ex-Im Credit Facility, as well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$575.0 million in aggregate principal amount of 2020 Notes. Long-term debt related to the Revolving Credit Facility is reported at the outstanding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borrowings, while long-term debt related to the Ex-Im Credit Facility and 2020 Notes is reported at amortized cost. However, for disclosure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required to measure the fair value of outstanding debt on a recurring basis. As of March 31, 2017 and 2016, the fair value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long-term debt related to the 2020 Notes was determined using quoted prices in active markets (Level 1) and was $587.9 million and $597.3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fair value of the Company’s long-term debt related to the Revolving Credit Facility approximates its carrying amount due to its variable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which approximates a market interest rate. As of March 31, 2017 and 2016, the fair value of the Company’s long-term debt related to the Ex-Im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was determined based on a discounted cash flow analysis using observable market interest rates for instruments with similar terms (Level 2) and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$297.2 million and $219.9 million, respectively.</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15-year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March 31, 2017 and 2016, the Company’s estimated satellite performance incentives obligation and accrued interest was $21.8 million and $22.0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During fiscal year 2017, the Company’s goodwill increased by $2.8 million, which reflected $3.8 million of goodwill acquired in connection with the acquisition of Arconics during the third quarter of fiscal year 2017, which was recorded in the Company’s satellite services segment. The increase was partially offset by the effects of foreign currency translation recorded within all three of the Company’s segments. During fiscal year 2016, the Company’s goodwill decreased by an insignificant amount related to the effects of foreign currency translation recorded mainly within the Company’s government systems and commercial networks segments.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fiscal year 2017, $19.3 million of the increase in other acquired intangibles related to the acquisition of Arconics recorded during the third quarter of fiscal year 2017 in the Company’s satellite services segment. All other amounts recorded related to the acquisition of Arconics were not significant. During fiscal year 2016, $7.7 million of the increase in the Company’s other acquired intangible assets related to the acquisition of Engreen recorded within the Company’s commercial networks segment. All other amounts recorded related to the acquisition of Engreen were not significant. Other acquired intangible assets are amortized using the straight-line method over their estimated useful lives of two to ten years. Amortization expense related to other acquired intangible assets was $10.8 million, $16.4 million and $18.0 million for the fiscal years ended March 31, 2017, March 31, 2016 and April 3, 2015, respectively.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Amortization</w:t>
            </w:r>
          </w:p>
        </w:tc>
      </w:tr>
      <w:tr>
        <w:trPr>
          <w:trHeight w:val="142"/>
        </w:trPr>
        <w:tc>
          <w:tcPr>
            <w:tcW w:w="44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6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9,076</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4,993</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2022</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6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2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6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41,677</w:t>
            </w:r>
          </w:p>
        </w:tc>
        <w:tc>
          <w:tcPr>
            <w:tcW w:w="6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other acquired intangible assets and the related accumulated amortization as of March 31, 2017 and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As of March 31, 2017</w:t>
            </w: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As of March 31, 2016</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book</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4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book</w:t>
            </w: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Useful Life</w:t>
            </w:r>
          </w:p>
        </w:tc>
        <w:tc>
          <w:tcPr>
            <w:tcW w:w="6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87,592</w:t>
            </w: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(62,749)</w:t>
            </w: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$24,843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74,848</w:t>
            </w: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(59,921)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$14,927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Arial" w:cs="Arial" w:eastAsia="Arial" w:hAnsi="Arial"/>
                <w:sz w:val="14"/>
                <w:szCs w:val="14"/>
                <w:color w:val="auto"/>
              </w:rPr>
              <w:t>Contracts and customer relationships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103,034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(89,083)</w:t>
            </w: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13,951</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99,499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(83,928)</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15,571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Satellite co-location rights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(6,743)</w:t>
            </w: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(5,818)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Arial" w:cs="Arial" w:eastAsia="Arial" w:hAnsi="Arial"/>
                <w:sz w:val="14"/>
                <w:szCs w:val="14"/>
                <w:color w:val="auto"/>
              </w:rPr>
              <w:t>Trade name</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5,940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(5,940)</w:t>
            </w:r>
          </w:p>
        </w:tc>
        <w:tc>
          <w:tcPr>
            <w:tcW w:w="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5,940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(5,918)</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(8,899)</w:t>
            </w: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8,717</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(8,415)</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4"/>
                <w:szCs w:val="14"/>
                <w:color w:val="auto"/>
              </w:rPr>
              <w:t>Total other acquired intangible assets</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215,091</w:t>
            </w:r>
          </w:p>
        </w:tc>
        <w:tc>
          <w:tcPr>
            <w:tcW w:w="2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(173,414)</w:t>
            </w:r>
          </w:p>
        </w:tc>
        <w:tc>
          <w:tcPr>
            <w:tcW w:w="740" w:type="dxa"/>
            <w:vAlign w:val="bottom"/>
            <w:gridSpan w:val="3"/>
          </w:tcPr>
          <w:p>
            <w:pPr>
              <w:jc w:val="right"/>
              <w:ind w:right="260"/>
              <w:spacing w:after="0" w:line="155"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41,677</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197,604</w:t>
            </w:r>
          </w:p>
        </w:tc>
        <w:tc>
          <w:tcPr>
            <w:tcW w:w="4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(164,000)</w:t>
            </w:r>
          </w:p>
        </w:tc>
        <w:tc>
          <w:tcPr>
            <w:tcW w:w="44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33,604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March 31, 2017 and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5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740" w:type="dxa"/>
            <w:vAlign w:val="bottom"/>
            <w:gridSpan w:val="4"/>
          </w:tcPr>
          <w:p>
            <w:pPr>
              <w:jc w:val="right"/>
              <w:ind w:right="358"/>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2020 Notes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$ 575,000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$ 575,000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premium and debt issuance costs on the 2020 Notes, net (2)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senior notes, net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575,380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senior notes long-term, net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575,380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Ex-Im Credit Facility (1)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304,134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Unamortized discount and debt issuance costs on the Ex-Im Credit Facility (1) (2)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(31,031)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other long-term debt, net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273,391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370,498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other long-term debt,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Other long-term debt, net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273,103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370,224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net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848,771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$ 848,483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$ 945,528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March 31, 2017, included in Ex-Im Credit Facility and in unamortized discount and debt issuance costs on the Ex-Im Credit Facility was</w:t>
      </w:r>
    </w:p>
    <w:p>
      <w:pPr>
        <w:spacing w:after="0" w:line="38" w:lineRule="exact"/>
        <w:rPr>
          <w:rFonts w:ascii="Arial" w:cs="Arial" w:eastAsia="Arial" w:hAnsi="Arial"/>
          <w:sz w:val="16"/>
          <w:szCs w:val="16"/>
          <w:color w:val="auto"/>
        </w:rPr>
      </w:pPr>
    </w:p>
    <w:p>
      <w:pPr>
        <w:ind w:left="460" w:right="80"/>
        <w:spacing w:after="0" w:line="281" w:lineRule="auto"/>
        <w:rPr>
          <w:rFonts w:ascii="Arial" w:cs="Arial" w:eastAsia="Arial" w:hAnsi="Arial"/>
          <w:sz w:val="16"/>
          <w:szCs w:val="16"/>
          <w:color w:val="auto"/>
        </w:rPr>
      </w:pPr>
      <w:r>
        <w:rPr>
          <w:rFonts w:ascii="Arial" w:cs="Arial" w:eastAsia="Arial" w:hAnsi="Arial"/>
          <w:sz w:val="16"/>
          <w:szCs w:val="16"/>
          <w:color w:val="auto"/>
        </w:rPr>
        <w:t>$29.5 million and $23.0 million, respectively, relating to the exposure fees accrued as of such date expected to be financed under the Ex-Im Credit Facility. As of March 31, 2016, included in Ex-Im Credit Facility and in unamortized discount and debt issuance costs on the Ex-Im Credit Facility was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$21.0 million and $18.7 million, respectively, relating to the exposure fees accrued as of such date expected to be financed under the Ex-Im Credit Facility.</w:t>
      </w:r>
    </w:p>
    <w:p>
      <w:pPr>
        <w:spacing w:after="0" w:line="32" w:lineRule="exact"/>
        <w:rPr>
          <w:rFonts w:ascii="Arial" w:cs="Arial" w:eastAsia="Arial" w:hAnsi="Arial"/>
          <w:sz w:val="16"/>
          <w:szCs w:val="16"/>
          <w:color w:val="auto"/>
        </w:rPr>
      </w:pPr>
    </w:p>
    <w:p>
      <w:pPr>
        <w:ind w:left="460" w:right="40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first quarter of fiscal year 2017, the Company adopted ASU 2015-03. The retrospective basis adoption of this guidance resulted in reclassification of unamortized debt issuance costs as a direct deduction from the carrying amount of the Company’s 2020 Notes and the Ex-Im Credit Facility, respectively, consistent with unamortized discount, as of March 31, 2016.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estimated aggregate amounts and timing of payments on the Company’s long-term debt obligations as of March 31, 2017 for the next five fiscal years and thereafter were as follows (excluding the effects of premium accretion on the 2020 Notes and discount accretion under the Ex-Im Credit Facility):</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For the Fiscal Years Ending</w:t>
            </w:r>
          </w:p>
        </w:tc>
        <w:tc>
          <w:tcPr>
            <w:tcW w:w="3000" w:type="dxa"/>
            <w:vAlign w:val="bottom"/>
            <w:gridSpan w:val="4"/>
            <w:vMerge w:val="restart"/>
          </w:tcPr>
          <w:p>
            <w:pPr>
              <w:ind w:left="204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3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2019</w:t>
            </w:r>
          </w:p>
        </w:tc>
        <w:tc>
          <w:tcPr>
            <w:tcW w:w="3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613,017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879,422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Plus: unamortized premium (discount)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848,771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2017, the Revolving Credit Facility provided an $800.0 million revolving line of credit (including up to $150.0 million of letters of credit), with a maturity date of May 24, 2021 (or March 16, 2020, if more than $200.0 million of the Company’s 2020 Notes are then outstanding and certain conditions are met).</w:t>
      </w:r>
    </w:p>
    <w:p>
      <w:pPr>
        <w:spacing w:after="0" w:line="140"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w:t>
      </w:r>
    </w:p>
    <w:p>
      <w:pPr>
        <w:jc w:val="both"/>
        <w:ind w:right="60"/>
        <w:spacing w:after="0" w:line="295" w:lineRule="auto"/>
        <w:rPr>
          <w:sz w:val="20"/>
          <w:szCs w:val="20"/>
          <w:color w:val="auto"/>
        </w:rPr>
      </w:pPr>
      <w:r>
        <w:rPr>
          <w:rFonts w:ascii="Arial" w:cs="Arial" w:eastAsia="Arial" w:hAnsi="Arial"/>
          <w:sz w:val="16"/>
          <w:szCs w:val="16"/>
          <w:color w:val="auto"/>
        </w:rPr>
        <w:t>(2),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2017, none of the Company’s subsidiaries guaranteed the Revolving Credit Facility.</w:t>
      </w:r>
    </w:p>
    <w:p>
      <w:pPr>
        <w:spacing w:after="0" w:line="11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Revolving Credit Facility as of March 31, 2017. At March 31, 2017, the Company had no outstanding borrowings under the Revolving Credit Facility and $38.6 million outstanding under standby letters of credit, leaving borrowing availability under the Revolving Credit Facility as of March 31, 2017 of $761.4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2017,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 On May 17, 2017, subsequent to fiscal year end, the Company reduced the size of the Ex-Im Credit Facility by $24.3 million from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$386.7 million to $362.4 million in light of the April 2017 amendment to the Boeing satellite construction agreement described in Note 12 below (which replaced the remaining milestone payments for the satellite under the agreement with approximately $21.0 million of in-orbit satellite performance incentive payments, excluding interest, payable monthly over a nine-year period commencing one month after the completion of in-orbit testing, subject to the continued satisfactory performance of the satellite) and certain project cost reductions.</w:t>
      </w:r>
    </w:p>
    <w:p>
      <w:pPr>
        <w:spacing w:after="0" w:line="14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estimated to be between 4.4% and 4.5% as of March 31, 2017. The Ex-Im Credit Facility is guaranteed by ViaSat and is secured by first-priority liens on the ViaSat-2 satellite and related assets, as well as a pledge of the capital stock of the borrower under the facility.</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was in compliance with its financial covenants under the Ex-Im Credit Facility as of March 31, 2017. At March 31, 2017, the Company had $274.6 million in principal amount of outstanding borrowings under the Ex-Im Credit Facility and had accrued $29.5 million in completion exposure fees expected to be financed under the Ex-Im Credit Facility. As of March 31, 2017, the undrawn commitment under the Ex-Im Credit Facility was $82.5 million (excluding $29.5 million of accrued completion exposure fees), of which $74.4 million was available to finance ViaSat-2 related costs once incurred (prior to giving effect to the $24.3 million reduction in the size of the Ex-Im Credit Facility subsequent to fiscal year end described above). Borrowings under the Ex-Im Credit Facility were issued with a discount of $36.6 million (comprising the initial $6.0 million exposure fee, the completion exposure fees accrued as of March 31, 2017 and other customary fees). Borrowings under the Ex-Im Credit Facility are recorded as long-term debt, net of unamortized discount and debt issuance costs, in the Company’s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the Company’s consolidated financial statements. In October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connection with the issuance of the additional 2020 Notes is recorded as long-term debt in the Company’s consolidated financial statements and is being amortized as a reduction to interest expense on an effective interest rate basis over the term of those 2020 Notes. The 2020 Notes are recorded as long-term debt, net of unamortized premium and debt issuance costs, in the Company’s consolidated financial statements.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Revolving Credit Facility. As of March 31, 2017,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2020 Notes may be redeemed, in whole or in part, at any time during the 12 months beginning on June 15, 2016 at a redemption price of 103.438%, during the 12 months beginning on June 15, 2017 at a redemption price of 101.719%, and at any time on or after June 15, 2018 at a redemption price of 100%, in each case plus accrued and unpaid interest, if any, thereon to the redemption date.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February 2016, the Company filed a universal shelf registration statement with the SEC for the future sale of an unlimited amount of common stock, preferred stock, debt securities,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2015 through various amendments of the Equity Participation Plan, the Company increased the maximum number of shares reserved for issuance under this plan to 25,200,000 shares. The Company believes that such awards better align the interests of its employees with those of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stockholders. Shares of the Company’s common stock granted under the Equity Participation Plan in the form of stock options or stock appreciation right are counted against the Equity Participation Plan share reserve on a one for one basis.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 2.65 shares for each share of common stock during the period beginning on September 22, 2010 and ending on September 19, 2012. Restricted stock units are granted to eligible employees and directors and represent rights to receive shares of common stock at a future date.</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September 2015, the Company amended the Employee Stock Purchase Plan to increase the maximum number of shares reserved for issuance under this plan from 2,550,000 shares to 2,850,000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stock-based compensation expense recognized in accordance with the authoritative guidance for share-based payments was as follows:</w:t>
      </w:r>
    </w:p>
    <w:p>
      <w:pPr>
        <w:spacing w:after="0" w:line="230"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0</wp:posOffset>
            </wp:positionV>
            <wp:extent cx="2710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6600"/>
        <w:spacing w:after="0"/>
        <w:tabs>
          <w:tab w:leader="none" w:pos="8320" w:val="left"/>
          <w:tab w:leader="none" w:pos="1008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4"/>
          <w:szCs w:val="14"/>
          <w:b w:val="1"/>
          <w:bCs w:val="1"/>
          <w:color w:val="auto"/>
        </w:rPr>
        <w:t>March 31, 2016</w:t>
      </w:r>
      <w:r>
        <w:rPr>
          <w:sz w:val="20"/>
          <w:szCs w:val="20"/>
          <w:color w:val="auto"/>
        </w:rPr>
        <w:tab/>
      </w:r>
      <w:r>
        <w:rPr>
          <w:rFonts w:ascii="Arial" w:cs="Arial" w:eastAsia="Arial" w:hAnsi="Arial"/>
          <w:sz w:val="12"/>
          <w:szCs w:val="12"/>
          <w:b w:val="1"/>
          <w:bCs w:val="1"/>
          <w:color w:val="auto"/>
        </w:rPr>
        <w:t>April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-6985</wp:posOffset>
            </wp:positionV>
            <wp:extent cx="2710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830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before taxes</w:t>
            </w:r>
          </w:p>
        </w:tc>
        <w:tc>
          <w:tcPr>
            <w:tcW w:w="1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55,775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47,510</w:t>
            </w:r>
          </w:p>
        </w:tc>
        <w:tc>
          <w:tcPr>
            <w:tcW w:w="4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(21,057)</w:t>
            </w: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(18,089)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net of taxes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34,718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29,421</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For fiscal years 2017, 2016 and 2015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has no awards with market or performance conditions. The compensation cost that has been charged against income for the Equity Participation Plan under the authoritative guidance for share-based payments was $52.6 million, $45.2 million and $37.2 million, and for the Employee Stock Purchase Plan was $3.1 million, $2.3 million and $2.1 million, for the fiscal years ended March 31, 2017, March 31, 2016 and April 3, 2015, respectively. The Company capitalized $6.6 million, $5.6 million and $2.5 million of stock-based compensation expense as a part of the cost for software development for resale included in other assets and as a part of the equipment and software for the internal use included in property, equipment and satellites for fiscal years 2017, 2016 and 2015, respectively.</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March 31, 2017, total unrecognized compensation cost related to unvested stock-based compensation arrangements granted under the Equity Participation Plan (including stock options and restricted stock units)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Employee Stock Purchase Plan was $158.9 million and $0.9 million, respectively. These costs are expected to be recognized over a weighted average period of 2.7 years and 2.8 years, for stock options and restricted stock units, respectively, under the Equity Participation Plan and less than six months for the Employee Stock Purchase Plan.</w:t>
      </w:r>
    </w:p>
    <w:p>
      <w:pPr>
        <w:spacing w:after="0" w:line="14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i w:val="1"/>
          <w:iCs w:val="1"/>
          <w:color w:val="auto"/>
        </w:rPr>
        <w:t xml:space="preserve">Stock options and employee stock purchase plan. </w:t>
      </w:r>
      <w:r>
        <w:rPr>
          <w:rFonts w:ascii="Arial" w:cs="Arial" w:eastAsia="Arial" w:hAnsi="Arial"/>
          <w:sz w:val="15"/>
          <w:szCs w:val="15"/>
          <w:color w:val="auto"/>
        </w:rPr>
        <w:t>The Company’s employee stock options typically have a simple four-year vesting schedule and a six year</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contractual term. The weighted average estimated fair value of employee stock options granted and employee stock purchase plan shares issued during fiscal year 2017 was $23.62 and $16.27 per share, respectively, during fiscal year 2016 was $20.35 and $13.37 per share, respectively, and during fiscal year 2015 was $22.22 and $14.18 per share, respectively, using the Black-Scholes model with the following weighted average assumptions (annualized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Employee Stock Options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Employee Stock Purchase Plan</w:t>
            </w:r>
          </w:p>
        </w:tc>
      </w:tr>
      <w:tr>
        <w:trPr>
          <w:trHeight w:val="129"/>
        </w:trPr>
        <w:tc>
          <w:tcPr>
            <w:tcW w:w="506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352"/>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Fiscal Year</w:t>
            </w:r>
          </w:p>
        </w:tc>
        <w:tc>
          <w:tcPr>
            <w:tcW w:w="40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11"/>
                <w:szCs w:val="11"/>
                <w:color w:val="auto"/>
              </w:rPr>
            </w:pPr>
          </w:p>
        </w:tc>
      </w:tr>
      <w:tr>
        <w:trPr>
          <w:trHeight w:val="16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33.4%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Expected life</w:t>
            </w:r>
          </w:p>
        </w:tc>
        <w:tc>
          <w:tcPr>
            <w:tcW w:w="1100" w:type="dxa"/>
            <w:vAlign w:val="bottom"/>
            <w:gridSpan w:val="2"/>
          </w:tcPr>
          <w:p>
            <w:pPr>
              <w:jc w:val="center"/>
              <w:ind w:right="292"/>
              <w:spacing w:after="0"/>
              <w:rPr>
                <w:sz w:val="20"/>
                <w:szCs w:val="20"/>
                <w:color w:val="auto"/>
              </w:rPr>
            </w:pPr>
            <w:r>
              <w:rPr>
                <w:rFonts w:ascii="Arial" w:cs="Arial" w:eastAsia="Arial" w:hAnsi="Arial"/>
                <w:sz w:val="18"/>
                <w:szCs w:val="18"/>
                <w:color w:val="auto"/>
                <w:w w:val="83"/>
              </w:rPr>
              <w:t>5.5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0.5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0.5 years</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0.5 years</w:t>
            </w: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expected volatility is a measure of the amount by which its stock price is expected to fluctuate over the expected term of the stock-based award. The estimated volatilities for stock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 or life of employee stock options represents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stock option activity for fiscal year 2017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Weighted Average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Remaining</w:t>
            </w:r>
          </w:p>
        </w:tc>
        <w:tc>
          <w:tcPr>
            <w:tcW w:w="3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per Share</w:t>
            </w: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Term in Years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31,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1,833,437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7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463,000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70.09</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(273,050)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44.37</w:t>
            </w: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2,004,262</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7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2017</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vMerge w:val="restart"/>
          </w:tcPr>
          <w:p>
            <w:pPr>
              <w:ind w:left="38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52.19</w:t>
            </w:r>
          </w:p>
        </w:tc>
        <w:tc>
          <w:tcPr>
            <w:tcW w:w="760" w:type="dxa"/>
            <w:vAlign w:val="bottom"/>
          </w:tcPr>
          <w:p>
            <w:pPr>
              <w:spacing w:after="0" w:line="20" w:lineRule="exact"/>
              <w:rPr>
                <w:sz w:val="1"/>
                <w:szCs w:val="1"/>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2.31</w:t>
            </w:r>
          </w:p>
        </w:tc>
        <w:tc>
          <w:tcPr>
            <w:tcW w:w="500" w:type="dxa"/>
            <w:vAlign w:val="bottom"/>
            <w:gridSpan w:val="2"/>
            <w:vMerge w:val="restart"/>
          </w:tcPr>
          <w:p>
            <w:pPr>
              <w:ind w:left="38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12,147</w:t>
            </w:r>
          </w:p>
        </w:tc>
        <w:tc>
          <w:tcPr>
            <w:tcW w:w="0" w:type="dxa"/>
            <w:vAlign w:val="bottom"/>
          </w:tcPr>
          <w:p>
            <w:pPr>
              <w:spacing w:after="0" w:line="20" w:lineRule="exact"/>
              <w:rPr>
                <w:sz w:val="1"/>
                <w:szCs w:val="1"/>
                <w:color w:val="auto"/>
              </w:rPr>
            </w:pPr>
          </w:p>
        </w:tc>
      </w:tr>
      <w:tr>
        <w:trPr>
          <w:trHeight w:val="208"/>
        </w:trPr>
        <w:tc>
          <w:tcPr>
            <w:tcW w:w="5060" w:type="dxa"/>
            <w:vAlign w:val="bottom"/>
            <w:gridSpan w:val="2"/>
            <w:vMerge w:val="continue"/>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1,011,200</w:t>
            </w:r>
          </w:p>
        </w:tc>
        <w:tc>
          <w:tcPr>
            <w:tcW w:w="4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stock options exercised during fiscal years 2017, 2016 and 2015 was $8.3 million, $14.5 million and $28.9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All options issued under the Company’s stock option plans have an exercise price equal to the fair market value of the Company’s stock on the date of the grant.</w:t>
      </w:r>
    </w:p>
    <w:p>
      <w:pPr>
        <w:spacing w:after="0" w:line="18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represent a right to receive shares of common stock at a future date determined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award agreement. There is no exercise price and no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2017, 2016 and 2015, the Company recognized $44.9 million, $38.4 million and $31.4 million, respectively, in stock-based compensation expense related to these restricted stock unit awards.</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2017, 2016 and 2015 was $69.99, $61.81 and $65.20, respectively. A summary of restricted stock unit activity for fiscal year 2017 is presented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000" w:type="dxa"/>
            <w:vAlign w:val="bottom"/>
            <w:gridSpan w:val="3"/>
          </w:tcPr>
          <w:p>
            <w:pPr>
              <w:jc w:val="center"/>
              <w:ind w:left="817"/>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148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Units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31, 2016</w:t>
            </w:r>
          </w:p>
        </w:tc>
        <w:tc>
          <w:tcPr>
            <w:tcW w:w="1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2,369,339</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Awarded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1,195,961</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(93,330)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Released</w:t>
            </w:r>
          </w:p>
        </w:tc>
        <w:tc>
          <w:tcPr>
            <w:tcW w:w="148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(792,616)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14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2,679,354</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Vested and deferred at March 31, 2017</w:t>
            </w:r>
          </w:p>
        </w:tc>
        <w:tc>
          <w:tcPr>
            <w:tcW w:w="1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vMerge w:val="restart"/>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38.19</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148,503</w:t>
            </w:r>
          </w:p>
        </w:tc>
        <w:tc>
          <w:tcPr>
            <w:tcW w:w="5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fair value of shares vested related to restricted stock units during the fiscal years 2017, 2016 and 2015 was $58.4 million, $43.8 million and $30.6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Shares Used In Computing Diluted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89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March 31,</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r>
      <w:tr>
        <w:trPr>
          <w:trHeight w:val="161"/>
        </w:trPr>
        <w:tc>
          <w:tcPr>
            <w:tcW w:w="8900" w:type="dxa"/>
            <w:vAlign w:val="bottom"/>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gridSpan w:val="2"/>
          </w:tcPr>
          <w:p>
            <w:pPr>
              <w:jc w:val="center"/>
              <w:ind w:left="180"/>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8900" w:type="dxa"/>
            <w:vAlign w:val="bottom"/>
          </w:tcPr>
          <w:p>
            <w:pPr>
              <w:spacing w:after="0"/>
              <w:rPr>
                <w:sz w:val="20"/>
                <w:szCs w:val="20"/>
                <w:color w:val="auto"/>
              </w:rPr>
            </w:pPr>
            <w:r>
              <w:rPr>
                <w:rFonts w:ascii="Arial" w:cs="Arial" w:eastAsia="Arial" w:hAnsi="Arial"/>
                <w:sz w:val="18"/>
                <w:szCs w:val="18"/>
                <w:color w:val="auto"/>
                <w:w w:val="99"/>
              </w:rPr>
              <w:t>Common shares outstanding used in calculating basic net income per share attributable to ViaSat, Inc. common</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90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52,318</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48,464</w:t>
            </w:r>
          </w:p>
        </w:tc>
        <w:tc>
          <w:tcPr>
            <w:tcW w:w="620" w:type="dxa"/>
            <w:vAlign w:val="bottom"/>
          </w:tcPr>
          <w:p>
            <w:pPr>
              <w:jc w:val="right"/>
              <w:spacing w:after="0"/>
              <w:rPr>
                <w:sz w:val="20"/>
                <w:szCs w:val="20"/>
                <w:color w:val="auto"/>
              </w:rPr>
            </w:pPr>
            <w:r>
              <w:rPr>
                <w:rFonts w:ascii="Arial" w:cs="Arial" w:eastAsia="Arial" w:hAnsi="Arial"/>
                <w:sz w:val="18"/>
                <w:szCs w:val="18"/>
                <w:color w:val="auto"/>
              </w:rPr>
              <w:t>47,139</w:t>
            </w:r>
          </w:p>
        </w:tc>
        <w:tc>
          <w:tcPr>
            <w:tcW w:w="60" w:type="dxa"/>
            <w:vAlign w:val="bottom"/>
          </w:tcPr>
          <w:p>
            <w:pPr>
              <w:spacing w:after="0"/>
              <w:rPr>
                <w:sz w:val="19"/>
                <w:szCs w:val="19"/>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 application of the treasury stock method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Restricted stock units to acquire common stock as determined by application of the treasury stock method</w:t>
            </w:r>
          </w:p>
        </w:tc>
        <w:tc>
          <w:tcPr>
            <w:tcW w:w="640" w:type="dxa"/>
            <w:vAlign w:val="bottom"/>
          </w:tcPr>
          <w:p>
            <w:pPr>
              <w:jc w:val="right"/>
              <w:spacing w:after="0"/>
              <w:rPr>
                <w:sz w:val="20"/>
                <w:szCs w:val="20"/>
                <w:color w:val="auto"/>
              </w:rPr>
            </w:pPr>
            <w:r>
              <w:rPr>
                <w:rFonts w:ascii="Arial" w:cs="Arial" w:eastAsia="Arial" w:hAnsi="Arial"/>
                <w:sz w:val="18"/>
                <w:szCs w:val="18"/>
                <w:color w:val="auto"/>
              </w:rPr>
              <w:t>658</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533</w:t>
            </w:r>
          </w:p>
        </w:tc>
        <w:tc>
          <w:tcPr>
            <w:tcW w:w="62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r>
      <w:tr>
        <w:trPr>
          <w:trHeight w:val="20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2"/>
              </w:rPr>
              <w:t>Potentially issuable shares in connection with certain terms of the ViaSat 401(k) Profit Sharing Plan and Employee Stock</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9"/>
                <w:szCs w:val="19"/>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Shares used in computing diluted net income per share attributable to</w:t>
            </w: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900" w:type="dxa"/>
            <w:vAlign w:val="bottom"/>
          </w:tcPr>
          <w:p>
            <w:pPr>
              <w:ind w:left="220"/>
              <w:spacing w:after="0"/>
              <w:rPr>
                <w:sz w:val="20"/>
                <w:szCs w:val="20"/>
                <w:color w:val="auto"/>
              </w:rPr>
            </w:pPr>
            <w:r>
              <w:rPr>
                <w:rFonts w:ascii="Arial" w:cs="Arial" w:eastAsia="Arial" w:hAnsi="Arial"/>
                <w:sz w:val="18"/>
                <w:szCs w:val="18"/>
                <w:color w:val="auto"/>
              </w:rPr>
              <w:t>ViaSat, Inc. common stockholders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53,396</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49,445</w:t>
            </w:r>
          </w:p>
        </w:tc>
        <w:tc>
          <w:tcPr>
            <w:tcW w:w="620" w:type="dxa"/>
            <w:vAlign w:val="bottom"/>
          </w:tcPr>
          <w:p>
            <w:pPr>
              <w:jc w:val="right"/>
              <w:spacing w:after="0"/>
              <w:rPr>
                <w:sz w:val="20"/>
                <w:szCs w:val="20"/>
                <w:color w:val="auto"/>
              </w:rPr>
            </w:pPr>
            <w:r>
              <w:rPr>
                <w:rFonts w:ascii="Arial" w:cs="Arial" w:eastAsia="Arial" w:hAnsi="Arial"/>
                <w:sz w:val="18"/>
                <w:szCs w:val="18"/>
                <w:color w:val="auto"/>
              </w:rPr>
              <w:t>48,285</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Antidilutive shares relating to stock options excluded from the calculation comprised 582,315, 810,231 and 451,038 shares for the fiscal years ended March 31, 2017, March 31, 2016 and April 3, 2015, respectively. Antidilutive shares relating to restricted stock units excluded from the calculation comprised 24, 4,138 and 285,481 for the fiscal years ended March 31, 2017, March 31, 2016 and April 3, 2015,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before income taxes by jurisdiction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5"/>
              </w:rPr>
              <w:t>Fiscal Years Ended</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4"/>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center"/>
              <w:ind w:left="516"/>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6"/>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8"/>
              </w:rPr>
              <w:t>$ 29,649</w:t>
            </w:r>
          </w:p>
        </w:tc>
        <w:tc>
          <w:tcPr>
            <w:tcW w:w="1400" w:type="dxa"/>
            <w:vAlign w:val="bottom"/>
            <w:gridSpan w:val="7"/>
            <w:shd w:val="clear" w:color="auto" w:fill="CCEEFF"/>
          </w:tcPr>
          <w:p>
            <w:pPr>
              <w:jc w:val="right"/>
              <w:ind w:right="360"/>
              <w:spacing w:after="0"/>
              <w:rPr>
                <w:sz w:val="20"/>
                <w:szCs w:val="20"/>
                <w:color w:val="auto"/>
              </w:rPr>
            </w:pPr>
            <w:r>
              <w:rPr>
                <w:rFonts w:ascii="Arial" w:cs="Arial" w:eastAsia="Arial" w:hAnsi="Arial"/>
                <w:sz w:val="18"/>
                <w:szCs w:val="18"/>
                <w:color w:val="auto"/>
              </w:rPr>
              <w:t>$ 20,280</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$58,185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Foreign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(4,265)</w:t>
            </w:r>
          </w:p>
        </w:tc>
        <w:tc>
          <w:tcPr>
            <w:tcW w:w="1400" w:type="dxa"/>
            <w:vAlign w:val="bottom"/>
            <w:gridSpan w:val="7"/>
          </w:tcPr>
          <w:p>
            <w:pPr>
              <w:jc w:val="right"/>
              <w:ind w:right="300"/>
              <w:spacing w:after="0"/>
              <w:rPr>
                <w:sz w:val="20"/>
                <w:szCs w:val="20"/>
                <w:color w:val="auto"/>
              </w:rPr>
            </w:pPr>
            <w:r>
              <w:rPr>
                <w:rFonts w:ascii="Arial" w:cs="Arial" w:eastAsia="Arial" w:hAnsi="Arial"/>
                <w:sz w:val="18"/>
                <w:szCs w:val="18"/>
                <w:color w:val="auto"/>
              </w:rPr>
              <w:t>(2,683)</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$ 25,384</w:t>
            </w:r>
          </w:p>
        </w:tc>
        <w:tc>
          <w:tcPr>
            <w:tcW w:w="140" w:type="dxa"/>
            <w:vAlign w:val="bottom"/>
            <w:shd w:val="clear" w:color="auto" w:fill="CCEEFF"/>
          </w:tcPr>
          <w:p>
            <w:pPr>
              <w:spacing w:after="0"/>
              <w:rPr>
                <w:sz w:val="18"/>
                <w:szCs w:val="18"/>
                <w:color w:val="auto"/>
              </w:rPr>
            </w:pPr>
          </w:p>
        </w:tc>
        <w:tc>
          <w:tcPr>
            <w:tcW w:w="1400" w:type="dxa"/>
            <w:vAlign w:val="bottom"/>
            <w:gridSpan w:val="7"/>
            <w:shd w:val="clear" w:color="auto" w:fill="CCEEFF"/>
          </w:tcPr>
          <w:p>
            <w:pPr>
              <w:jc w:val="right"/>
              <w:ind w:right="360"/>
              <w:spacing w:after="0"/>
              <w:rPr>
                <w:sz w:val="20"/>
                <w:szCs w:val="20"/>
                <w:color w:val="auto"/>
              </w:rPr>
            </w:pPr>
            <w:r>
              <w:rPr>
                <w:rFonts w:ascii="Arial" w:cs="Arial" w:eastAsia="Arial" w:hAnsi="Arial"/>
                <w:sz w:val="18"/>
                <w:szCs w:val="18"/>
                <w:color w:val="auto"/>
              </w:rPr>
              <w:t>$ 17,597</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53,718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(benefit from) income taxes includes the following:</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2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85"/>
              </w:rPr>
              <w:t>Fiscal Years Ended</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left="336"/>
              <w:spacing w:after="0"/>
              <w:rPr>
                <w:sz w:val="20"/>
                <w:szCs w:val="20"/>
                <w:color w:val="auto"/>
              </w:rPr>
            </w:pPr>
            <w:r>
              <w:rPr>
                <w:rFonts w:ascii="Arial" w:cs="Arial" w:eastAsia="Arial" w:hAnsi="Arial"/>
                <w:sz w:val="14"/>
                <w:szCs w:val="14"/>
                <w:b w:val="1"/>
                <w:bCs w:val="1"/>
                <w:color w:val="auto"/>
                <w:w w:val="83"/>
              </w:rPr>
              <w:t>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tax (benefit) provision</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Federal</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   132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  (216)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Foreign</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tax (benefit) provision</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State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(4,509)</w:t>
            </w:r>
          </w:p>
        </w:tc>
        <w:tc>
          <w:tcPr>
            <w:tcW w:w="14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(7,090)</w:t>
            </w:r>
          </w:p>
        </w:tc>
        <w:tc>
          <w:tcPr>
            <w:tcW w:w="36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(4,996)</w:t>
            </w:r>
          </w:p>
        </w:tc>
        <w:tc>
          <w:tcPr>
            <w:tcW w:w="36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(benefit from) income taxes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(4,173)</w:t>
            </w: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w w:val="97"/>
              </w:rPr>
              <w:t>Significant components of the Company’s net deferred tax assets are as follows:</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2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As of</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6"/>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1"/>
                <w:szCs w:val="11"/>
                <w:color w:val="auto"/>
              </w:rPr>
            </w:pPr>
          </w:p>
        </w:tc>
        <w:tc>
          <w:tcPr>
            <w:tcW w:w="740" w:type="dxa"/>
            <w:vAlign w:val="bottom"/>
            <w:gridSpan w:val="2"/>
          </w:tcPr>
          <w:p>
            <w:pPr>
              <w:jc w:val="right"/>
              <w:ind w:right="6"/>
              <w:spacing w:after="0" w:line="12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jc w:val="right"/>
              <w:ind w:right="16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7"/>
          </w:tcPr>
          <w:p>
            <w:pPr>
              <w:jc w:val="right"/>
              <w:ind w:right="52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$ 202,752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$ 222,332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 carryforwards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145,369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129,333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74,962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64,459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(17,728)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8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assets</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405,355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399,035</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(98,099)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(82,295)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equipment and satellites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(174,428)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(182,030)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8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liabilities</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(272,527)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(264,325)</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$ 132,828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$ 134,710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80" w:type="dxa"/>
            <w:vAlign w:val="bottom"/>
            <w:vMerge w:val="restart"/>
          </w:tcPr>
          <w:p>
            <w:pPr>
              <w:ind w:left="4620"/>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reconciliation of the provision for (benefit from) income taxes to the amount computed by applying the statutory federal income tax rate to income before income taxes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7"/>
              </w:rPr>
              <w:t>Fiscal Years Ended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1"/>
                <w:szCs w:val="11"/>
                <w:color w:val="auto"/>
              </w:rPr>
            </w:pPr>
          </w:p>
        </w:tc>
        <w:tc>
          <w:tcPr>
            <w:tcW w:w="130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56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5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2016</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federal statutory rate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18,808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Tax credits, net of valuation allowance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(15,121)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(16,016)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(14,055)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Non-deductible meals and entertainment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Change in state effective tax rate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Foreign effective tax rate differential, net of valuation allowance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(benefit from) income taxes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13,827</w:t>
            </w:r>
          </w:p>
        </w:tc>
      </w:tr>
      <w:tr>
        <w:trPr>
          <w:trHeight w:val="20"/>
        </w:trPr>
        <w:tc>
          <w:tcPr>
            <w:tcW w:w="5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2017, the Company had federal and state research credit carryforwards of $109.6 million and $113.8 million, respectively, which begin to expire in fiscal year 2026 and fiscal year 2018, respectively. As of March 31, 2017, the Company had alternative minimum tax (AMT) and foreign tax credit (FTC) carryforwards of $0.4 million and $1.3 million, respectively. The AMT credit does not expire and the FTC begins to expire in fiscal year 2021. As of March 31, 2017, the Company had federal and state net operating loss carryforwards of $673.6 million and $556.0 million, respectively, which begin to expire in fiscal year 2020 and fiscal year 2018, respectively.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recognizes excess tax benefits associated with share-based compensation to stockholders’ equity only when realized. When assessing whether excess tax benefits relating to share-based compensation have been realized, the Company follows the with-and-without approach excluding any indirect effects of the excess tax deductions. Under this approach, excess tax benefits related to share-based compensation are not deemed to be realized until after the utilization of all other tax benefits available to the Company. During fiscal year 2017, the Company did not realize any excess tax benefits. As of March 31, 2017, the Company had $58.7 million of unrealized excess tax benefits associated with share-based compensation. In accordance with ASU 2016-09, these excess tax benefits not previously recognized are recorded and simultaneously reviewed for realization, on a modified retrospective basis through a cumulative effect adjustment to retained earnings as of the beginning of the first quarter of fiscal year 2018. On a prospective basis, the Company will recognize excess tax benefits or deficiencies on vesting or settlement of awards as an income tax benefit or provision within net income (loss) and the related cash flows classified within operating activities.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$17.7 million at March 31, 2017 and $17.1 million at March 31,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2016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540" w:type="dxa"/>
            <w:vAlign w:val="bottom"/>
          </w:tcPr>
          <w:p>
            <w:pPr>
              <w:spacing w:after="0"/>
              <w:rPr>
                <w:sz w:val="11"/>
                <w:szCs w:val="11"/>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1"/>
                <w:szCs w:val="11"/>
                <w:color w:val="auto"/>
              </w:rPr>
            </w:pPr>
          </w:p>
        </w:tc>
        <w:tc>
          <w:tcPr>
            <w:tcW w:w="5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r>
      <w:tr>
        <w:trPr>
          <w:trHeight w:val="161"/>
        </w:trPr>
        <w:tc>
          <w:tcPr>
            <w:tcW w:w="6540" w:type="dxa"/>
            <w:vAlign w:val="bottom"/>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$ 45,080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$ 41,769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$37,395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(Decrease) increase related to prior year tax positions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(586)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4,407</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3,897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Statute expirations</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7"/>
        </w:trPr>
        <w:tc>
          <w:tcPr>
            <w:tcW w:w="6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fiscal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$ 49,066</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$ 45,080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41,769</w:t>
            </w:r>
          </w:p>
        </w:tc>
      </w:tr>
      <w:tr>
        <w:trPr>
          <w:trHeight w:val="20"/>
        </w:trPr>
        <w:tc>
          <w:tcPr>
            <w:tcW w:w="6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Of the total unrecognized tax benefits at March 31, 2017, $40.2 million would reduce the Company’s annual effective tax rate if recognized, subject to valuation allowance consideration.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next 12 months it is reasonably possible that the amount of unrecognized tax benefits will not change significantly.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periodic audits by domestic and foreign tax authorities. By statute, the Company’s U.S. federal income tax returns are subject to examination by the Internal Revenue Service (“IRS”) for fiscal years 2014 through 2016. Additionally, tax credit carryovers that were generated in prior years and utilized in these years may also be subject to examination by the IRS. With few exceptions, fiscal years 2013 to 2016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March 31, 2017 and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Strategic Partnering Arrangement</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March 3, 2017, the Company consummated its strategic partnering arrangement with Eutelsat for the ownership and operation of satellite broadband infrastructure and equipment, and provision of satellite-based broadband internet services in the European region. At the closing of the transaction, Eutelsat contributed and transferred assets relating to its existing wholesale satellite broadband business (including its KA-SAT satellite) to Euro Infrastructure Co. in exchange for the issuance of new shares in such subsidiary, and immediately following such contribution and issuance, the Company purchased 49% of the issued shares of Euro Infrastructure Co. from Eutelsat for cash consideration of $139.5 million. The Company’s total net cash outlay for our investment in Euro Infrastructure Co., including approximately $2.4 million of transaction costs, was approximately $141.9 million. Also at the closing, Eutelsat purchased 49% of the issued shares of a subsidiary of the Company,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 services in the European region. Also at the closing, the Company and Eutelsat entered into shareholders’ agreements and other ancillary agreements with respect to the ownership, management and operation of the two entities (see Note 10 for more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Method Investments and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Eutelsat strategic partnering arrangement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March 2017, the Company acquired a 49% interest in Euro Infrastructure Co.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consolidated balance sheets. The Company will record its proportionate share of the results of Euro Infrastructure Co., and any related basis difference amortization expense, within equity in earnings (losses) of unconsolidated affiliate, net, one quarter in arrears. Therefore, the Company’s share of the results of Euro Infrastructure Co. (from and after the date of the Company’s investment in Euro Infrastructure Co. on March 3, 2017) will be included in the Company’s consolidated financial statements commencing in the first quarter of fiscal year 2018. The Company’s investment in Euro Infrastructure Co. is presented at cost of investment plus its accumulated proportional share of income or loss less any distributions it has received.</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March 3, 2017 is summarized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investment in Euro Infrastructure Co.</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141,894</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Proportionate share of net assets of Euro Infrastructure Co</w:t>
            </w:r>
          </w:p>
        </w:tc>
        <w:tc>
          <w:tcPr>
            <w:tcW w:w="1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carrying value of investment over proportionate share of net assets</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The excess carrying value has been primarily assigned to:</w:t>
            </w: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20,791</w:t>
            </w: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Identifiable intangible assets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Tangible asset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(20,241)</w:t>
            </w:r>
          </w:p>
        </w:tc>
        <w:tc>
          <w:tcPr>
            <w:tcW w:w="0" w:type="dxa"/>
            <w:vAlign w:val="bottom"/>
          </w:tcPr>
          <w:p>
            <w:pPr>
              <w:spacing w:after="0"/>
              <w:rPr>
                <w:sz w:val="1"/>
                <w:szCs w:val="1"/>
                <w:color w:val="auto"/>
              </w:rPr>
            </w:pPr>
          </w:p>
        </w:tc>
      </w:tr>
      <w:tr>
        <w:trPr>
          <w:trHeight w:val="223"/>
        </w:trPr>
        <w:tc>
          <w:tcPr>
            <w:tcW w:w="76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identifiable intangible assets have useful lives up to 11 years and a weighted average useful life of approximately ten years, and tangible assets have useful lives up to 11 years and a weighted average useful life of approximately 11 years. The preliminary allocation is subject to revision as more detailed analysis is completed and additional information on the assets and liabilities of Euro Infrastructure Co. as of the closing date becomes available. Any change in the net assets of Euro Infrastructure Co. will change the amount of the purchase price allocable to goodwill. Goodwill is not deductible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Transactions with equity method investee are considered related party transactions. Related party transactions entered into between Euro Infrastructure Co. and its subsidiaries, on the one hand, and the Company and its subsidiaries, on the other hand, in the ordinary course of business for the period from and after the date of the Company’s investment in Euro Infrastructure Co. in March 2017 and as of March 31, 2017 were insignificant.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Under the plan, the Company may make discretionary contributions to the plan which vest over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six years. The Company’s discretionary matching contributions to the plan are based on the amount of employee contributions and can be made in cash or the Company’s common stock at the Company’s election. Subsequent to the 2017 fiscal year end, the Company elected to settle the discretionary contributions liability in shares of the Company’s common stock, consistent with fiscal year 2016. Based on the closing price of the Company’s common stock at the 2017 fiscal year end, the Company would issue approximately 263,340 shares of common stock at this time. Discretionary contributions accrued by the Company as of March 31, 2017 and 2016 amounted to $16.8 million and $13.6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May 2013, the Company entered into an agreement to purchase the ViaSat-2 satellite from The Boeing Company (Boeing) at a price of approximately $358.0 million, plus an additional amount for launch support services to be performed by Boeing. In April 2017, subsequent to the fiscal year end, the satellite construction agreement was amended to replace the remaining milestone payments for the satellite under the agreement with approximately $21.0 million of in-orbit satellite performance incentives payments, excluding interest, payable monthly over a nine-year period commencing one month after the completion of in-orbit testing, subject to the continued satisfactory performance of the satellite.</w:t>
      </w:r>
    </w:p>
    <w:p>
      <w:pPr>
        <w:spacing w:after="0" w:line="3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July 2016, the Company entered into two separate agreements with Boeing for the construction and purchase of two ViaSat-3 class satellites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These agreements supersede the prior limited authorization to proceed which was entered into during the fourth quarter of fiscal year 2016. The first ViaSat-3 class satellite is expected to provide broadband services over the Americas, and the second is expected to provide broadband services over Europe, Middle East and Africa.</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addition to the satellite construction agreements described above, the Company also enters into various other satellite-related purchase commitments, including with respect to the provision of launch services, operation of our satellites and satellite insurance. As of March 31, 2017, future minimum payments under the Company’s satellite construction contracts and other satellite-related purchase commitments for the next five fiscal years and thereafter were as follows:</w:t>
      </w:r>
    </w:p>
    <w:p>
      <w:pPr>
        <w:spacing w:after="0" w:line="12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Years Ending</w:t>
            </w:r>
          </w:p>
        </w:tc>
        <w:tc>
          <w:tcPr>
            <w:tcW w:w="6540" w:type="dxa"/>
            <w:vAlign w:val="bottom"/>
            <w:gridSpan w:val="4"/>
          </w:tcPr>
          <w:p>
            <w:pPr>
              <w:ind w:left="5640"/>
              <w:spacing w:after="0"/>
              <w:rPr>
                <w:sz w:val="20"/>
                <w:szCs w:val="20"/>
                <w:color w:val="auto"/>
              </w:rPr>
            </w:pPr>
            <w:r>
              <w:rPr>
                <w:rFonts w:ascii="Arial" w:cs="Arial" w:eastAsia="Arial" w:hAnsi="Arial"/>
                <w:sz w:val="14"/>
                <w:szCs w:val="14"/>
                <w:b w:val="1"/>
                <w:bCs w:val="1"/>
                <w:color w:val="auto"/>
                <w:w w:val="91"/>
              </w:rPr>
              <w:t>(In thousands)</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2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2019</w:t>
            </w:r>
          </w:p>
        </w:tc>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207,395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134,868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2021</w:t>
            </w:r>
          </w:p>
        </w:tc>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Thereafter</w:t>
            </w:r>
          </w:p>
        </w:tc>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578,039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January 2008, the Company entered into several agreements with Space Systems/Loral, Inc. (SS/L), its former parent company Loral Space &amp; Communications, Inc. (Loral) and Telesat Canada related to the Company’s ViaSat-1 satellite, which was placed into service in January 2012. The Company’s contract with SS/L requires monthly in-orbit satellite performance incentive payments, including interest, over a 15-year period from December 2011 until December 2026, subject to the continued satisfactory performance of the satellite. The Company recorded the net present value of these expected future payments as a liability and as a component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cost of the satellite during the third quarter of fiscal year 2012. As of March 31, 2017, the Company’s estimated satellite performance incentives obligation and accrued interest was approximately $21.8 million, of which $2.6 million and $19.2 million have been classified current in accrued liabilities and non-current in other liabilities, respectively. Under the satellite construction contract with SS/L, the Company may incur up to $30.8 million in total costs for satellite performance incentives obligation and related interest earned over the 15-year period with potential future minimum payments of $2.3 million, $2.5 million, $2.6 million, $2.8 million and $3.1 million in fiscal years 2018, 2019, 2020, 2021 and 2022, respectively, with $17.5 million commitments thereafter.</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$33.8 million, $19.6 million, $15.8 million and $7.4 million in fiscal years 2018, 2019, 2020 and 2021, respectively, and no further minimum payments thereafter.</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leases office and other facilities under non-cancelable operating leases with initial terms ranging from one to 15 years which expire between fiscal year 2018 and fiscal year 2029 and provide for pre-negotiated fixed rental rates during the terms of the lease. Certain of the Company’s facilities leases contain option provisions which allow for extension of the lease terms.</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For operating leases, minimum lease payments, including minimum scheduled rent increases, are recognized as rent expense on a straight-line basis over the lease term as that term is defined in the authoritative guidance for leases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$34.0 million, $27.7 million and $24.5 million in fiscal years 2017, 2016 and 2015,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future minimum lease payments for the next five fiscal years and thereafter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Years Ending</w:t>
            </w:r>
          </w:p>
        </w:tc>
        <w:tc>
          <w:tcPr>
            <w:tcW w:w="6540" w:type="dxa"/>
            <w:vAlign w:val="bottom"/>
            <w:gridSpan w:val="4"/>
          </w:tcPr>
          <w:p>
            <w:pPr>
              <w:ind w:left="5640"/>
              <w:spacing w:after="0"/>
              <w:rPr>
                <w:sz w:val="20"/>
                <w:szCs w:val="20"/>
                <w:color w:val="auto"/>
              </w:rPr>
            </w:pPr>
            <w:r>
              <w:rPr>
                <w:rFonts w:ascii="Arial" w:cs="Arial" w:eastAsia="Arial" w:hAnsi="Arial"/>
                <w:sz w:val="14"/>
                <w:szCs w:val="14"/>
                <w:b w:val="1"/>
                <w:bCs w:val="1"/>
                <w:color w:val="auto"/>
                <w:w w:val="91"/>
              </w:rPr>
              <w:t>(In thousands)</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2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2019</w:t>
            </w:r>
          </w:p>
        </w:tc>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2021</w:t>
            </w:r>
          </w:p>
        </w:tc>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Thereafter</w:t>
            </w:r>
          </w:p>
        </w:tc>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170,776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363,980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380"/>
        <w:spacing w:after="0" w:line="347" w:lineRule="auto"/>
        <w:rPr>
          <w:sz w:val="20"/>
          <w:szCs w:val="20"/>
          <w:color w:val="auto"/>
        </w:rPr>
      </w:pPr>
      <w:r>
        <w:rPr>
          <w:rFonts w:ascii="Arial" w:cs="Arial" w:eastAsia="Arial" w:hAnsi="Arial"/>
          <w:sz w:val="18"/>
          <w:szCs w:val="18"/>
          <w:b w:val="1"/>
          <w:bCs w:val="1"/>
          <w:color w:val="auto"/>
        </w:rPr>
        <w:t xml:space="preserve">Note 13 — Contingencies and Certain Matters Resolved During Fiscal Year 2015 </w:t>
      </w:r>
      <w:r>
        <w:rPr>
          <w:rFonts w:ascii="Arial" w:cs="Arial" w:eastAsia="Arial" w:hAnsi="Arial"/>
          <w:sz w:val="18"/>
          <w:szCs w:val="18"/>
          <w:b w:val="1"/>
          <w:bCs w:val="1"/>
          <w:i w:val="1"/>
          <w:iCs w:val="1"/>
          <w:color w:val="auto"/>
        </w:rPr>
        <w:t>Contingencies</w:t>
      </w:r>
    </w:p>
    <w:p>
      <w:pPr>
        <w:spacing w:after="0" w:line="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March 2016, the Company’s 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 In February 2017, based on further developments in that investigation and TrellisWare’s discussions with the U.S. Attorney’s Office, the Company accrued a total loss contingency of $11.8 million in SG&amp;A expenses in our government systems segment, which consisted of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As of March 31, 2017, the total loss contingency was recorded in accrued liabilities and other long term liabilities in the consolidated balance sheet in the amounts of $8.8 million and $3.0 million, respectively. At this time, the Company cannot determine with certainty how or whether the TrellisWare investigation will conclude or whether this will be the final amount of damages and penalties.</w:t>
      </w:r>
    </w:p>
    <w:p>
      <w:pPr>
        <w:spacing w:after="0" w:line="124"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2016. As of March 31,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2017 and 2016, the Company had $1.8 million and $2.5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 2015</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2014, the Company entered into a settlement agreement with SS/L and Loral (the Settlement Agreement),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accounted for the amounts payable by SS/L and Loral under the Settlement Agreement as a multiple-element arrangement and allocated the total consideration to the identifiable elements based upon their fair value. The consideration assigned to each element was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(In thousands)</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Implied license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damages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18,714</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6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108,712</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During fiscal year 2017, the Company recorded $27.5 million with respect to amounts realized under the Settlement Agreement, of which $26.8 million was recognized as product revenues in the Company’s satellite services segment and $0.7 million was recognized as interest income in the consolidated financial statements. During fiscal year 2016, the Company recorded $27.5 million with respect to amounts realized under the Settlement Agreement, of which</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$25.3 million was recognized as product revenues in the Company’s satellite services segment and $2.2 million was recognized as interest income in the consolidated financial statements. During fiscal year 2015, the Company recorded $53.7 million with respect to amounts realized under the Settlement Agreement, of which $33.0 million was recognized as product revenues and $18.7 million was recognized as a reduction to SG&amp;A expenses in the Company’s satellite services segment, and $2.0 million was recognized as interest income in the consolidated financial statements. As of March 31, 2017 all payments pursuant to the Settlement Agreement have been recorded and no further impacts to our consolidated financial statements are anticipated related to the Settlement Agreement.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Product Warranty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2017, 2016 and 2015.</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6"/>
              </w:rPr>
              <w:t>March 31,</w:t>
            </w:r>
          </w:p>
        </w:tc>
        <w:tc>
          <w:tcPr>
            <w:tcW w:w="380" w:type="dxa"/>
            <w:vAlign w:val="bottom"/>
          </w:tcPr>
          <w:p>
            <w:pPr>
              <w:spacing w:after="0"/>
              <w:rPr>
                <w:sz w:val="11"/>
                <w:szCs w:val="11"/>
                <w:color w:val="auto"/>
              </w:rPr>
            </w:pPr>
          </w:p>
        </w:tc>
        <w:tc>
          <w:tcPr>
            <w:tcW w:w="9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1"/>
                <w:szCs w:val="11"/>
                <w:color w:val="auto"/>
              </w:rPr>
            </w:pPr>
          </w:p>
        </w:tc>
        <w:tc>
          <w:tcPr>
            <w:tcW w:w="5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3"/>
              </w:rPr>
              <w:t>2016</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$ 11,434</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$ 15,545</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7,815</w:t>
            </w:r>
          </w:p>
        </w:tc>
        <w:tc>
          <w:tcPr>
            <w:tcW w:w="16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4,327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(8,438)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$ 11,058</w:t>
            </w:r>
          </w:p>
        </w:tc>
        <w:tc>
          <w:tcPr>
            <w:tcW w:w="16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$ 11,434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fiscal years ended March 31, 2017, March 31, 2016 and April 3, 2015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Fiscal Years Ended</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9"/>
              </w:rPr>
              <w:t>March 31,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25,606</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533,628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474,767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685,083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Elimination of intersegment revenues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1,559,337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1,417,431</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1,382,535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ind w:left="460"/>
              <w:spacing w:after="0"/>
              <w:rPr>
                <w:sz w:val="20"/>
                <w:szCs w:val="20"/>
                <w:color w:val="auto"/>
              </w:rPr>
            </w:pPr>
            <w:r>
              <w:rPr>
                <w:rFonts w:ascii="Arial" w:cs="Arial" w:eastAsia="Arial" w:hAnsi="Arial"/>
                <w:sz w:val="18"/>
                <w:szCs w:val="18"/>
                <w:color w:val="auto"/>
              </w:rPr>
              <w:t>Operating profits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Satellite services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131,085</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81,830</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(180,496)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(111,339)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(33,616)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Government systems (3)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Elimination of intersegment operating profits</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Segment operating profit before corporate and amortization of acquired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36,459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41,119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8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Product revenues in the satellite services segment included $26.8 million, $25.3 million and $33.0 million for the fiscal years ended March 31, 2017, March 31, 2016 and April 3, 2015, respectively, relating to amounts realized under the Settlement Agreement. See Note 13.</w:t>
      </w:r>
    </w:p>
    <w:p>
      <w:pPr>
        <w:ind w:left="460" w:right="36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Operating profits for the satellite services segment included $26.8 million, $25.3 million and $51.8 million for the fiscal years ended March 31, 2017, March 31, 2016 and April 3, 2015, respectively, relating to amounts realized under the Settlement Agreement. See Note 13.</w:t>
      </w:r>
    </w:p>
    <w:p>
      <w:pPr>
        <w:spacing w:after="0" w:line="1"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profits for the government systems segment reflected $11.8 million of SG&amp;A expenses for the fiscal year ended March 31, 2017, relating to uncharacterized damages and penalties in connection with the False Claims Act civil investigation related to the Company’s 52% majority-owned subsidiary TrellisWare.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See Note 13.</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20"/>
          </w:cols>
          <w:pgMar w:left="24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2017, March 31, 2016 and April 3, 2015 were as follows:</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79"/>
              </w:rPr>
              <w:t>As of</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March 31,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April 3,</w:t>
            </w: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2017</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81,728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57,529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63,790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326,242</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311,927</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587,962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2,366,691</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1,814,913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1,593,034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2,954,653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2,397,312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2,147,405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March 31, 2017 and 2016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w w:val="91"/>
              </w:rPr>
              <w:t>Other Acquired Intangible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Assets, Net</w:t>
            </w:r>
          </w:p>
        </w:tc>
        <w:tc>
          <w:tcPr>
            <w:tcW w:w="5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7"/>
              </w:rPr>
              <w:t>Goodwill</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w w:val="79"/>
              </w:rPr>
              <w:t>As 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21"/>
              <w:spacing w:after="0" w:line="129" w:lineRule="exact"/>
              <w:rPr>
                <w:sz w:val="20"/>
                <w:szCs w:val="20"/>
                <w:color w:val="auto"/>
              </w:rPr>
            </w:pPr>
            <w:r>
              <w:rPr>
                <w:rFonts w:ascii="Arial" w:cs="Arial" w:eastAsia="Arial" w:hAnsi="Arial"/>
                <w:sz w:val="14"/>
                <w:szCs w:val="14"/>
                <w:b w:val="1"/>
                <w:bCs w:val="1"/>
                <w:color w:val="auto"/>
                <w:w w:val="97"/>
              </w:rPr>
              <w:t>As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As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56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2017</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13,579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Commercial networks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43,930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43,990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14,931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62,367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63,241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41,677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33,604</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119,876</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117,040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Amortization of acquired intangible assets by segment for the fiscal years ended March 31, 2017, March 31, 2016 and April 3, 2015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1"/>
                <w:szCs w:val="11"/>
                <w:color w:val="auto"/>
              </w:rPr>
            </w:pPr>
          </w:p>
        </w:tc>
        <w:tc>
          <w:tcPr>
            <w:tcW w:w="100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April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42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networks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2,569</w:t>
            </w:r>
          </w:p>
        </w:tc>
        <w:tc>
          <w:tcPr>
            <w:tcW w:w="4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Total amortization of acquired intangible assets</w:t>
            </w:r>
          </w:p>
        </w:tc>
        <w:tc>
          <w:tcPr>
            <w:tcW w:w="3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10,788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16,438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17,966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3420" w:type="dxa"/>
            <w:vAlign w:val="bottom"/>
            <w:gridSpan w:val="2"/>
          </w:tcPr>
          <w:p>
            <w:pPr>
              <w:ind w:left="860"/>
              <w:spacing w:after="0"/>
              <w:rPr>
                <w:sz w:val="20"/>
                <w:szCs w:val="20"/>
                <w:color w:val="auto"/>
              </w:rPr>
            </w:pPr>
            <w:r>
              <w:rPr>
                <w:rFonts w:ascii="Arial" w:cs="Arial" w:eastAsia="Arial" w:hAnsi="Arial"/>
                <w:sz w:val="18"/>
                <w:szCs w:val="18"/>
                <w:color w:val="auto"/>
              </w:rPr>
              <w:t>F-45</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information by geographic area for the fiscal years ended March 31, 2017, March 31, 2016 and April 3, 2015 was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4"/>
                <w:szCs w:val="14"/>
                <w:b w:val="1"/>
                <w:bCs w:val="1"/>
                <w:color w:val="auto"/>
                <w:w w:val="85"/>
              </w:rPr>
              <w:t>Fiscal Years Ended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1,352,002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1,207,651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1,149,700</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85,828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80,202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89,982</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81,397</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24,649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38,957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51,661</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6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1,559,337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1,417,431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1,382,535</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$32.4 million at March 31, 2017, $23.7 million at March 31, 2016 and $14.3 million at April 3, 2015.</w:t>
      </w:r>
    </w:p>
    <w:p>
      <w:pPr>
        <w:spacing w:after="0" w:line="11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0880"/>
          </w:cols>
          <w:pgMar w:left="240" w:top="459" w:right="7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7000" w:type="dxa"/>
            <w:vAlign w:val="bottom"/>
            <w:gridSpan w:val="3"/>
          </w:tcPr>
          <w:p>
            <w:pPr>
              <w:jc w:val="center"/>
              <w:ind w:right="2672"/>
              <w:spacing w:after="0"/>
              <w:rPr>
                <w:sz w:val="20"/>
                <w:szCs w:val="20"/>
                <w:color w:val="auto"/>
              </w:rPr>
            </w:pPr>
            <w:r>
              <w:rPr>
                <w:rFonts w:ascii="Arial" w:cs="Arial" w:eastAsia="Arial" w:hAnsi="Arial"/>
                <w:sz w:val="18"/>
                <w:szCs w:val="18"/>
                <w:b w:val="1"/>
                <w:bCs w:val="1"/>
                <w:color w:val="auto"/>
                <w:w w:val="99"/>
              </w:rPr>
              <w:t>SCHEDULE II</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0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auto"/>
                <w:w w:val="98"/>
              </w:rPr>
              <w:t>VALUATION AND QUALIFYING ACCOUNTS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0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auto"/>
                <w:w w:val="88"/>
              </w:rPr>
              <w:t>For the Three Fiscal Years Ended March 31, 2017</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6660" w:type="dxa"/>
            <w:vAlign w:val="bottom"/>
          </w:tcPr>
          <w:p>
            <w:pPr>
              <w:spacing w:after="0"/>
              <w:rPr>
                <w:sz w:val="24"/>
                <w:szCs w:val="24"/>
                <w:color w:val="auto"/>
              </w:rPr>
            </w:pPr>
          </w:p>
        </w:tc>
        <w:tc>
          <w:tcPr>
            <w:tcW w:w="1180" w:type="dxa"/>
            <w:vAlign w:val="bottom"/>
            <w:gridSpan w:val="6"/>
          </w:tcPr>
          <w:p>
            <w:pPr>
              <w:ind w:left="120"/>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55"/>
        </w:trPr>
        <w:tc>
          <w:tcPr>
            <w:tcW w:w="3580" w:type="dxa"/>
            <w:vAlign w:val="bottom"/>
            <w:gridSpan w:val="3"/>
            <w:vMerge w:val="continue"/>
          </w:tcPr>
          <w:p>
            <w:pPr>
              <w:spacing w:after="0"/>
              <w:rPr>
                <w:sz w:val="13"/>
                <w:szCs w:val="13"/>
                <w:color w:val="auto"/>
              </w:rPr>
            </w:pPr>
          </w:p>
        </w:tc>
        <w:tc>
          <w:tcPr>
            <w:tcW w:w="6660" w:type="dxa"/>
            <w:vAlign w:val="bottom"/>
          </w:tcPr>
          <w:p>
            <w:pPr>
              <w:spacing w:after="0"/>
              <w:rPr>
                <w:sz w:val="13"/>
                <w:szCs w:val="13"/>
                <w:color w:val="auto"/>
              </w:rPr>
            </w:pPr>
          </w:p>
        </w:tc>
        <w:tc>
          <w:tcPr>
            <w:tcW w:w="1180" w:type="dxa"/>
            <w:vAlign w:val="bottom"/>
            <w:gridSpan w:val="6"/>
          </w:tcPr>
          <w:p>
            <w:pPr>
              <w:spacing w:after="0" w:line="148" w:lineRule="exact"/>
              <w:rPr>
                <w:sz w:val="20"/>
                <w:szCs w:val="20"/>
                <w:color w:val="auto"/>
              </w:rPr>
            </w:pPr>
            <w:r>
              <w:rPr>
                <w:rFonts w:ascii="Arial" w:cs="Arial" w:eastAsia="Arial" w:hAnsi="Arial"/>
                <w:sz w:val="14"/>
                <w:szCs w:val="14"/>
                <w:b w:val="1"/>
                <w:bCs w:val="1"/>
                <w:color w:val="auto"/>
                <w:w w:val="92"/>
              </w:rPr>
              <w:t>Doubtful Accounts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33"/>
              <w:spacing w:after="0" w:line="149" w:lineRule="exact"/>
              <w:rPr>
                <w:sz w:val="20"/>
                <w:szCs w:val="20"/>
                <w:color w:val="auto"/>
              </w:rPr>
            </w:pPr>
            <w:r>
              <w:rPr>
                <w:rFonts w:ascii="Arial" w:cs="Arial" w:eastAsia="Arial" w:hAnsi="Arial"/>
                <w:sz w:val="14"/>
                <w:szCs w:val="14"/>
                <w:b w:val="1"/>
                <w:bCs w:val="1"/>
                <w:color w:val="auto"/>
                <w:w w:val="97"/>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April 4, 2014</w:t>
            </w:r>
          </w:p>
        </w:tc>
        <w:tc>
          <w:tcPr>
            <w:tcW w:w="6880" w:type="dxa"/>
            <w:vAlign w:val="bottom"/>
            <w:gridSpan w:val="2"/>
            <w:shd w:val="clear" w:color="auto" w:fill="CCEEFF"/>
          </w:tcPr>
          <w:p>
            <w:pPr>
              <w:ind w:left="6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Balance, April 3, 2015</w:t>
            </w:r>
          </w:p>
        </w:tc>
        <w:tc>
          <w:tcPr>
            <w:tcW w:w="6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3"/>
            <w:vMerge w:val="continue"/>
          </w:tcPr>
          <w:p>
            <w:pPr>
              <w:spacing w:after="0"/>
              <w:rPr>
                <w:sz w:val="19"/>
                <w:szCs w:val="19"/>
                <w:color w:val="auto"/>
              </w:rPr>
            </w:pPr>
          </w:p>
        </w:tc>
        <w:tc>
          <w:tcPr>
            <w:tcW w:w="6880" w:type="dxa"/>
            <w:vAlign w:val="bottom"/>
            <w:gridSpan w:val="2"/>
          </w:tcPr>
          <w:p>
            <w:pPr>
              <w:ind w:left="6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6880" w:type="dxa"/>
            <w:vAlign w:val="bottom"/>
            <w:gridSpan w:val="2"/>
            <w:shd w:val="clear" w:color="auto" w:fill="CCEEFF"/>
          </w:tcPr>
          <w:p>
            <w:pPr>
              <w:ind w:left="6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7,139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Balance, March 31, 2017</w:t>
            </w:r>
          </w:p>
        </w:tc>
        <w:tc>
          <w:tcPr>
            <w:tcW w:w="6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3"/>
            <w:vMerge w:val="continue"/>
          </w:tcPr>
          <w:p>
            <w:pPr>
              <w:spacing w:after="0"/>
              <w:rPr>
                <w:sz w:val="19"/>
                <w:szCs w:val="19"/>
                <w:color w:val="auto"/>
              </w:rPr>
            </w:pPr>
          </w:p>
        </w:tc>
        <w:tc>
          <w:tcPr>
            <w:tcW w:w="6880" w:type="dxa"/>
            <w:vAlign w:val="bottom"/>
            <w:gridSpan w:val="2"/>
          </w:tcPr>
          <w:p>
            <w:pPr>
              <w:ind w:left="6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8"/>
              </w:rPr>
              <w:t>Deferred Tax</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9"/>
              </w:rPr>
              <w:t>Asset Valuation</w:t>
            </w:r>
          </w:p>
        </w:tc>
        <w:tc>
          <w:tcPr>
            <w:tcW w:w="0" w:type="dxa"/>
            <w:vAlign w:val="bottom"/>
          </w:tcPr>
          <w:p>
            <w:pPr>
              <w:spacing w:after="0"/>
              <w:rPr>
                <w:sz w:val="1"/>
                <w:szCs w:val="1"/>
                <w:color w:val="auto"/>
              </w:rPr>
            </w:pPr>
          </w:p>
        </w:tc>
      </w:tr>
      <w:tr>
        <w:trPr>
          <w:trHeight w:val="155"/>
        </w:trPr>
        <w:tc>
          <w:tcPr>
            <w:tcW w:w="3580" w:type="dxa"/>
            <w:vAlign w:val="bottom"/>
            <w:gridSpan w:val="3"/>
            <w:vMerge w:val="continue"/>
          </w:tcPr>
          <w:p>
            <w:pPr>
              <w:spacing w:after="0"/>
              <w:rPr>
                <w:sz w:val="13"/>
                <w:szCs w:val="13"/>
                <w:color w:val="auto"/>
              </w:rPr>
            </w:pPr>
          </w:p>
        </w:tc>
        <w:tc>
          <w:tcPr>
            <w:tcW w:w="6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4"/>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Allowance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April 4, 2014</w:t>
            </w:r>
          </w:p>
        </w:tc>
        <w:tc>
          <w:tcPr>
            <w:tcW w:w="7000" w:type="dxa"/>
            <w:vAlign w:val="bottom"/>
            <w:gridSpan w:val="3"/>
            <w:shd w:val="clear" w:color="auto" w:fill="CCEEFF"/>
          </w:tcPr>
          <w:p>
            <w:pPr>
              <w:ind w:left="688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Balance, April 3, 2015</w:t>
            </w:r>
          </w:p>
        </w:tc>
        <w:tc>
          <w:tcPr>
            <w:tcW w:w="7000" w:type="dxa"/>
            <w:vAlign w:val="bottom"/>
            <w:gridSpan w:val="3"/>
          </w:tcPr>
          <w:p>
            <w:pPr>
              <w:ind w:left="688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15,550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7000" w:type="dxa"/>
            <w:vAlign w:val="bottom"/>
            <w:gridSpan w:val="3"/>
            <w:shd w:val="clear" w:color="auto" w:fill="CCEEFF"/>
          </w:tcPr>
          <w:p>
            <w:pPr>
              <w:ind w:left="688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Balance, March 31, 2017</w:t>
            </w:r>
          </w:p>
        </w:tc>
        <w:tc>
          <w:tcPr>
            <w:tcW w:w="7000" w:type="dxa"/>
            <w:vAlign w:val="bottom"/>
            <w:gridSpan w:val="3"/>
          </w:tcPr>
          <w:p>
            <w:pPr>
              <w:ind w:left="688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17,728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2700" w:val="left"/>
          <w:tab w:leader="none" w:pos="6160" w:val="left"/>
        </w:tabs>
        <w:rPr>
          <w:sz w:val="20"/>
          <w:szCs w:val="20"/>
          <w:color w:val="auto"/>
        </w:rPr>
      </w:pPr>
      <w:r>
        <w:rPr>
          <w:rFonts w:ascii="Arial" w:cs="Arial" w:eastAsia="Arial" w:hAnsi="Arial"/>
          <w:sz w:val="18"/>
          <w:szCs w:val="18"/>
          <w:b w:val="1"/>
          <w:bCs w:val="1"/>
          <w:color w:val="auto"/>
        </w:rPr>
        <w:t>Grant:</w:t>
      </w:r>
      <w:r>
        <w:rPr>
          <w:sz w:val="20"/>
          <w:szCs w:val="20"/>
          <w:color w:val="auto"/>
        </w:rPr>
        <w:tab/>
      </w:r>
      <w:r>
        <w:rPr>
          <w:rFonts w:ascii="Arial" w:cs="Arial" w:eastAsia="Arial" w:hAnsi="Arial"/>
          <w:sz w:val="18"/>
          <w:szCs w:val="18"/>
          <w:color w:val="auto"/>
        </w:rPr>
        <w:t>Restricted Stock Units (“RSUs”)</w:t>
      </w:r>
      <w:r>
        <w:rPr>
          <w:sz w:val="20"/>
          <w:szCs w:val="20"/>
          <w:color w:val="auto"/>
        </w:rPr>
        <w:tab/>
      </w: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5951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2804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28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ELECTRONIC ACCEPTANCE OF RSU AWARD:</w:t>
      </w:r>
    </w:p>
    <w:p>
      <w:pPr>
        <w:spacing w:after="0" w:line="252" w:lineRule="exact"/>
        <w:rPr>
          <w:sz w:val="20"/>
          <w:szCs w:val="20"/>
          <w:color w:val="auto"/>
        </w:rPr>
      </w:pPr>
    </w:p>
    <w:p>
      <w:pPr>
        <w:jc w:val="both"/>
        <w:ind w:left="340" w:right="220"/>
        <w:spacing w:after="0" w:line="274" w:lineRule="auto"/>
        <w:rPr>
          <w:sz w:val="20"/>
          <w:szCs w:val="20"/>
          <w:color w:val="auto"/>
        </w:rPr>
      </w:pPr>
      <w:r>
        <w:rPr>
          <w:rFonts w:ascii="Arial" w:cs="Arial" w:eastAsia="Arial" w:hAnsi="Arial"/>
          <w:sz w:val="17"/>
          <w:szCs w:val="17"/>
          <w:color w:val="auto"/>
        </w:rPr>
        <w:t>By clicking on the “</w:t>
      </w:r>
      <w:r>
        <w:rPr>
          <w:rFonts w:ascii="Arial" w:cs="Arial" w:eastAsia="Arial" w:hAnsi="Arial"/>
          <w:sz w:val="17"/>
          <w:szCs w:val="17"/>
          <w:b w:val="1"/>
          <w:bCs w:val="1"/>
          <w:color w:val="auto"/>
        </w:rPr>
        <w:t>ACCEPT</w:t>
      </w:r>
      <w:r>
        <w:rPr>
          <w:rFonts w:ascii="Arial" w:cs="Arial" w:eastAsia="Arial" w:hAnsi="Arial"/>
          <w:sz w:val="17"/>
          <w:szCs w:val="17"/>
          <w:color w:val="auto"/>
        </w:rPr>
        <w:t>” box on the “</w:t>
      </w:r>
      <w:r>
        <w:rPr>
          <w:rFonts w:ascii="Arial" w:cs="Arial" w:eastAsia="Arial" w:hAnsi="Arial"/>
          <w:sz w:val="17"/>
          <w:szCs w:val="17"/>
          <w:b w:val="1"/>
          <w:bCs w:val="1"/>
          <w:color w:val="auto"/>
        </w:rPr>
        <w:t>Grant Acceptance: View/Accept Grant</w:t>
      </w:r>
      <w:r>
        <w:rPr>
          <w:rFonts w:ascii="Arial" w:cs="Arial" w:eastAsia="Arial" w:hAnsi="Arial"/>
          <w:sz w:val="17"/>
          <w:szCs w:val="17"/>
          <w:color w:val="auto"/>
        </w:rPr>
        <w:t>” Page, you agree to be bound by the terms and conditions of this Restricted Stock Unit Award Agreement, including any applicable country-specific terms in the appendix hereto, (together, the “Agreement”) and the 1996 Equity Participation Plan of ViaSat, Inc. (as amended from time to time, the “Plan”).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“Committee”)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CONDITIONS OF RSU AWARD:</w:t>
      </w:r>
    </w:p>
    <w:p>
      <w:pPr>
        <w:spacing w:after="0" w:line="229" w:lineRule="exact"/>
        <w:rPr>
          <w:sz w:val="20"/>
          <w:szCs w:val="20"/>
          <w:color w:val="auto"/>
        </w:rPr>
      </w:pPr>
    </w:p>
    <w:p>
      <w:pPr>
        <w:jc w:val="both"/>
        <w:ind w:firstLine="8"/>
        <w:spacing w:after="0" w:line="264"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Effective on the Grant Date, you have been granted the number of shares indicated above of RSUs providing you the right to receive Common Stock of ViaSat, Inc., a Delaware corporation (the “Company”), as the RSU vests, in accordance with the provisions of this Agreement and the provisions of the Plan.</w:t>
      </w:r>
    </w:p>
    <w:p>
      <w:pPr>
        <w:spacing w:after="0" w:line="181" w:lineRule="exact"/>
        <w:rPr>
          <w:rFonts w:ascii="Arial" w:cs="Arial" w:eastAsia="Arial" w:hAnsi="Arial"/>
          <w:sz w:val="18"/>
          <w:szCs w:val="18"/>
          <w:color w:val="auto"/>
        </w:rPr>
      </w:pPr>
    </w:p>
    <w:p>
      <w:pPr>
        <w:jc w:val="both"/>
        <w:ind w:firstLine="8"/>
        <w:spacing w:after="0" w:line="270" w:lineRule="auto"/>
        <w:tabs>
          <w:tab w:leader="none" w:pos="20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w:t>
      </w:r>
      <w:r>
        <w:rPr>
          <w:rFonts w:ascii="Arial" w:cs="Arial" w:eastAsia="Arial" w:hAnsi="Arial"/>
          <w:sz w:val="17"/>
          <w:szCs w:val="17"/>
          <w:color w:val="auto"/>
        </w:rPr>
        <w:t>. Until vested, the RSU shall be subject to forfeiture in the event of the termination of your employment or service (as applicable) with the Company and all of its Subsidiaries for any reason, whether such termination is occasioned by you, by the Company or any of its Subsidiaries, with or without cause or by mutual agreement (“Termination of Employment”). Termination of Employment means the Company has determined that you have stopped providing active services to the Company Group (for any reason whatsoever, whether or not later found to be invalid or in breach of employment laws in the jurisdiction where you are employed or the terms of your employment agreement, if any)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active services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 grant (including whether you may still be considered to be providing services while on an approved leave of absence).</w:t>
      </w:r>
    </w:p>
    <w:p>
      <w:pPr>
        <w:spacing w:after="0" w:line="181" w:lineRule="exact"/>
        <w:rPr>
          <w:rFonts w:ascii="Arial" w:cs="Arial" w:eastAsia="Arial" w:hAnsi="Arial"/>
          <w:sz w:val="17"/>
          <w:szCs w:val="17"/>
          <w:color w:val="auto"/>
        </w:rPr>
      </w:pPr>
    </w:p>
    <w:p>
      <w:pPr>
        <w:jc w:val="both"/>
        <w:ind w:right="20" w:firstLine="8"/>
        <w:spacing w:after="0" w:line="264" w:lineRule="auto"/>
        <w:tabs>
          <w:tab w:leader="none" w:pos="19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Until vested,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181" w:lineRule="exact"/>
        <w:rPr>
          <w:rFonts w:ascii="Arial" w:cs="Arial" w:eastAsia="Arial" w:hAnsi="Arial"/>
          <w:sz w:val="18"/>
          <w:szCs w:val="18"/>
          <w:color w:val="auto"/>
        </w:rPr>
      </w:pPr>
    </w:p>
    <w:p>
      <w:pPr>
        <w:jc w:val="both"/>
        <w:ind w:firstLine="8"/>
        <w:spacing w:after="0" w:line="25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RSU will vest and no longer be subject to the restrictions of and forfeiture under this Agreement in one-fourth (1/4</w:t>
      </w:r>
      <w:r>
        <w:rPr>
          <w:rFonts w:ascii="Arial" w:cs="Arial" w:eastAsia="Arial" w:hAnsi="Arial"/>
          <w:sz w:val="15"/>
          <w:szCs w:val="15"/>
          <w:color w:val="auto"/>
        </w:rPr>
        <w:t>th</w:t>
      </w:r>
      <w:r>
        <w:rPr>
          <w:rFonts w:ascii="Arial" w:cs="Arial" w:eastAsia="Arial" w:hAnsi="Arial"/>
          <w:sz w:val="18"/>
          <w:szCs w:val="18"/>
          <w:color w:val="auto"/>
        </w:rPr>
        <w:t xml:space="preserve"> or 25%) increments on each anniversary of the Grant Date. Notwithstanding the foregoing, the RSU shall be fully vested upon your Termination of Employment by reason of death or permanent disability. “Permanent disability”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88" w:lineRule="exact"/>
        <w:rPr>
          <w:rFonts w:ascii="Arial" w:cs="Arial" w:eastAsia="Arial" w:hAnsi="Arial"/>
          <w:sz w:val="18"/>
          <w:szCs w:val="18"/>
          <w:color w:val="auto"/>
        </w:rPr>
      </w:pPr>
    </w:p>
    <w:p>
      <w:pPr>
        <w:ind w:firstLine="8"/>
        <w:spacing w:after="0" w:line="277" w:lineRule="auto"/>
        <w:tabs>
          <w:tab w:leader="none" w:pos="19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Within ten days following the vesting of the RSU, you will be issued shares of Common Stock equal to the number of vested shares, in settlement of the RSU (subject to the withholding requirements described in Section 6 below, as applicable).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Withholding; Indemnity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464"/>
        <w:spacing w:after="0" w:line="264" w:lineRule="auto"/>
        <w:tabs>
          <w:tab w:leader="none" w:pos="702"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understand that you (and not the Company) shall be responsible for any Tax Liability (as defined below) arising as a result of this Agreement or the transactions relating to the RSU. You agree to indemnify and keep indemnified the Company, any Subsidiary and your employing company (the “Employer”), if different (collectively, the “Company Group”), from and against any such Tax Liability.</w:t>
      </w:r>
    </w:p>
    <w:p>
      <w:pPr>
        <w:spacing w:after="0" w:line="181" w:lineRule="exact"/>
        <w:rPr>
          <w:rFonts w:ascii="Arial" w:cs="Arial" w:eastAsia="Arial" w:hAnsi="Arial"/>
          <w:sz w:val="18"/>
          <w:szCs w:val="18"/>
          <w:color w:val="auto"/>
        </w:rPr>
      </w:pPr>
    </w:p>
    <w:p>
      <w:pPr>
        <w:jc w:val="both"/>
        <w:ind w:firstLine="464"/>
        <w:spacing w:after="0" w:line="259" w:lineRule="auto"/>
        <w:tabs>
          <w:tab w:leader="none" w:pos="7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has the authority to deduct or withhold, or require you to remit to the Company, an amount sufficient to satisfy any Tax Liability. At any time not less than five business days before any such Tax Liability arises, you may satisfy your Tax Liability, in whole or in part, by either: (i) electing to have the Company withhold from your salary or other cash compensation payable to you or shares of Common Stock otherwise to be delivered upon settlement of the RSU with a Fair Market Value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30" w:name="page131"/>
    <w:bookmarkEnd w:id="130"/>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equal to the minimum amount of the Tax Liability, or (ii) paying the amount of the Tax Liability directly to the Company in cash. </w:t>
      </w:r>
      <w:r>
        <w:rPr>
          <w:rFonts w:ascii="Arial" w:cs="Arial" w:eastAsia="Arial" w:hAnsi="Arial"/>
          <w:sz w:val="16"/>
          <w:szCs w:val="16"/>
          <w:b w:val="1"/>
          <w:bCs w:val="1"/>
          <w:color w:val="auto"/>
        </w:rPr>
        <w:t>Unless you choose to</w:t>
      </w:r>
      <w:r>
        <w:rPr>
          <w:rFonts w:ascii="Arial" w:cs="Arial" w:eastAsia="Arial" w:hAnsi="Arial"/>
          <w:sz w:val="16"/>
          <w:szCs w:val="16"/>
          <w:color w:val="auto"/>
        </w:rPr>
        <w:t xml:space="preserve"> </w:t>
      </w:r>
      <w:r>
        <w:rPr>
          <w:rFonts w:ascii="Arial" w:cs="Arial" w:eastAsia="Arial" w:hAnsi="Arial"/>
          <w:sz w:val="16"/>
          <w:szCs w:val="16"/>
          <w:b w:val="1"/>
          <w:bCs w:val="1"/>
          <w:color w:val="auto"/>
        </w:rPr>
        <w:t>satisfy your Tax Liability in accordance with subsection (ii) above, your Tax Liability will be automatically satisfied in accordance with subsection</w:t>
      </w:r>
    </w:p>
    <w:p>
      <w:pPr>
        <w:spacing w:after="0" w:line="1" w:lineRule="exact"/>
        <w:rPr>
          <w:sz w:val="20"/>
          <w:szCs w:val="20"/>
          <w:color w:val="auto"/>
        </w:rPr>
      </w:pPr>
    </w:p>
    <w:p>
      <w:pPr>
        <w:jc w:val="both"/>
        <w:ind w:firstLine="8"/>
        <w:spacing w:after="0" w:line="284" w:lineRule="auto"/>
        <w:tabs>
          <w:tab w:leader="none" w:pos="243"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above. The Committee or the Board will have the right to disapprove an election to pay your Tax Liability under subsection (ii) in its sole discretion. In the event your Tax Liability will be satisfied under subsection (i) above, then the Company, upon approval of the Committee or the Board, may elect (in lieu of withholding shares of Common Stock)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Liability. Your acceptance of this RSU constitutes your instruction and authorization to the Company and such brokerage firm to complete the transactions described in the previous sentence, as applicable. </w:t>
      </w:r>
      <w:r>
        <w:rPr>
          <w:rFonts w:ascii="Arial" w:cs="Arial" w:eastAsia="Arial" w:hAnsi="Arial"/>
          <w:sz w:val="16"/>
          <w:szCs w:val="16"/>
          <w:color w:val="auto"/>
        </w:rPr>
        <w:t>Such shares of Common Stock will be sold on the day the Tax Liability arises or as soon thereafter as</w:t>
      </w:r>
      <w:r>
        <w:rPr>
          <w:rFonts w:ascii="Arial" w:cs="Arial" w:eastAsia="Arial" w:hAnsi="Arial"/>
          <w:sz w:val="16"/>
          <w:szCs w:val="16"/>
          <w:b w:val="1"/>
          <w:bCs w:val="1"/>
          <w:color w:val="auto"/>
        </w:rPr>
        <w:t xml:space="preserve"> </w:t>
      </w:r>
      <w:r>
        <w:rPr>
          <w:rFonts w:ascii="Arial" w:cs="Arial" w:eastAsia="Arial" w:hAnsi="Arial"/>
          <w:sz w:val="16"/>
          <w:szCs w:val="16"/>
          <w:color w:val="auto"/>
        </w:rPr>
        <w:t>practicable. The shares of Common Stock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the proceeds of such sale exceed your Tax Liability, the Company agrees to pay such excess in cash to you as soon as practicable and you will have no entitlement to the Common Stock equivalent. You acknowledge that the Company or its designee is under no obligation to arrange for such sale at any particular price, and that the proceeds of any such sale may not be sufficient to satisfy your tax withholding obligation. The Company may refuse to issue any Common Stock in settlement of your RSU to you until your Tax Liability is satisfied. To the maximum extent permitted by law, the Company has the right to retain without notice from shares of Common Stock issuable under the RSU or from salary payable to you, such shares or cash having a value sufficient to satisfy the Tax Liability. If the obligation for the Tax Liability is satisfied by withholding shares of Common Stock , for tax purposes, you are deemed to have been issued the full number of shares of Common Stock subject to the vested RSUs, notwithstanding that a number of the shares of Common Stock are held back solely for the purpose of paying the Tax Liability.</w:t>
      </w:r>
    </w:p>
    <w:p>
      <w:pPr>
        <w:spacing w:after="0" w:line="174" w:lineRule="exact"/>
        <w:rPr>
          <w:rFonts w:ascii="Arial" w:cs="Arial" w:eastAsia="Arial" w:hAnsi="Arial"/>
          <w:sz w:val="16"/>
          <w:szCs w:val="16"/>
          <w:b w:val="1"/>
          <w:bCs w:val="1"/>
          <w:color w:val="auto"/>
        </w:rPr>
      </w:pPr>
    </w:p>
    <w:p>
      <w:pPr>
        <w:jc w:val="both"/>
        <w:ind w:firstLine="464"/>
        <w:spacing w:after="0" w:line="287" w:lineRule="auto"/>
        <w:tabs>
          <w:tab w:leader="none" w:pos="704" w:val="left"/>
        </w:tabs>
        <w:numPr>
          <w:ilvl w:val="1"/>
          <w:numId w:val="42"/>
        </w:numPr>
        <w:rPr>
          <w:rFonts w:ascii="Arial" w:cs="Arial" w:eastAsia="Arial" w:hAnsi="Arial"/>
          <w:sz w:val="16"/>
          <w:szCs w:val="16"/>
          <w:color w:val="auto"/>
        </w:rPr>
      </w:pPr>
      <w:r>
        <w:rPr>
          <w:rFonts w:ascii="Arial" w:cs="Arial" w:eastAsia="Arial" w:hAnsi="Arial"/>
          <w:sz w:val="16"/>
          <w:szCs w:val="16"/>
          <w:color w:val="auto"/>
        </w:rPr>
        <w:t>For purposes of this Agreement, your “Tax Liability” shall mean (i) all federal, state, local and foreign withholding or other taxes applicable to your taxable income, plus (ii) if permitted under the laws of the jurisdiction in which you reside, any liability of the Company Group for income tax, withholding tax and any social security contributions, payroll tax, fringe benefit tax, payment on account obligation or other employment related taxes in any jurisdiction, in each case that may arise as a result of (w) the grant, vesting or settlement of the RSU, (x) the issuance to you of shares of Common Stock on the vesting or settlement of the RSU, (y) the disposition of any shares of Common Stock that were the subject of the RSU, or (z) any other transactions contemplated by this Agreement. To avoid negative accounting treatment, the Company may withhold for the Tax Liability by considering applicable minimum statutory withholding amounts or other applicable withholding rates. Further, you acknowledge that the Company and/or the Employer (1) make no representations or undertakings regarding the treatment of any Tax Liability in connection with any aspect of the RSU, including, but not limited to, the grant, vesting or settlement of the RSU, the subsequent sale of shares of Common Stock acquired pursuant to such settlement and the receipt of any dividends and/or any dividend equivalents; and (2) do not commit to and are under no obligation to structure the terms of the grant or any aspect of the RSU to reduce or eliminate your Tax Liability or achieve any particular tax result. You further acknowledge that if you are subject to a Tax Liability in more than one jurisdiction, the Company and/or the employer (or former employer, as applicable) may be required to withhold or account for Tax Liability in more than one jurisdiction.</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131" w:name="page132"/>
    <w:bookmarkEnd w:id="131"/>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Nature of Grant</w:t>
      </w:r>
      <w:r>
        <w:rPr>
          <w:rFonts w:ascii="Arial" w:cs="Arial" w:eastAsia="Arial" w:hAnsi="Arial"/>
          <w:sz w:val="18"/>
          <w:szCs w:val="18"/>
          <w:color w:val="auto"/>
        </w:rPr>
        <w:t>. In accepting the grant, you acknowledge, understand and agree that:</w:t>
      </w:r>
    </w:p>
    <w:p>
      <w:pPr>
        <w:spacing w:after="0" w:line="225" w:lineRule="exact"/>
        <w:rPr>
          <w:rFonts w:ascii="Arial" w:cs="Arial" w:eastAsia="Arial" w:hAnsi="Arial"/>
          <w:sz w:val="18"/>
          <w:szCs w:val="18"/>
          <w:color w:val="auto"/>
        </w:rPr>
      </w:pPr>
    </w:p>
    <w:p>
      <w:pPr>
        <w:jc w:val="both"/>
        <w:ind w:firstLine="464"/>
        <w:spacing w:after="0" w:line="264" w:lineRule="auto"/>
        <w:tabs>
          <w:tab w:leader="none" w:pos="72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the RSU grant and your participation in the Plan shall not create a right to employment, shall not be interpreted as forming or amending an employment or service contract with the Company Group, and shall not interfere with the ability of the Company Group to terminate your employment or service relationship (if any);</w:t>
      </w:r>
    </w:p>
    <w:p>
      <w:pPr>
        <w:spacing w:after="0" w:line="181" w:lineRule="exact"/>
        <w:rPr>
          <w:rFonts w:ascii="Arial" w:cs="Arial" w:eastAsia="Arial" w:hAnsi="Arial"/>
          <w:sz w:val="18"/>
          <w:szCs w:val="18"/>
          <w:color w:val="auto"/>
        </w:rPr>
      </w:pPr>
    </w:p>
    <w:p>
      <w:pPr>
        <w:jc w:val="both"/>
        <w:ind w:right="20" w:firstLine="464"/>
        <w:spacing w:after="0" w:line="264" w:lineRule="auto"/>
        <w:tabs>
          <w:tab w:leader="none" w:pos="7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you have no right or entitlement to be granted an award of RSU or shares of Common Stock; the grant of the RSU is exceptional, voluntary and occasional and does not create any contractual or other right to receive future grants of RSUs, or benefits in lieu of RSUs, even if RSUs have been granted in the past;</w:t>
      </w:r>
    </w:p>
    <w:p>
      <w:pPr>
        <w:spacing w:after="0" w:line="181" w:lineRule="exact"/>
        <w:rPr>
          <w:rFonts w:ascii="Arial" w:cs="Arial" w:eastAsia="Arial" w:hAnsi="Arial"/>
          <w:sz w:val="18"/>
          <w:szCs w:val="18"/>
          <w:color w:val="auto"/>
        </w:rPr>
      </w:pPr>
    </w:p>
    <w:p>
      <w:pPr>
        <w:ind w:firstLine="464"/>
        <w:spacing w:after="0" w:line="277" w:lineRule="auto"/>
        <w:tabs>
          <w:tab w:leader="none" w:pos="70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and the income and value of same, are not intended to replace any pension rights or compensation;</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decisions with respect to future RSUs or other grants, if any, will be at the sole discretion of the Company;</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25" w:lineRule="exact"/>
        <w:rPr>
          <w:rFonts w:ascii="Arial" w:cs="Arial" w:eastAsia="Arial" w:hAnsi="Arial"/>
          <w:sz w:val="18"/>
          <w:szCs w:val="18"/>
          <w:color w:val="auto"/>
        </w:rPr>
      </w:pPr>
    </w:p>
    <w:p>
      <w:pPr>
        <w:jc w:val="both"/>
        <w:ind w:right="20" w:firstLine="464"/>
        <w:spacing w:after="0" w:line="264" w:lineRule="auto"/>
        <w:tabs>
          <w:tab w:leader="none" w:pos="7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and the income and value of same, are not part of normal or expected compensation for purposes of calculating any severance, resignation, termination, redundancy, dismissal, end-of-service payments, holiday pay bonuses, long-service awards, pension or retirement or welfare benefits or similar payments;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 with certainty;</w:t>
      </w:r>
    </w:p>
    <w:p>
      <w:pPr>
        <w:spacing w:after="0" w:line="225" w:lineRule="exact"/>
        <w:rPr>
          <w:rFonts w:ascii="Arial" w:cs="Arial" w:eastAsia="Arial" w:hAnsi="Arial"/>
          <w:sz w:val="18"/>
          <w:szCs w:val="18"/>
          <w:color w:val="auto"/>
        </w:rPr>
      </w:pPr>
    </w:p>
    <w:p>
      <w:pPr>
        <w:ind w:firstLine="464"/>
        <w:spacing w:after="0" w:line="342" w:lineRule="auto"/>
        <w:tabs>
          <w:tab w:leader="none" w:pos="677" w:val="left"/>
        </w:tabs>
        <w:numPr>
          <w:ilvl w:val="1"/>
          <w:numId w:val="43"/>
        </w:numPr>
        <w:rPr>
          <w:rFonts w:ascii="Arial" w:cs="Arial" w:eastAsia="Arial" w:hAnsi="Arial"/>
          <w:sz w:val="16"/>
          <w:szCs w:val="16"/>
          <w:color w:val="auto"/>
        </w:rPr>
      </w:pPr>
      <w:r>
        <w:rPr>
          <w:rFonts w:ascii="Arial" w:cs="Arial" w:eastAsia="Arial" w:hAnsi="Arial"/>
          <w:sz w:val="16"/>
          <w:szCs w:val="16"/>
          <w:color w:val="auto"/>
        </w:rPr>
        <w:t>unless otherwise agreed with the Company, the RSU and any shares of Common Stock acquired under the Plan, and the income and value of same, are not granted as consideration for, or in connection with, any service you may provide as a director of any Subsidiary or affiliate of the Company;</w:t>
      </w:r>
    </w:p>
    <w:p>
      <w:pPr>
        <w:spacing w:after="0" w:line="123" w:lineRule="exact"/>
        <w:rPr>
          <w:rFonts w:ascii="Arial" w:cs="Arial" w:eastAsia="Arial" w:hAnsi="Arial"/>
          <w:sz w:val="16"/>
          <w:szCs w:val="16"/>
          <w:color w:val="auto"/>
        </w:rPr>
      </w:pPr>
    </w:p>
    <w:p>
      <w:pPr>
        <w:jc w:val="both"/>
        <w:ind w:firstLine="464"/>
        <w:spacing w:after="0" w:line="264" w:lineRule="auto"/>
        <w:tabs>
          <w:tab w:leader="none" w:pos="6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 and the benefits evidenced by this Agreement do not create any entitlement to have the RSU or any such benefits transferred to, or assumed by, another company nor to be exchanged, cashed out or substituted for, in connection with any corporate transaction affecting the shares of Common Stock; and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following provisions apply only if you are providing services outside the United States:</w:t>
      </w:r>
    </w:p>
    <w:p>
      <w:pPr>
        <w:spacing w:after="0" w:line="225" w:lineRule="exact"/>
        <w:rPr>
          <w:rFonts w:ascii="Arial" w:cs="Arial" w:eastAsia="Arial" w:hAnsi="Arial"/>
          <w:sz w:val="18"/>
          <w:szCs w:val="18"/>
          <w:color w:val="auto"/>
        </w:rPr>
      </w:pPr>
    </w:p>
    <w:p>
      <w:pPr>
        <w:ind w:firstLine="921"/>
        <w:spacing w:after="0" w:line="277" w:lineRule="auto"/>
        <w:tabs>
          <w:tab w:leader="none" w:pos="1234"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and the income and value of same, are not part of normal or expected compensation or salary for any purpose;</w:t>
      </w:r>
    </w:p>
    <w:p>
      <w:pPr>
        <w:spacing w:after="0" w:line="170" w:lineRule="exact"/>
        <w:rPr>
          <w:rFonts w:ascii="Arial" w:cs="Arial" w:eastAsia="Arial" w:hAnsi="Arial"/>
          <w:sz w:val="18"/>
          <w:szCs w:val="18"/>
          <w:color w:val="auto"/>
        </w:rPr>
      </w:pPr>
    </w:p>
    <w:p>
      <w:pPr>
        <w:jc w:val="both"/>
        <w:ind w:firstLine="921"/>
        <w:spacing w:after="0" w:line="264" w:lineRule="auto"/>
        <w:tabs>
          <w:tab w:leader="none" w:pos="121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Company Group shall not be liable for any foreign exchange rate fluctuation between your local currency and the United States Dollar that may affect the value of the RSU or of any amounts due to you pursuant to the settlement of the RSU or the subsequent sale of any shares of Common Stock acquired upon settlement; and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2" w:name="page133"/>
    <w:bookmarkEnd w:id="132"/>
    <w:p>
      <w:pPr>
        <w:ind w:firstLine="921"/>
        <w:spacing w:after="0" w:line="277" w:lineRule="auto"/>
        <w:tabs>
          <w:tab w:leader="none" w:pos="1203" w:val="left"/>
        </w:tabs>
        <w:numPr>
          <w:ilvl w:val="2"/>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claim or entitlement to compensation or damages shall arise from forfeiture of the RSU resulting from your Termination of Employment, and in consideration of the grant of the RSU, you agree not to institute any claim against the Company Group.</w:t>
      </w:r>
    </w:p>
    <w:p>
      <w:pPr>
        <w:spacing w:after="0" w:line="170" w:lineRule="exact"/>
        <w:rPr>
          <w:rFonts w:ascii="Arial" w:cs="Arial" w:eastAsia="Arial" w:hAnsi="Arial"/>
          <w:sz w:val="18"/>
          <w:szCs w:val="18"/>
          <w:color w:val="auto"/>
        </w:rPr>
      </w:pPr>
    </w:p>
    <w:p>
      <w:pPr>
        <w:ind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Plan Governs</w:t>
      </w:r>
      <w:r>
        <w:rPr>
          <w:rFonts w:ascii="Arial" w:cs="Arial" w:eastAsia="Arial" w:hAnsi="Arial"/>
          <w:sz w:val="16"/>
          <w:szCs w:val="16"/>
          <w:color w:val="auto"/>
        </w:rPr>
        <w:t>. This RSU award is granted under and governed by the terms and conditions of the Plan. By execution of this Agreement, you consent to the provisions of the Plan and this Agreement. Defined terms used herein shall have the meaning set forth in the Plan, unless otherwise defined herein.</w:t>
      </w:r>
    </w:p>
    <w:p>
      <w:pPr>
        <w:spacing w:after="0" w:line="123" w:lineRule="exact"/>
        <w:rPr>
          <w:rFonts w:ascii="Arial" w:cs="Arial" w:eastAsia="Arial" w:hAnsi="Arial"/>
          <w:sz w:val="16"/>
          <w:szCs w:val="16"/>
          <w:color w:val="auto"/>
        </w:rPr>
      </w:pPr>
    </w:p>
    <w:p>
      <w:pPr>
        <w:jc w:val="both"/>
        <w:ind w:firstLine="8"/>
        <w:spacing w:after="0" w:line="276"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you may be eligible to receive under this Agreement shall be treated as a separate and distinct payment.</w:t>
      </w:r>
    </w:p>
    <w:p>
      <w:pPr>
        <w:spacing w:after="0" w:line="172" w:lineRule="exact"/>
        <w:rPr>
          <w:rFonts w:ascii="Arial" w:cs="Arial" w:eastAsia="Arial" w:hAnsi="Arial"/>
          <w:sz w:val="17"/>
          <w:szCs w:val="17"/>
          <w:color w:val="auto"/>
        </w:rPr>
      </w:pPr>
    </w:p>
    <w:p>
      <w:pPr>
        <w:ind w:left="28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Protection</w:t>
      </w:r>
      <w:r>
        <w:rPr>
          <w:rFonts w:ascii="Arial" w:cs="Arial" w:eastAsia="Arial" w:hAnsi="Arial"/>
          <w:sz w:val="18"/>
          <w:szCs w:val="18"/>
          <w:i w:val="1"/>
          <w:iCs w:val="1"/>
          <w:color w:val="auto"/>
        </w:rPr>
        <w:t>.</w:t>
      </w:r>
    </w:p>
    <w:p>
      <w:pPr>
        <w:spacing w:after="0" w:line="333" w:lineRule="exact"/>
        <w:rPr>
          <w:rFonts w:ascii="Arial" w:cs="Arial" w:eastAsia="Arial" w:hAnsi="Arial"/>
          <w:sz w:val="18"/>
          <w:szCs w:val="18"/>
          <w:color w:val="auto"/>
        </w:rPr>
      </w:pPr>
    </w:p>
    <w:p>
      <w:pPr>
        <w:jc w:val="both"/>
        <w:ind w:firstLine="464"/>
        <w:spacing w:after="0" w:line="264" w:lineRule="auto"/>
        <w:tabs>
          <w:tab w:leader="none" w:pos="737" w:val="left"/>
        </w:tabs>
        <w:numPr>
          <w:ilvl w:val="1"/>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and any other RSU grant materials by the Company Group for the exclusive purpose of implementing, administering and managing your participation in the Plan.</w:t>
      </w:r>
    </w:p>
    <w:p>
      <w:pPr>
        <w:spacing w:after="0" w:line="289" w:lineRule="exact"/>
        <w:rPr>
          <w:rFonts w:ascii="Arial" w:cs="Arial" w:eastAsia="Arial" w:hAnsi="Arial"/>
          <w:sz w:val="18"/>
          <w:szCs w:val="18"/>
          <w:b w:val="1"/>
          <w:bCs w:val="1"/>
          <w:i w:val="1"/>
          <w:iCs w:val="1"/>
          <w:color w:val="auto"/>
        </w:rPr>
      </w:pPr>
    </w:p>
    <w:p>
      <w:pPr>
        <w:jc w:val="both"/>
        <w:ind w:firstLine="464"/>
        <w:spacing w:after="0" w:line="257" w:lineRule="auto"/>
        <w:tabs>
          <w:tab w:leader="none" w:pos="731" w:val="left"/>
        </w:tabs>
        <w:numPr>
          <w:ilvl w:val="1"/>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understand that the Company Group may hold certain personal information about you, including, but not limited to, your name, home address, email address and telephone number, date of birth, social insurance number, passport or other identification number, salary, nationality, job title, any shares of Common Stock or directorships held in the Company, details of all RSUs or any other entitlement to shares of Common Stock awarded, canceled, exercised, vested, unvested or outstanding in your favor (“Data”), for the exclusive purpose of implementing, administering and managing the Plan.</w:t>
      </w:r>
    </w:p>
    <w:p>
      <w:pPr>
        <w:spacing w:after="0" w:line="296" w:lineRule="exact"/>
        <w:rPr>
          <w:rFonts w:ascii="Arial" w:cs="Arial" w:eastAsia="Arial" w:hAnsi="Arial"/>
          <w:sz w:val="18"/>
          <w:szCs w:val="18"/>
          <w:b w:val="1"/>
          <w:bCs w:val="1"/>
          <w:i w:val="1"/>
          <w:iCs w:val="1"/>
          <w:color w:val="auto"/>
        </w:rPr>
      </w:pPr>
    </w:p>
    <w:p>
      <w:pPr>
        <w:jc w:val="both"/>
        <w:ind w:firstLine="464"/>
        <w:spacing w:after="0" w:line="286" w:lineRule="auto"/>
        <w:tabs>
          <w:tab w:leader="none" w:pos="710" w:val="left"/>
        </w:tabs>
        <w:numPr>
          <w:ilvl w:val="1"/>
          <w:numId w:val="4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understand that Data will be transferred to E*TRADE Securities LLC, or such other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the Company Group, E*TRADE Securities LLC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if you reside outside the United States, you may, at any time, view Data, request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with the Employer will not be affected; the only consequence of refusing or withdrawing your consent is that the Company would not be able to grant RSUs or other</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3" w:name="page134"/>
    <w:bookmarkEnd w:id="133"/>
    <w:p>
      <w:pPr>
        <w:jc w:val="both"/>
        <w:spacing w:after="0" w:line="31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awards to you,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 This Section applies to information held, used or disclosed in any medium.</w:t>
      </w:r>
    </w:p>
    <w:p>
      <w:pPr>
        <w:spacing w:after="0" w:line="147"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77" w:lineRule="auto"/>
        <w:tabs>
          <w:tab w:leader="none" w:pos="72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RSU grant and the provisions of this Agreement are governed by, and subject to, the laws of the State of California, without regard to the conflict of law provisions, as provided in the Plan.</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81" w:lineRule="exact"/>
        <w:rPr>
          <w:rFonts w:ascii="Arial" w:cs="Arial" w:eastAsia="Arial" w:hAnsi="Arial"/>
          <w:sz w:val="18"/>
          <w:szCs w:val="18"/>
          <w:color w:val="auto"/>
        </w:rPr>
      </w:pPr>
    </w:p>
    <w:p>
      <w:pPr>
        <w:ind w:firstLine="8"/>
        <w:spacing w:after="0" w:line="277"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jc w:val="both"/>
        <w:ind w:firstLine="8"/>
        <w:spacing w:after="0" w:line="264"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1" w:lineRule="exact"/>
        <w:rPr>
          <w:rFonts w:ascii="Arial" w:cs="Arial" w:eastAsia="Arial" w:hAnsi="Arial"/>
          <w:sz w:val="18"/>
          <w:szCs w:val="18"/>
          <w:color w:val="auto"/>
        </w:rPr>
      </w:pPr>
    </w:p>
    <w:p>
      <w:pPr>
        <w:ind w:firstLine="8"/>
        <w:spacing w:after="0" w:line="277"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jc w:val="both"/>
        <w:ind w:firstLine="8"/>
        <w:spacing w:after="0" w:line="259" w:lineRule="auto"/>
        <w:tabs>
          <w:tab w:leader="none" w:pos="29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RSU grant shall be subject to any special terms and 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86" w:lineRule="exact"/>
        <w:rPr>
          <w:rFonts w:ascii="Arial" w:cs="Arial" w:eastAsia="Arial" w:hAnsi="Arial"/>
          <w:sz w:val="18"/>
          <w:szCs w:val="18"/>
          <w:color w:val="auto"/>
        </w:rPr>
      </w:pPr>
    </w:p>
    <w:p>
      <w:pPr>
        <w:jc w:val="both"/>
        <w:ind w:firstLine="8"/>
        <w:spacing w:after="0" w:line="286" w:lineRule="auto"/>
        <w:tabs>
          <w:tab w:leader="none" w:pos="27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5" w:lineRule="exact"/>
        <w:rPr>
          <w:rFonts w:ascii="Arial" w:cs="Arial" w:eastAsia="Arial" w:hAnsi="Arial"/>
          <w:sz w:val="17"/>
          <w:szCs w:val="17"/>
          <w:color w:val="auto"/>
        </w:rPr>
      </w:pPr>
    </w:p>
    <w:p>
      <w:pPr>
        <w:ind w:firstLine="8"/>
        <w:spacing w:after="0" w:line="277"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70" w:lineRule="exact"/>
        <w:rPr>
          <w:rFonts w:ascii="Arial" w:cs="Arial" w:eastAsia="Arial" w:hAnsi="Arial"/>
          <w:sz w:val="18"/>
          <w:szCs w:val="18"/>
          <w:color w:val="auto"/>
        </w:rPr>
      </w:pPr>
    </w:p>
    <w:p>
      <w:pPr>
        <w:ind w:firstLine="8"/>
        <w:spacing w:after="0" w:line="342" w:lineRule="auto"/>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You acknowledge that you may be subject to insider trading restrictions and/or market abuse laws in applicable jurisdictions, which may affect your ability to, directly or indirectly, acquire, sell or attempt to sell shares of Common Stock or rights to shares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34" w:name="page135"/>
    <w:bookmarkEnd w:id="13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Common Stock under the Plan during such times when you are considered to have “inside information” regarding the Company (as defined by the laws in applicable jurisdictions or your country). Any restrictions under these laws or regulations are separate from and in addition to any restrictions that may be imposed under any applicable Company insider trading policy. You further acknowledge that it is your responsibility to comply with any applicable restrictions, and you should speak to your personal advisor on this matter.</w:t>
      </w:r>
    </w:p>
    <w:p>
      <w:pPr>
        <w:spacing w:after="0" w:line="187" w:lineRule="exact"/>
        <w:rPr>
          <w:sz w:val="20"/>
          <w:szCs w:val="20"/>
          <w:color w:val="auto"/>
        </w:rPr>
      </w:pPr>
    </w:p>
    <w:p>
      <w:pPr>
        <w:jc w:val="both"/>
        <w:ind w:firstLine="8"/>
        <w:spacing w:after="0" w:line="271" w:lineRule="auto"/>
        <w:tabs>
          <w:tab w:leader="none" w:pos="31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Foreign Asset / Account Reporting Requirements</w:t>
      </w:r>
      <w:r>
        <w:rPr>
          <w:rFonts w:ascii="Arial" w:cs="Arial" w:eastAsia="Arial" w:hAnsi="Arial"/>
          <w:sz w:val="17"/>
          <w:szCs w:val="17"/>
          <w:color w:val="auto"/>
        </w:rPr>
        <w:t>. You acknowledge that your country may have certain foreign asset and/or account reporting requirements and exchange controls which may affect your ability to acquire or hold shares of Common Stock under the Plan or cash received from participating in the Plan (including from any dividends received or sale proceeds arising from the sale of shares of Common Stock) in a brokerage or bank account outside your country. You understand that you may be required to report such accounts, assets or related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of Common Stock. You acknowledge that it is your responsibility to be compliant with all such requirements, and you should speak to your personal advisor on this matter.</w:t>
      </w:r>
    </w:p>
    <w:p>
      <w:pPr>
        <w:spacing w:after="0" w:line="178" w:lineRule="exact"/>
        <w:rPr>
          <w:rFonts w:ascii="Arial" w:cs="Arial" w:eastAsia="Arial" w:hAnsi="Arial"/>
          <w:sz w:val="17"/>
          <w:szCs w:val="17"/>
          <w:color w:val="auto"/>
        </w:rPr>
      </w:pPr>
    </w:p>
    <w:p>
      <w:pPr>
        <w:jc w:val="both"/>
        <w:ind w:firstLine="8"/>
        <w:spacing w:after="0" w:line="264" w:lineRule="auto"/>
        <w:tabs>
          <w:tab w:leader="none" w:pos="29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your participation in the Plan, or your acquisition or sale of the underlying Common Stock. You should consult with your own personal tax, legal and financial advisors regarding your participation in the Plan before taking any action related to the Plan.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GRANTEES OUTSIDE THE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Appendix includes additional terms and conditions that govern the RSUs granted to you under the Plan if you reside in one of the countries listed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capitalized terms used but not defined in this Appendix have the meanings set forth in the Plan and/or the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Appendix also includes information regarding exchange controls and certain other issues of which you should be aware with respect to your participation in the Plan. The information is based on the securities, exchange control and other laws in effect in the respective countries as of March 2017.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vest in the RSUs.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situation.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transfer employment to another country after the Grant Date, or are considered a resident of another country for tax or exchange control purposes, the information contained herein may not be applicable to you.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The grant of RSUs does not provide any right for you to receive a cash payment, and settlement of the RSUs is payable only in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Australian Offer Document</w:t>
      </w:r>
      <w:r>
        <w:rPr>
          <w:rFonts w:ascii="Arial" w:cs="Arial" w:eastAsia="Arial" w:hAnsi="Arial"/>
          <w:sz w:val="18"/>
          <w:szCs w:val="18"/>
          <w:color w:val="auto"/>
        </w:rPr>
        <w:t>. This offer of RSUs under the Plan is intended to comply with the provisions of the Corporations Act 2001, ASIC Regulatory Guide 49 and ASIC Class Order CO 14/1000. Additional details are set forth in the Offer Document for the offer of RSUs to Australian-resident employees, which will be provided to you with the Agreement.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36" w:name="page137"/>
    <w:bookmarkEnd w:id="136"/>
    <w:p>
      <w:pPr>
        <w:jc w:val="both"/>
        <w:ind w:right="20"/>
        <w:spacing w:after="0" w:line="34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Control Information</w:t>
      </w:r>
      <w:r>
        <w:rPr>
          <w:rFonts w:ascii="Arial" w:cs="Arial" w:eastAsia="Arial" w:hAnsi="Arial"/>
          <w:sz w:val="16"/>
          <w:szCs w:val="16"/>
          <w:color w:val="auto"/>
        </w:rPr>
        <w:t>. Exchange control reporting is required for cash transactions exceeding A$10,000 and international fund transfers. The Australian bank assisting with the transaction will file the report. If there is no Australian bank involved in the transfer, you will be required to file the report.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Tax Information</w:t>
      </w:r>
      <w:r>
        <w:rPr>
          <w:rFonts w:ascii="Arial" w:cs="Arial" w:eastAsia="Arial" w:hAnsi="Arial"/>
          <w:sz w:val="17"/>
          <w:szCs w:val="17"/>
          <w:color w:val="auto"/>
        </w:rPr>
        <w:t>. The Plan is a plan to which subdivision 83A-C of the Income Tax Assessment Act 1997 (Cth) applies (subject to conditions in the Act).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The grant of RSUs does not provide any right for you to receive a cash payment, and settlement of the RSUs is payable only in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 Upon Termination</w:t>
      </w:r>
      <w:r>
        <w:rPr>
          <w:rFonts w:ascii="Arial" w:cs="Arial" w:eastAsia="Arial" w:hAnsi="Arial"/>
          <w:sz w:val="18"/>
          <w:szCs w:val="18"/>
          <w:color w:val="auto"/>
        </w:rPr>
        <w:t>. The following replaces Section 2 of the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Until vested, the RSU shall be subject to forfeiture in the event of the termination of your employment or service (as applicable) with the Company and all of its Subsidiaries for any reason, whether such termination is occasioned by you, by the Company or any of its Subsidiaries, with or without cause or by mutual agreement (“Termination of Employment”). For purposes of this Agreement, your employment or service will be considered terminated as of the date that is the earlier of: (1) the date your employment or service is terminated, (2) the date you receive a notice of termination of service from the Employer, or (3) the date you cease to actively provide services; regardless of any notice period or period of pay in lieu of such notice required under local law (including, but not limited to, statutory law, regulatory law and/or common law). The Committee shall have the exclusive discretion to determine when you are no longer actively providing services for purposes of your RSU grant (including whether you may still be considered to be providing services while on an approved leave of absence).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following provisions will apply if you are a resident of Quebec: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The parties acknowledge that it is their express wish that the Agreement, as well as all documents, notices and legal proceeds entered into, given or instituted pursuant hereto or relating directly or indirectly hereto, be drawn up in English.</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Consentement relatif à la langue utilisée</w:t>
      </w:r>
      <w:r>
        <w:rPr>
          <w:rFonts w:ascii="Arial" w:cs="Arial" w:eastAsia="Arial" w:hAnsi="Arial"/>
          <w:sz w:val="17"/>
          <w:szCs w:val="17"/>
          <w:i w:val="1"/>
          <w:iCs w:val="1"/>
          <w:color w:val="auto"/>
        </w:rPr>
        <w:t>: 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This provision supplements Section 10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hereby authorize the Company and the Company’s representatives to discuss with and obtain all relevant information from all personnel, professional or not, involved in the administration and operation of the Plan. You further authorize the Employer, the Company, and any other Subsidiary to disclose and discuss the Plan with their respective advisors. You further authorize the Employer, the Company, and any other Subsidiary to record such information and to keep such information in your employee file.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 Law Notification</w:t>
      </w:r>
      <w:r>
        <w:rPr>
          <w:rFonts w:ascii="Arial" w:cs="Arial" w:eastAsia="Arial" w:hAnsi="Arial"/>
          <w:sz w:val="18"/>
          <w:szCs w:val="18"/>
          <w:color w:val="auto"/>
        </w:rPr>
        <w:t>. Canadian residents are permitted to sell shares of Common Stock acquired under the Plan through the designated broker appointed under the Plan, if any, provided the sale of such</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acquired under the Plan takes place outside of Canada through the NASDAQ stock exchange on which the shares of Common Stock are listed.</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Foreign Asset/Account Reporting Notification</w:t>
      </w:r>
      <w:r>
        <w:rPr>
          <w:rFonts w:ascii="Arial" w:cs="Arial" w:eastAsia="Arial" w:hAnsi="Arial"/>
          <w:sz w:val="18"/>
          <w:szCs w:val="18"/>
          <w:color w:val="auto"/>
        </w:rPr>
        <w:t>. Canadian taxpayers are required to report any foreign specified property, including shares of Common Stock acquired under the Plan and rights to receive shares of Common Stock (</w:t>
      </w:r>
      <w:r>
        <w:rPr>
          <w:rFonts w:ascii="Arial" w:cs="Arial" w:eastAsia="Arial" w:hAnsi="Arial"/>
          <w:sz w:val="18"/>
          <w:szCs w:val="18"/>
          <w:i w:val="1"/>
          <w:iCs w:val="1"/>
          <w:color w:val="auto"/>
        </w:rPr>
        <w:t>e.g</w:t>
      </w:r>
      <w:r>
        <w:rPr>
          <w:rFonts w:ascii="Arial" w:cs="Arial" w:eastAsia="Arial" w:hAnsi="Arial"/>
          <w:sz w:val="18"/>
          <w:szCs w:val="18"/>
          <w:color w:val="auto"/>
        </w:rPr>
        <w:t>., RSUs) on Form T1135 (Foreign Income Verification Statement) if the total cost of the foreign specified property exceeds C$100,000 at any time during the year. RSUs must be reported (generally, at nil cost) if the C$100,000 cost threshold is exceeded because of other foreign specified property held by you. For shares of Common Stock acquired under the Plan, cost generally is the adjusted cost basis (“ACB”), which would ordinarily be equal the fair market value of such shares at the time of acquisition. If, however, you own other shares of Common Stock in the Company, the ACB of the shares of Common Stock acquired under the Plan will need to be leveraged with the ACB of the other shares. The statement is due at the same time as your annual tax return. You should consult your personal tax advisor to ensure compliance with applicable reporting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w:t>
      </w:r>
      <w:r>
        <w:rPr>
          <w:rFonts w:ascii="Arial" w:cs="Arial" w:eastAsia="Arial" w:hAnsi="Arial"/>
          <w:sz w:val="15"/>
          <w:szCs w:val="15"/>
          <w:b w:val="1"/>
          <w:bCs w:val="1"/>
          <w:u w:val="single" w:color="auto"/>
          <w:color w:val="auto"/>
        </w:rPr>
        <w:t>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accepting the grant of the RSUs, you confirm having read and understood the Plan and Agreement, which were provided in the English language. You accept the terms of those documents accordingly.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 acceptant cette attribution gratuite d’actions, vous confirmez avoir lu et compris le Plan et ce Contrat, incluant tous leurs termes et conditions, qui ont été transmis en langue anglaise. Vous acceptez les termes de ces documents en connaissance de cause.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Tax Information</w:t>
      </w:r>
      <w:r>
        <w:rPr>
          <w:rFonts w:ascii="Arial" w:cs="Arial" w:eastAsia="Arial" w:hAnsi="Arial"/>
          <w:sz w:val="18"/>
          <w:szCs w:val="18"/>
          <w:color w:val="auto"/>
        </w:rPr>
        <w:t>. The RSUs are not intended to qualify for specific tax and social security treatment in France under Section L. 225-197-1 to L. 225-197-6-1 of the French Commercial Code, as amended.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you hold securities (e.g., shares of Common Stock) or maintain a foreign bank account, the securities and bank accounts (whether open, current or closed) must be reported to the French tax authorities when filing your annual tax return. Failure to comply could trigger significant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w:t>
      </w:r>
      <w:r>
        <w:rPr>
          <w:rFonts w:ascii="Arial" w:cs="Arial" w:eastAsia="Arial" w:hAnsi="Arial"/>
          <w:sz w:val="15"/>
          <w:szCs w:val="15"/>
          <w:b w:val="1"/>
          <w:bCs w:val="1"/>
          <w:u w:val="single" w:color="auto"/>
          <w:color w:val="auto"/>
        </w:rPr>
        <w:t>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Notification</w:t>
      </w:r>
      <w:r>
        <w:rPr>
          <w:rFonts w:ascii="Arial" w:cs="Arial" w:eastAsia="Arial" w:hAnsi="Arial"/>
          <w:sz w:val="18"/>
          <w:szCs w:val="18"/>
          <w:color w:val="auto"/>
        </w:rPr>
        <w:t>. Cross-border payments in excess of €12,500 must be reported monthly to the German Federal Bank. In case of payments made in connection with the sale of securities, the report must be filed electronically by the fifth day of the month following the month in which the payment is received. A copy of the form can be accessed via the German Federal Bank’s website at www.bundesbank.de and is available in both German and English. No report is required for payments less than €12,500. You are responsible for satisfying this reporting obligation and you should consult your personal legal advisor to ensure compliance with applicable reporting requirements.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u w:val="single" w:color="auto"/>
          <w:color w:val="auto"/>
        </w:rPr>
        <w:t>NDIA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Indian residents must repatriate to India and convert to local currency any proceeds from the sale of shares of Common Stock acquired under the Plan within 90 days of receipt and any cash dividends paid upon such shares of Common Stock within 180 days of receipt, or as prescribed under applicable exchange control laws, as may be amended from time to time. If you repatriate funds pursuant to these requirements, the bank where the foreign currency is deposited will provide you with a foreign inward remittance certificate (“FIRC”). You should maintain the FIRC as evidence of the repatriation of funds in the event the Reserve Bank of India or the Employer requests proof of repatriation.</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u w:val="single" w:color="auto"/>
          <w:color w:val="auto"/>
        </w:rPr>
        <w:t>Foreign Asset /Account Reporting</w:t>
      </w:r>
      <w:r>
        <w:rPr>
          <w:rFonts w:ascii="Arial" w:cs="Arial" w:eastAsia="Arial" w:hAnsi="Arial"/>
          <w:sz w:val="16"/>
          <w:szCs w:val="16"/>
          <w:color w:val="auto"/>
        </w:rPr>
        <w:t>. Indian residents are required to declare any foreign bank accounts and assets (including shares of Common Stock acquired under the Plan) on their annual tax returns. You should consult with your personal tax advisor to ensure compliance with applicable reporting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RELAND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This section supplements Section 7(l)(C) of the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accepting the RSUs, you acknowledge, understand, and agree that the benefits received under the Plan will not be taken into account for any redundancy or unfair dismissal claim.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Director Notification Obligation</w:t>
      </w:r>
      <w:r>
        <w:rPr>
          <w:rFonts w:ascii="Arial" w:cs="Arial" w:eastAsia="Arial" w:hAnsi="Arial"/>
          <w:sz w:val="17"/>
          <w:szCs w:val="17"/>
          <w:color w:val="auto"/>
        </w:rPr>
        <w:t>. Directors, shadow directors and secretaries of the Company’s Irish Subsidiary or affiliate corporation whose interest in the Company represents more than 1% of the Company’s voting share capital are subject to certain notification requirements under the Irish Companies Act. Directors, shadow directors and secretaries must notify the Irish Subsidiary or affiliate corporation in writing of their interest in the Company (</w:t>
      </w:r>
      <w:r>
        <w:rPr>
          <w:rFonts w:ascii="Arial" w:cs="Arial" w:eastAsia="Arial" w:hAnsi="Arial"/>
          <w:sz w:val="17"/>
          <w:szCs w:val="17"/>
          <w:i w:val="1"/>
          <w:iCs w:val="1"/>
          <w:color w:val="auto"/>
        </w:rPr>
        <w:t>e.g</w:t>
      </w:r>
      <w:r>
        <w:rPr>
          <w:rFonts w:ascii="Arial" w:cs="Arial" w:eastAsia="Arial" w:hAnsi="Arial"/>
          <w:sz w:val="17"/>
          <w:szCs w:val="17"/>
          <w:color w:val="auto"/>
        </w:rPr>
        <w:t>., RSUs, shares of Common Stock, etc.), when he or she becomes aware of the event giving rise to the notification requirement, or when he or she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This provision supplements Section 10 of the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understand that the Company Group may hold certain personal information about you, including, but not limited to, your name, home address, email address and telephone number, date of birth, social insurance (to the extent permitted under Italian law), passport or other identification number, salary, nationality, job title, any shares of Common Stock or directorships held in the Company Group, details of all RSUs or other entitlement to shares of Common Stock granted, canceled, exercised, vested, unvested or outstanding in your favor, for the exclusive purpose of implementing, managing and administering the Plan (“Data”).</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39" w:name="page140"/>
    <w:bookmarkEnd w:id="139"/>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also understand that providing the Company with Data is necessary for the performance of the Plan and that your refusal to provide such Data would make it impossible for the Company to perform its contractual obligations and may affect your ability to participate in the Plan. The Controller of personal data processing is ViaSat, Inc., with registered offices at 6155 El Camino Real, Carlsbad, California, 92009, United States of America, and, pursuant to Legislative Decree no. 196/2003, its representative in Italy is, ViaSat Europe S.r.L. with registered offices at Viale Medaglie D’oro, 00136 Roma, Italy.</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or the stock plan service provider engaged by the Company either presently or in the future. You further understand that the Company Group will transfer Data among themselves as necessary for the purpose of implementing, administering and managing your participation in the Plan, and that the Company Group may further transfer Data to third parties assisting the Company in the implementation, administration and management of the Plan, including any requisite transfer of Data to a broker or other third party with whom you may elect to deposit any shares of Common Stock acquired at vesting of the RSUs. Such recipients may receive, possess, use, retain and transfer Data in electronic or other form, for the purposes of implementing, administering and managing your participation in the Plan.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understand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processing activity, including communication, the transfer of Data abroad, including outside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 Furthermore, you are aware that Data will not be used for direct marketing purposes. In addition, Data provided can be reviewed and questions or complaints can be addressed by contacting your local human resources representative.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Document Acknowledgment</w:t>
      </w:r>
      <w:r>
        <w:rPr>
          <w:rFonts w:ascii="Arial" w:cs="Arial" w:eastAsia="Arial" w:hAnsi="Arial"/>
          <w:sz w:val="16"/>
          <w:szCs w:val="16"/>
          <w:color w:val="auto"/>
        </w:rPr>
        <w:t>. By accepting the RSUs, you acknowledge that you have received a copy of, and have reviewed the Plan and the Agreement, including this Appendix, in their entirety and fully understand and accept all provisions of the Plan and the Agreement, including this Appendix.</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You further acknowledge that you have read and specifically and expressly agree to the following provisions of the Agreement: (i) Withholding; Indemnity,</w:t>
      </w:r>
    </w:p>
    <w:p>
      <w:pPr>
        <w:spacing w:after="0" w:line="46" w:lineRule="exact"/>
        <w:rPr>
          <w:sz w:val="20"/>
          <w:szCs w:val="20"/>
          <w:color w:val="auto"/>
        </w:rPr>
      </w:pPr>
    </w:p>
    <w:p>
      <w:pPr>
        <w:ind w:left="11240" w:hanging="11232"/>
        <w:spacing w:after="0" w:line="378" w:lineRule="auto"/>
        <w:tabs>
          <w:tab w:leader="none" w:pos="273" w:val="left"/>
        </w:tabs>
        <w:numPr>
          <w:ilvl w:val="0"/>
          <w:numId w:val="48"/>
        </w:numPr>
        <w:rPr>
          <w:rFonts w:ascii="Arial" w:cs="Arial" w:eastAsia="Arial" w:hAnsi="Arial"/>
          <w:sz w:val="16"/>
          <w:szCs w:val="16"/>
          <w:color w:val="auto"/>
        </w:rPr>
      </w:pPr>
      <w:r>
        <w:rPr>
          <w:rFonts w:ascii="Arial" w:cs="Arial" w:eastAsia="Arial" w:hAnsi="Arial"/>
          <w:sz w:val="16"/>
          <w:szCs w:val="16"/>
          <w:color w:val="auto"/>
        </w:rPr>
        <w:t>Nature of Grant; (iii) Governing Law and Venue, (iv) Language, (v) Imposition of Other Requirements and the Data Protection section in this Appendix. 12</w:t>
      </w:r>
    </w:p>
    <w:p>
      <w:pPr>
        <w:sectPr>
          <w:pgSz w:w="11900" w:h="16838" w:orient="portrait"/>
          <w:cols w:equalWidth="0" w:num="1">
            <w:col w:w="11420"/>
          </w:cols>
          <w:pgMar w:left="240" w:top="27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investments abroad and/or foreign financial assets (including shares of Common Stock and cash) which may generate income taxable in Italy are required to report such investments and assets on their annual tax returns (UNICO Form, RW Schedule) or on a special form if no tax return is due. These reporting obligations also apply to Italian residents who are the beneficial owners of the investments abroad or foreign financial assets under Italian money laundering provisions. You should consult your personal legal advisor to ensure compliance with applicable reporting obligations.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Foreign Financial Assets Tax</w:t>
      </w:r>
      <w:r>
        <w:rPr>
          <w:rFonts w:ascii="Arial" w:cs="Arial" w:eastAsia="Arial" w:hAnsi="Arial"/>
          <w:sz w:val="17"/>
          <w:szCs w:val="17"/>
          <w:color w:val="auto"/>
        </w:rPr>
        <w:t>. The fair market value of any shares of Common Stock held outside Italy is subject to a foreign assets tax. The fair market value is considered to be the value of the shares of Common Stock on the NASDAQ Global Select Market on December 31 of each year or on the last day you held the shares (in such case, or when the shares of Common Stock are acquired during the course of the year, the tax is levied in proportion to the actual days of holding over the calendar year). You should consult with your personal tax advisor about the foreign financial assets tax.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WITZERLAND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xml:space="preserve"> The RSUs and the issuance of any shares of Common Stock thereunder is not intended to be publicly offered in or from Switzerland. Neither this Agreement nor any other materials relating to the RSUs (1) constitute a prospectus as such term is understood pursuant to article 652a of the Swiss Code of Obligations, (2) may be publicly distributed nor otherwise made publicly available in Switzerland, or (3) have been or will be filed with, approved or supervised by any Swiss regulatory authority (in particular, the Swiss Financial Market Supervisory Authority (FINMA)).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w:t>
      </w:r>
      <w:r>
        <w:rPr>
          <w:rFonts w:ascii="Arial" w:cs="Arial" w:eastAsia="Arial" w:hAnsi="Arial"/>
          <w:sz w:val="15"/>
          <w:szCs w:val="15"/>
          <w:b w:val="1"/>
          <w:bCs w:val="1"/>
          <w:u w:val="single" w:color="auto"/>
          <w:color w:val="auto"/>
        </w:rPr>
        <w:t>NITED</w:t>
      </w:r>
      <w:r>
        <w:rPr>
          <w:rFonts w:ascii="Arial" w:cs="Arial" w:eastAsia="Arial" w:hAnsi="Arial"/>
          <w:sz w:val="18"/>
          <w:szCs w:val="18"/>
          <w:b w:val="1"/>
          <w:bCs w:val="1"/>
          <w:u w:val="single" w:color="auto"/>
          <w:color w:val="auto"/>
        </w:rPr>
        <w:t xml:space="preserve"> K</w:t>
      </w:r>
      <w:r>
        <w:rPr>
          <w:rFonts w:ascii="Arial" w:cs="Arial" w:eastAsia="Arial" w:hAnsi="Arial"/>
          <w:sz w:val="15"/>
          <w:szCs w:val="15"/>
          <w:b w:val="1"/>
          <w:bCs w:val="1"/>
          <w:u w:val="single" w:color="auto"/>
          <w:color w:val="auto"/>
        </w:rPr>
        <w:t>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United Kingdom, only Employees are eligible to be granted RSUs pursuant to the following additional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This section supplements Section 6 of the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Without limitation to Section 6 of the Agreement, you agree to be liable for any Tax Liability and hereby covenant to pay any such Tax Liability, as and when requested by the Company or, if different, the Employer or by Her Majesty’s Revenue &amp; Customs (“HMRC”) (or any other tax authority or any other relevant authority). You also agree to indemnify and keep indemnified the Company and, if different, the Employer against any Tax Liability that they are required to pay or withhold on your behalf or have paid or will pay to HMRC (or any other tax authority or any other relevant authority).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if you are a director or executive officer (as within the meaning of Section 13(k) of the Exchange Act), the terms of the immediately foregoing provision will not apply. In the event you are a director or executive officer, you understand that you may not be able to indemnify the Company for the amount of any income tax not collected from or paid by you within ninety (90) days of the end of the U.K. tax year in which the event giving rise to the Tax Liability occurs, as it may be considered to be a loan and, therefore, it may constitute a benefit to you on which additional income tax and national insurance contributions may be payable. You acknowledge that the Company or the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1" w:name="page142"/>
    <w:bookmarkEnd w:id="14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 may recover any such additional income tax and national insurance contributions at any time thereafter by any of the means referred to in Section 6 of the Agreement. However, you are primarily responsible for reporting and paying any income tax and national insurance contributions due on this additional benefit directly to HMRC under the self-assessment regime.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The grant of RSUs does not provide any right for you to receive a cash payment, and settlement of the RSUs is payable only in shares of Common Stock.</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21.1</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3740" w:type="dxa"/>
            <w:vAlign w:val="bottom"/>
          </w:tcPr>
          <w:p>
            <w:pPr>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r>
      <w:tr>
        <w:trPr>
          <w:trHeight w:val="189"/>
        </w:trPr>
        <w:tc>
          <w:tcPr>
            <w:tcW w:w="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Engreen,</w:t>
            </w:r>
          </w:p>
        </w:tc>
        <w:tc>
          <w:tcPr>
            <w:tcW w:w="3400" w:type="dxa"/>
            <w:vAlign w:val="bottom"/>
          </w:tcPr>
          <w:p>
            <w:pPr>
              <w:spacing w:after="0" w:line="189" w:lineRule="exact"/>
              <w:rPr>
                <w:sz w:val="20"/>
                <w:szCs w:val="20"/>
                <w:color w:val="auto"/>
              </w:rPr>
            </w:pPr>
            <w:r>
              <w:rPr>
                <w:rFonts w:ascii="Arial" w:cs="Arial" w:eastAsia="Arial" w:hAnsi="Arial"/>
                <w:sz w:val="18"/>
                <w:szCs w:val="18"/>
                <w:color w:val="auto"/>
              </w:rPr>
              <w:t>Inc.</w:t>
            </w:r>
          </w:p>
        </w:tc>
        <w:tc>
          <w:tcPr>
            <w:tcW w:w="3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California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Engreen India Private Limited</w:t>
            </w:r>
          </w:p>
        </w:tc>
        <w:tc>
          <w:tcPr>
            <w:tcW w:w="374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Euro Broadband Retail Sàrl</w:t>
            </w:r>
          </w:p>
        </w:tc>
        <w:tc>
          <w:tcPr>
            <w:tcW w:w="374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Exede Communications Limitada</w:t>
            </w:r>
          </w:p>
        </w:tc>
        <w:tc>
          <w:tcPr>
            <w:tcW w:w="374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Exede DEU GmbH</w:t>
            </w:r>
          </w:p>
        </w:tc>
        <w:tc>
          <w:tcPr>
            <w:tcW w:w="374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Exede Servicos De Comunicacoes Rio Limitada</w:t>
            </w:r>
          </w:p>
        </w:tc>
        <w:tc>
          <w:tcPr>
            <w:tcW w:w="374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IOM Licensing Holding Company Limited</w:t>
            </w:r>
          </w:p>
        </w:tc>
        <w:tc>
          <w:tcPr>
            <w:tcW w:w="374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Thames Space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(IOM) Limited</w:t>
            </w:r>
          </w:p>
        </w:tc>
        <w:tc>
          <w:tcPr>
            <w:tcW w:w="374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Antenna Systems S.A.</w:t>
            </w:r>
          </w:p>
        </w:tc>
        <w:tc>
          <w:tcPr>
            <w:tcW w:w="374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Australia PTY Limited</w:t>
            </w:r>
          </w:p>
        </w:tc>
        <w:tc>
          <w:tcPr>
            <w:tcW w:w="374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Broadband Holdings B.V.</w:t>
            </w:r>
          </w:p>
        </w:tc>
        <w:tc>
          <w:tcPr>
            <w:tcW w:w="374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China Services, Inc.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Europe S.r.L.</w:t>
            </w:r>
          </w:p>
        </w:tc>
        <w:tc>
          <w:tcPr>
            <w:tcW w:w="374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India Pvt. Ltd.</w:t>
            </w:r>
          </w:p>
        </w:tc>
        <w:tc>
          <w:tcPr>
            <w:tcW w:w="374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Ireland Limited</w:t>
            </w:r>
          </w:p>
        </w:tc>
        <w:tc>
          <w:tcPr>
            <w:tcW w:w="374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Netherlands B.V.</w:t>
            </w:r>
          </w:p>
        </w:tc>
        <w:tc>
          <w:tcPr>
            <w:tcW w:w="374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Peru S.R.L.</w:t>
            </w:r>
          </w:p>
        </w:tc>
        <w:tc>
          <w:tcPr>
            <w:tcW w:w="374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Satellite Holdings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ViaSat Satellite Ventures Holdings Luxembourg S.a.r.l.  Luxembourg</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Stimulus, LLC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Technologies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Tecnologia S.A. de C.V.</w:t>
            </w:r>
          </w:p>
        </w:tc>
        <w:tc>
          <w:tcPr>
            <w:tcW w:w="374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UK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VS3 Holdings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Worldwide Limited</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Inc. Limitada</w:t>
            </w:r>
          </w:p>
        </w:tc>
        <w:tc>
          <w:tcPr>
            <w:tcW w:w="374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VParent, Inc.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VService, Inc.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Wildblue Communications Canada Corp.</w:t>
            </w:r>
          </w:p>
        </w:tc>
        <w:tc>
          <w:tcPr>
            <w:tcW w:w="3740" w:type="dxa"/>
            <w:vAlign w:val="bottom"/>
          </w:tcPr>
          <w:p>
            <w:pPr>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0220"/>
          </w:cols>
          <w:pgMar w:left="14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333-164556 and 333-209452) and Form S-8 (File Nos. 333-21113, 333-40396, 333-67010, 333-68757, 333-109959, 333-131382, 333-153828, 333-159708, 333-160361, 333-167379, 333-169593, 333-182015, 333-184029, 333-191326, 333-204440 and 333-207064) of ViaSat, Inc. of our report dated May 24, 2017 relating to the financial statements, financial statement schedule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460" w:right="180" w:firstLine="443"/>
        <w:spacing w:after="0" w:line="308" w:lineRule="auto"/>
        <w:tabs>
          <w:tab w:leader="none" w:pos="11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March 31, 2017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460" w:right="180" w:firstLine="443"/>
        <w:spacing w:after="0" w:line="308" w:lineRule="auto"/>
        <w:tabs>
          <w:tab w:leader="none" w:pos="1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March 31, 2017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4"/>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lvl w:ilvl="1">
      <w:lvlJc w:val="left"/>
      <w:lvlText w:val="(%2)"/>
      <w:numFmt w:val="lowerLetter"/>
      <w:start w:val="1"/>
    </w:lvl>
  </w:abstractNum>
  <w:abstractNum w:abstractNumId="41">
    <w:nsid w:val="6DE91B18"/>
    <w:multiLevelType w:val="hybridMultilevel"/>
    <w:lvl w:ilvl="0">
      <w:lvlJc w:val="left"/>
      <w:lvlText w:val="(%1)"/>
      <w:numFmt w:val="lowerLetter"/>
      <w:start w:val="9"/>
    </w:lvl>
    <w:lvl w:ilvl="1">
      <w:lvlJc w:val="left"/>
      <w:lvlText w:val="(%2)"/>
      <w:numFmt w:val="lowerLetter"/>
      <w:start w:val="3"/>
    </w:lvl>
  </w:abstractNum>
  <w:abstractNum w:abstractNumId="42">
    <w:nsid w:val="38437FDB"/>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43">
    <w:nsid w:val="7644A45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44">
    <w:nsid w:val="32FFF902"/>
    <w:multiLevelType w:val="hybridMultilevel"/>
    <w:lvl w:ilvl="0">
      <w:lvlJc w:val="left"/>
      <w:lvlText w:val="%1."/>
      <w:numFmt w:val="decimal"/>
      <w:start w:val="8"/>
    </w:lvl>
    <w:lvl w:ilvl="1">
      <w:lvlJc w:val="left"/>
      <w:lvlText w:val="(%2)"/>
      <w:numFmt w:val="lowerLetter"/>
      <w:start w:val="1"/>
    </w:lvl>
    <w:lvl w:ilvl="2">
      <w:lvlJc w:val="left"/>
      <w:lvlText w:val="%3"/>
      <w:numFmt w:val="upperLetter"/>
      <w:start w:val="1"/>
    </w:lvl>
  </w:abstractNum>
  <w:abstractNum w:abstractNumId="45">
    <w:nsid w:val="684A481A"/>
    <w:multiLevelType w:val="hybridMultilevel"/>
    <w:lvl w:ilvl="0">
      <w:lvlJc w:val="left"/>
      <w:lvlText w:val="%1."/>
      <w:numFmt w:val="decimal"/>
      <w:start w:val="11"/>
    </w:lvl>
    <w:lvl w:ilvl="1">
      <w:lvlJc w:val="left"/>
      <w:lvlText w:val="(%2)"/>
      <w:numFmt w:val="lowerLetter"/>
      <w:start w:val="1"/>
    </w:lvl>
  </w:abstractNum>
  <w:abstractNum w:abstractNumId="46">
    <w:nsid w:val="579478FE"/>
    <w:multiLevelType w:val="hybridMultilevel"/>
    <w:lvl w:ilvl="0">
      <w:lvlJc w:val="left"/>
      <w:lvlText w:val="%1."/>
      <w:numFmt w:val="decimal"/>
      <w:start w:val="19"/>
    </w:lvl>
  </w:abstractNum>
  <w:abstractNum w:abstractNumId="47">
    <w:nsid w:val="749ABB43"/>
    <w:multiLevelType w:val="hybridMultilevel"/>
    <w:lvl w:ilvl="0">
      <w:lvlJc w:val="left"/>
      <w:lvlText w:val="(%1)"/>
      <w:numFmt w:val="lowerRoman"/>
      <w:start w:val="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2019-12-29T05:06:04Z</dcterms:created>
  <dcterms:modified xsi:type="dcterms:W3CDTF">2019-12-29T05:06:04Z</dcterms:modified>
</cp:coreProperties>
</file>