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Paull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7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46"/>
        <w:gridCol w:w="681"/>
        <w:gridCol w:w="801"/>
        <w:gridCol w:w="93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6,388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Viasat,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and convert into shares of common stock of the Issuer on the first to occur of (i) the first anniversary of the date of grant or (ii) the next occurring annual meeting of the Company's stockholders, subject to the Non-Employee Director continuing in service on the Board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Until vested, the restricted stock unit shall be subject to forfeiture in the event of termination of the directorship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2307"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3668</Characters>
  <CharactersWithSpaces>4265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