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ownership.xml.htm"/>
      <w:bookmarkStart w:id="1" w:name="ksownership"/>
      <w:bookmarkEnd w:id="0"/>
      <w:bookmarkEnd w:id="1"/>
      <w: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STATEMENT OF CHANGES IN BENEFICIAL OWNERSHIP</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872"/>
            </w:tblGrid>
            <w:t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45"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pPr>
            <w:r/>
          </w:p>
        </w:tc>
        <w:tc>
          <w:tcPr>
            <w:tcW w:w="1992" w:type="dxa"/>
            <w:vMerge w:val="continue"/>
            <w:tcBorders/>
          </w:tcPr>
          <w:p>
            <w:pPr>
              <w:pStyle w:val="Normal"/>
              <w:bidi w:val="0"/>
              <w:jc w:val="left"/>
            </w:pPr>
            <w:r/>
          </w:p>
        </w:tc>
      </w:tr>
      <w:tr>
        <w:trPr>
          <w:trHeight w:val="570" w:hRule="atLeast"/>
        </w:trPr>
        <w:tc>
          <w:tcPr>
            <w:tcW w:w="345" w:type="dxa"/>
            <w:tcBorders/>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pPr>
                  <w:hyperlink r:id="rId4">
                    <w:r>
                      <w:rPr>
                        <w:rStyle w:val="InternetLink"/>
                      </w:rPr>
                      <w:t>Blair Robert James</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5">
              <w:r>
                <w:rPr>
                  <w:rStyle w:val="InternetLink"/>
                </w:rPr>
                <w:t>VIASAT INC</w:t>
              </w:r>
            </w:hyperlink>
            <w:r>
              <w:t xml:space="preserve"> [ </w:t>
            </w:r>
            <w:r>
              <w:rPr>
                <w:rFonts w:ascii="Times;serif" w:hAnsi="Times;serif"/>
                <w:color w:val="0000FF"/>
                <w:sz w:val="24"/>
                <w:shd w:fill="FFFFFF" w:val="clear"/>
              </w:rPr>
              <w:t>VSAT</w:t>
            </w:r>
            <w: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5.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General Counsel</w:t>
                  </w:r>
                </w:p>
              </w:tc>
            </w:tr>
          </w:tbl>
          <w:p>
            <w:pPr>
              <w:pStyle w:val="TableContents"/>
              <w:bidi w:val="0"/>
              <w:spacing w:before="0" w:after="283"/>
              <w:jc w:val="left"/>
              <w:rPr>
                <w:sz w:val="4"/>
                <w:szCs w:val="4"/>
              </w:rPr>
            </w:pPr>
            <w:r>
              <w:rPr>
                <w:sz w:val="4"/>
                <w:szCs w:val="4"/>
              </w:rPr>
            </w:r>
          </w:p>
        </w:tc>
      </w:tr>
      <w:tr>
        <w:tc>
          <w:tcPr>
            <w:tcW w:w="3571" w:type="dxa"/>
            <w:vMerge w:val="continue"/>
            <w:tcBorders>
              <w:left w:val="single" w:sz="6" w:space="0" w:color="808080"/>
              <w:bottom w:val="single" w:sz="2" w:space="0" w:color="808080"/>
              <w:right w:val="single" w:sz="6" w:space="0" w:color="808080"/>
            </w:tcBorders>
          </w:tcPr>
          <w:p>
            <w:pPr>
              <w:pStyle w:val="Normal"/>
              <w:bidi w:val="0"/>
              <w:jc w:val="left"/>
            </w:p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3. Date of Earliest Transaction (Month/Day/Year)</w:t>
            </w:r>
            <w:r>
              <w:br/>
            </w:r>
            <w:r>
              <w:rPr>
                <w:rFonts w:ascii="Times;serif" w:hAnsi="Times;serif"/>
                <w:color w:val="0000FF"/>
                <w:sz w:val="24"/>
                <w:shd w:fill="FFFFFF" w:val="clear"/>
              </w:rPr>
              <w:t>11/03/2026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3571" w:type="dxa"/>
            <w:vMerge w:val="continue"/>
            <w:tcBorders>
              <w:left w:val="single" w:sz="6" w:space="0" w:color="808080"/>
              <w:bottom w:val="single" w:sz="6" w:space="0" w:color="808080"/>
              <w:right w:val="single" w:sz="6" w:space="0" w:color="808080"/>
            </w:tcBorders>
          </w:tcPr>
          <w:p>
            <w:pPr>
              <w:pStyle w:val="Normal"/>
              <w:bidi w:val="0"/>
              <w:jc w:val="left"/>
            </w:p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pPr>
            <w:r/>
          </w:p>
        </w:tc>
        <w:tc>
          <w:tcPr>
            <w:tcW w:w="906" w:type="dxa"/>
            <w:vMerge w:val="continue"/>
            <w:tcBorders>
              <w:left w:val="single" w:sz="2" w:space="0" w:color="808080"/>
              <w:bottom w:val="single" w:sz="6" w:space="0" w:color="808080"/>
              <w:right w:val="single" w:sz="6" w:space="0" w:color="808080"/>
            </w:tcBorders>
          </w:tcPr>
          <w:p>
            <w:pPr>
              <w:pStyle w:val="Normal"/>
              <w:bidi w:val="0"/>
              <w:jc w:val="left"/>
            </w:pPr>
            <w:r/>
          </w:p>
        </w:tc>
        <w:tc>
          <w:tcPr>
            <w:tcW w:w="774" w:type="dxa"/>
            <w:vMerge w:val="continue"/>
            <w:tcBorders>
              <w:left w:val="single" w:sz="2" w:space="0" w:color="808080"/>
              <w:bottom w:val="single" w:sz="6" w:space="0" w:color="808080"/>
              <w:right w:val="single" w:sz="6" w:space="0" w:color="808080"/>
            </w:tcBorders>
          </w:tcPr>
          <w:p>
            <w:pPr>
              <w:pStyle w:val="Normal"/>
              <w:bidi w:val="0"/>
              <w:jc w:val="left"/>
            </w:p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pPr>
            <w:r/>
          </w:p>
        </w:tc>
        <w:tc>
          <w:tcPr>
            <w:tcW w:w="1021" w:type="dxa"/>
            <w:vMerge w:val="continue"/>
            <w:tcBorders>
              <w:left w:val="single" w:sz="2" w:space="0" w:color="808080"/>
              <w:bottom w:val="single" w:sz="6" w:space="0" w:color="808080"/>
              <w:right w:val="single" w:sz="6" w:space="0" w:color="808080"/>
            </w:tcBorders>
          </w:tcPr>
          <w:p>
            <w:pPr>
              <w:pStyle w:val="Normal"/>
              <w:bidi w:val="0"/>
              <w:jc w:val="left"/>
            </w:pPr>
            <w:r/>
          </w:p>
        </w:tc>
        <w:tc>
          <w:tcPr>
            <w:tcW w:w="937" w:type="dxa"/>
            <w:vMerge w:val="continue"/>
            <w:tcBorders>
              <w:left w:val="single" w:sz="2" w:space="0" w:color="808080"/>
              <w:bottom w:val="single" w:sz="6" w:space="0" w:color="808080"/>
              <w:right w:val="single" w:sz="6" w:space="0" w:color="808080"/>
            </w:tcBorders>
          </w:tcPr>
          <w:p>
            <w:pPr>
              <w:pStyle w:val="Normal"/>
              <w:bidi w:val="0"/>
              <w:jc w:val="left"/>
            </w:pPr>
            <w:r/>
          </w:p>
        </w:tc>
      </w:tr>
    </w:tbl>
    <w:tbl>
      <w:tblPr>
        <w:tblW w:w="12119"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711"/>
        <w:gridCol w:w="276"/>
        <w:gridCol w:w="906"/>
        <w:gridCol w:w="801"/>
        <w:gridCol w:w="846"/>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pPr>
            <w:r/>
          </w:p>
        </w:tc>
        <w:tc>
          <w:tcPr>
            <w:tcW w:w="861" w:type="dxa"/>
            <w:vMerge w:val="continue"/>
            <w:tcBorders>
              <w:left w:val="single" w:sz="2" w:space="0" w:color="808080"/>
              <w:bottom w:val="single" w:sz="2" w:space="0" w:color="808080"/>
              <w:right w:val="single" w:sz="6" w:space="0" w:color="808080"/>
            </w:tcBorders>
          </w:tcPr>
          <w:p>
            <w:pPr>
              <w:pStyle w:val="Normal"/>
              <w:bidi w:val="0"/>
              <w:jc w:val="left"/>
            </w:pPr>
            <w:r/>
          </w:p>
        </w:tc>
        <w:tc>
          <w:tcPr>
            <w:tcW w:w="891" w:type="dxa"/>
            <w:vMerge w:val="continue"/>
            <w:tcBorders>
              <w:left w:val="single" w:sz="2" w:space="0" w:color="808080"/>
              <w:bottom w:val="single" w:sz="2" w:space="0" w:color="808080"/>
              <w:right w:val="single" w:sz="6" w:space="0" w:color="808080"/>
            </w:tcBorders>
          </w:tcPr>
          <w:p>
            <w:pPr>
              <w:pStyle w:val="Normal"/>
              <w:bidi w:val="0"/>
              <w:jc w:val="left"/>
            </w:pPr>
            <w:r/>
          </w:p>
        </w:tc>
        <w:tc>
          <w:tcPr>
            <w:tcW w:w="771" w:type="dxa"/>
            <w:vMerge w:val="continue"/>
            <w:tcBorders>
              <w:left w:val="single" w:sz="2" w:space="0" w:color="808080"/>
              <w:bottom w:val="single" w:sz="2" w:space="0" w:color="808080"/>
              <w:right w:val="single" w:sz="6" w:space="0" w:color="808080"/>
            </w:tcBorders>
          </w:tcPr>
          <w:p>
            <w:pPr>
              <w:pStyle w:val="Normal"/>
              <w:bidi w:val="0"/>
              <w:jc w:val="left"/>
            </w:p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pPr>
            <w:r/>
          </w:p>
        </w:tc>
        <w:tc>
          <w:tcPr>
            <w:tcW w:w="936" w:type="dxa"/>
            <w:vMerge w:val="continue"/>
            <w:tcBorders>
              <w:left w:val="single" w:sz="2" w:space="0" w:color="808080"/>
              <w:bottom w:val="single" w:sz="2" w:space="0" w:color="808080"/>
              <w:right w:val="single" w:sz="6" w:space="0" w:color="808080"/>
            </w:tcBorders>
          </w:tcPr>
          <w:p>
            <w:pPr>
              <w:pStyle w:val="Normal"/>
              <w:bidi w:val="0"/>
              <w:jc w:val="left"/>
            </w:pPr>
            <w:r/>
          </w:p>
        </w:tc>
        <w:tc>
          <w:tcPr>
            <w:tcW w:w="831" w:type="dxa"/>
            <w:vMerge w:val="continue"/>
            <w:tcBorders>
              <w:left w:val="single" w:sz="2" w:space="0" w:color="808080"/>
              <w:bottom w:val="single" w:sz="2" w:space="0" w:color="808080"/>
              <w:right w:val="single" w:sz="6" w:space="0" w:color="808080"/>
            </w:tcBorders>
          </w:tcPr>
          <w:p>
            <w:pPr>
              <w:pStyle w:val="Normal"/>
              <w:bidi w:val="0"/>
              <w:jc w:val="left"/>
            </w:pPr>
            <w:r/>
          </w:p>
        </w:tc>
        <w:tc>
          <w:tcPr>
            <w:tcW w:w="846"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11/17/2028</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Option was originally granted on November 17, 2022, and was subject to both time-based and performance-based vesting conditions. On November 3, 2026, the Compensation and Human Resources Committee of the Issuer's Board of Directors determined that the financial performance goals had been met. Following certification of performance results, the Stock Option is fully vested and currently exercisable with respect to 75% of the shares and will vest with respect to the remaining shares on November 17,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11/05/2026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4559"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3550</Characters>
  <CharactersWithSpaces>4130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