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October 2, 2009.</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4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(0-21767)</w:t>
            </w:r>
          </w:p>
        </w:tc>
      </w:tr>
    </w:tbl>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33-0174996</w:t>
            </w:r>
          </w:p>
        </w:tc>
      </w:tr>
      <w:tr>
        <w:trPr>
          <w:trHeight w:val="216"/>
        </w:trPr>
        <w:tc>
          <w:tcPr>
            <w:tcW w:w="4400" w:type="dxa"/>
            <w:vAlign w:val="bottom"/>
          </w:tcPr>
          <w:p>
            <w:pPr>
              <w:jc w:val="center"/>
              <w:ind w:right="2010"/>
              <w:spacing w:after="0"/>
              <w:rPr>
                <w:sz w:val="20"/>
                <w:szCs w:val="20"/>
                <w:color w:val="auto"/>
              </w:rPr>
            </w:pPr>
            <w:r>
              <w:rPr>
                <w:rFonts w:ascii="Arial" w:cs="Arial" w:eastAsia="Arial" w:hAnsi="Arial"/>
                <w:sz w:val="18"/>
                <w:szCs w:val="18"/>
                <w:b w:val="1"/>
                <w:bCs w:val="1"/>
                <w:color w:val="auto"/>
                <w:w w:val="91"/>
              </w:rPr>
              <w:t>(State or other jurisdiction of</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incorporation or organization)</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(Address of principal executive offices and telephone number)</w:t>
      </w:r>
    </w:p>
    <w:p>
      <w:pPr>
        <w:spacing w:after="0" w:line="103"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1440" w:gutter="0" w:footer="0" w:header="0"/>
        </w:sectPr>
      </w:pPr>
    </w:p>
    <w:p>
      <w:pPr>
        <w:spacing w:after="0" w:line="1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920" w:space="720"/>
            <w:col w:w="1420" w:space="720"/>
            <w:col w:w="3780" w:space="720"/>
            <w:col w:w="2120"/>
          </w:cols>
          <w:pgMar w:left="240" w:top="122" w:right="259" w:bottom="1440" w:gutter="0" w:footer="0" w:header="0"/>
          <w:type w:val="continuous"/>
        </w:sectPr>
      </w:pPr>
    </w:p>
    <w:p>
      <w:pPr>
        <w:ind w:left="220" w:right="1880" w:firstLine="3"/>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of November 2, 2009 was 31,880,312.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gridSpan w:val="3"/>
            <w:vMerge w:val="restart"/>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820" w:type="dxa"/>
            <w:vAlign w:val="bottom"/>
            <w:gridSpan w:val="2"/>
            <w:vMerge w:val="restart"/>
          </w:tcPr>
          <w:p>
            <w:pPr>
              <w:spacing w:after="0"/>
              <w:rPr>
                <w:sz w:val="14"/>
                <w:szCs w:val="14"/>
                <w:color w:val="auto"/>
              </w:rPr>
            </w:pPr>
          </w:p>
        </w:tc>
        <w:tc>
          <w:tcPr>
            <w:tcW w:w="240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940" w:type="dxa"/>
            <w:vAlign w:val="bottom"/>
            <w:gridSpan w:val="10"/>
            <w:vMerge w:val="restart"/>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EE"/>
            </w:tcBorders>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7"/>
            <w:vMerge w:val="continue"/>
          </w:tcPr>
          <w:p>
            <w:pPr>
              <w:spacing w:after="0"/>
              <w:rPr>
                <w:sz w:val="14"/>
                <w:szCs w:val="14"/>
                <w:color w:val="auto"/>
              </w:rPr>
            </w:pPr>
          </w:p>
        </w:tc>
        <w:tc>
          <w:tcPr>
            <w:tcW w:w="6940" w:type="dxa"/>
            <w:vAlign w:val="bottom"/>
            <w:gridSpan w:val="10"/>
            <w:vMerge w:val="continue"/>
          </w:tcPr>
          <w:p>
            <w:pPr>
              <w:spacing w:after="0"/>
              <w:rPr>
                <w:sz w:val="14"/>
                <w:szCs w:val="14"/>
                <w:color w:val="auto"/>
              </w:rPr>
            </w:pPr>
          </w:p>
        </w:tc>
        <w:tc>
          <w:tcPr>
            <w:tcW w:w="620" w:type="dxa"/>
            <w:vAlign w:val="bottom"/>
          </w:tcPr>
          <w:p>
            <w:pPr>
              <w:jc w:val="right"/>
              <w:ind w:right="131"/>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940" w:type="dxa"/>
            <w:vAlign w:val="bottom"/>
            <w:gridSpan w:val="4"/>
          </w:tcPr>
          <w:p>
            <w:pPr>
              <w:spacing w:after="0"/>
              <w:rPr>
                <w:sz w:val="17"/>
                <w:szCs w:val="17"/>
                <w:color w:val="auto"/>
              </w:rPr>
            </w:pPr>
          </w:p>
        </w:tc>
        <w:tc>
          <w:tcPr>
            <w:tcW w:w="934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4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Stockholders’ Equity and Comprehensive Income</w:t>
              </w:r>
            </w:hyperlink>
          </w:p>
        </w:tc>
        <w:tc>
          <w:tcPr>
            <w:tcW w:w="2940" w:type="dxa"/>
            <w:vAlign w:val="bottom"/>
            <w:gridSpan w:val="2"/>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4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2.</w:t>
              </w:r>
            </w:hyperlink>
          </w:p>
        </w:tc>
        <w:tc>
          <w:tcPr>
            <w:tcW w:w="920" w:type="dxa"/>
            <w:vAlign w:val="bottom"/>
            <w:gridSpan w:val="3"/>
          </w:tcPr>
          <w:p>
            <w:pPr>
              <w:spacing w:after="0"/>
              <w:rPr>
                <w:sz w:val="17"/>
                <w:szCs w:val="17"/>
                <w:color w:val="auto"/>
              </w:rPr>
            </w:pPr>
          </w:p>
        </w:tc>
        <w:tc>
          <w:tcPr>
            <w:tcW w:w="934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3.</w:t>
              </w:r>
            </w:hyperlink>
          </w:p>
        </w:tc>
        <w:tc>
          <w:tcPr>
            <w:tcW w:w="920" w:type="dxa"/>
            <w:vAlign w:val="bottom"/>
            <w:gridSpan w:val="3"/>
          </w:tcPr>
          <w:p>
            <w:pPr>
              <w:spacing w:after="0"/>
              <w:rPr>
                <w:sz w:val="17"/>
                <w:szCs w:val="17"/>
                <w:color w:val="auto"/>
              </w:rPr>
            </w:pP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2880" w:type="dxa"/>
            <w:vAlign w:val="bottom"/>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17"/>
                <w:szCs w:val="17"/>
                <w:color w:val="auto"/>
              </w:rPr>
            </w:pPr>
          </w:p>
        </w:tc>
        <w:tc>
          <w:tcPr>
            <w:tcW w:w="920" w:type="dxa"/>
            <w:vAlign w:val="bottom"/>
            <w:gridSpan w:val="3"/>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9"/>
          </w:tcPr>
          <w:p>
            <w:pPr>
              <w:spacing w:after="0"/>
              <w:rPr>
                <w:sz w:val="17"/>
                <w:szCs w:val="17"/>
                <w:color w:val="auto"/>
              </w:rPr>
            </w:pPr>
          </w:p>
        </w:tc>
        <w:tc>
          <w:tcPr>
            <w:tcW w:w="4980" w:type="dxa"/>
            <w:vAlign w:val="bottom"/>
            <w:gridSpan w:val="3"/>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460" w:type="dxa"/>
            <w:vAlign w:val="bottom"/>
            <w:gridSpan w:val="5"/>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9340" w:type="dxa"/>
            <w:vAlign w:val="bottom"/>
            <w:gridSpan w:val="17"/>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OTHER INFORMATION</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17"/>
                <w:szCs w:val="17"/>
                <w:color w:val="auto"/>
              </w:rPr>
            </w:pPr>
          </w:p>
        </w:tc>
        <w:tc>
          <w:tcPr>
            <w:tcW w:w="760" w:type="dxa"/>
            <w:vAlign w:val="bottom"/>
          </w:tcPr>
          <w:p>
            <w:pPr>
              <w:spacing w:after="0"/>
              <w:rPr>
                <w:sz w:val="17"/>
                <w:szCs w:val="17"/>
                <w:color w:val="auto"/>
              </w:rPr>
            </w:pPr>
          </w:p>
        </w:tc>
        <w:tc>
          <w:tcPr>
            <w:tcW w:w="20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7320" w:type="dxa"/>
            <w:vAlign w:val="bottom"/>
            <w:gridSpan w:val="11"/>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1A.</w:t>
              </w:r>
            </w:hyperlink>
          </w:p>
        </w:tc>
        <w:tc>
          <w:tcPr>
            <w:tcW w:w="934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Item 4.</w:t>
              </w:r>
            </w:hyperlink>
          </w:p>
        </w:tc>
        <w:tc>
          <w:tcPr>
            <w:tcW w:w="10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3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Submission of Matters to a Vote of Security Holders</w:t>
              </w:r>
            </w:hyperlink>
          </w:p>
        </w:tc>
        <w:tc>
          <w:tcPr>
            <w:tcW w:w="5560" w:type="dxa"/>
            <w:vAlign w:val="bottom"/>
            <w:gridSpan w:val="5"/>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6.</w:t>
              </w:r>
            </w:hyperlink>
          </w:p>
        </w:tc>
        <w:tc>
          <w:tcPr>
            <w:tcW w:w="940" w:type="dxa"/>
            <w:vAlign w:val="bottom"/>
            <w:gridSpan w:val="4"/>
          </w:tcPr>
          <w:p>
            <w:pPr>
              <w:spacing w:after="0"/>
              <w:rPr>
                <w:sz w:val="17"/>
                <w:szCs w:val="17"/>
                <w:color w:val="auto"/>
              </w:rPr>
            </w:pPr>
          </w:p>
        </w:tc>
        <w:tc>
          <w:tcPr>
            <w:tcW w:w="934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80" w:type="dxa"/>
            <w:vAlign w:val="bottom"/>
            <w:gridSpan w:val="1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4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October 2, 2009</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20"/>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83,884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206,816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67,364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26,724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23,159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407,947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338,824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satellite, net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214,527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13,788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65,429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36,827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738,518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622,942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58,223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81,126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139,349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135,434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liabilities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24,443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243,792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160,152</w:t>
            </w: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288,413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204,915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Common stock held in treasury</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Total ViaSat, Inc. stockholders’ equity</w:t>
            </w:r>
          </w:p>
        </w:tc>
        <w:tc>
          <w:tcPr>
            <w:tcW w:w="1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490,744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458,748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 in subsidiary</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3,982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494,726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462,790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738,518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622,942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6"/>
          </w:tcPr>
          <w:p>
            <w:pPr>
              <w:jc w:val="right"/>
              <w:ind w:right="94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Six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2, 2009</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October 3, 2008</w:t>
            </w: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79"/>
              </w:rPr>
              <w:t>except per</w:t>
            </w:r>
          </w:p>
        </w:tc>
        <w:tc>
          <w:tcPr>
            <w:tcW w:w="1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2, 2009</w:t>
            </w: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740" w:type="dxa"/>
            <w:vAlign w:val="bottom"/>
            <w:gridSpan w:val="2"/>
            <w:vMerge w:val="continue"/>
          </w:tcPr>
          <w:p>
            <w:pPr>
              <w:spacing w:after="0"/>
              <w:rPr>
                <w:sz w:val="12"/>
                <w:szCs w:val="12"/>
                <w:color w:val="auto"/>
              </w:rPr>
            </w:pPr>
          </w:p>
        </w:tc>
        <w:tc>
          <w:tcPr>
            <w:tcW w:w="980" w:type="dxa"/>
            <w:vAlign w:val="bottom"/>
            <w:tcBorders>
              <w:top w:val="single" w:sz="8" w:color="auto"/>
            </w:tcBorders>
            <w:gridSpan w:val="2"/>
          </w:tcPr>
          <w:p>
            <w:pPr>
              <w:jc w:val="right"/>
              <w:ind w:right="111"/>
              <w:spacing w:after="0" w:line="142" w:lineRule="exact"/>
              <w:rPr>
                <w:sz w:val="20"/>
                <w:szCs w:val="20"/>
                <w:color w:val="auto"/>
              </w:rPr>
            </w:pPr>
            <w:r>
              <w:rPr>
                <w:rFonts w:ascii="Arial" w:cs="Arial" w:eastAsia="Arial" w:hAnsi="Arial"/>
                <w:sz w:val="14"/>
                <w:szCs w:val="14"/>
                <w:b w:val="1"/>
                <w:bCs w:val="1"/>
                <w:color w:val="auto"/>
              </w:rPr>
              <w:t>share data)</w:t>
            </w:r>
          </w:p>
        </w:tc>
        <w:tc>
          <w:tcPr>
            <w:tcW w:w="5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160,666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159,280</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319,074</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111,656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115,551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223,369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28,927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8"/>
              <w:spacing w:after="0"/>
              <w:rPr>
                <w:sz w:val="20"/>
                <w:szCs w:val="20"/>
                <w:color w:val="auto"/>
              </w:rPr>
            </w:pPr>
            <w:r>
              <w:rPr>
                <w:rFonts w:ascii="Arial" w:cs="Arial" w:eastAsia="Arial" w:hAnsi="Arial"/>
                <w:sz w:val="18"/>
                <w:szCs w:val="18"/>
                <w:color w:val="auto"/>
              </w:rPr>
              <w:t>25,430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55,843</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6,656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13,695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8"/>
              <w:spacing w:after="0"/>
              <w:rPr>
                <w:sz w:val="20"/>
                <w:szCs w:val="20"/>
                <w:color w:val="auto"/>
              </w:rPr>
            </w:pPr>
            <w:r>
              <w:rPr>
                <w:rFonts w:ascii="Arial" w:cs="Arial" w:eastAsia="Arial" w:hAnsi="Arial"/>
                <w:sz w:val="18"/>
                <w:szCs w:val="18"/>
                <w:color w:val="auto"/>
              </w:rPr>
              <w:t>2,340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2,867</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9,303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23,300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562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8"/>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9,780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23,089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8"/>
              <w:spacing w:after="0"/>
              <w:rPr>
                <w:sz w:val="20"/>
                <w:szCs w:val="20"/>
                <w:color w:val="auto"/>
              </w:rPr>
            </w:pPr>
            <w:r>
              <w:rPr>
                <w:rFonts w:ascii="Arial" w:cs="Arial" w:eastAsia="Arial" w:hAnsi="Arial"/>
                <w:sz w:val="18"/>
                <w:szCs w:val="18"/>
                <w:color w:val="auto"/>
              </w:rPr>
              <w:t>505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5,705</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9,275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17,384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w w:val="99"/>
              </w:rPr>
              <w:t>Less: Net (loss) income attributable to the noncontrolling interest, net</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of tax</w:t>
            </w:r>
          </w:p>
        </w:tc>
        <w:tc>
          <w:tcPr>
            <w:tcW w:w="2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9,258</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17,444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attributable to ViaSat, Inc.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8"/>
              <w:spacing w:after="0"/>
              <w:rPr>
                <w:sz w:val="20"/>
                <w:szCs w:val="20"/>
                <w:color w:val="auto"/>
              </w:rPr>
            </w:pPr>
            <w:r>
              <w:rPr>
                <w:rFonts w:ascii="Arial" w:cs="Arial" w:eastAsia="Arial" w:hAnsi="Arial"/>
                <w:sz w:val="18"/>
                <w:szCs w:val="18"/>
                <w:color w:val="auto"/>
              </w:rPr>
              <w:t>.30</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per share attributable to ViaSat, Inc. common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.29</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Shares used in computing basic net income per share</w:t>
            </w:r>
          </w:p>
        </w:tc>
        <w:tc>
          <w:tcPr>
            <w:tcW w:w="2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31,616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328"/>
              <w:spacing w:after="0"/>
              <w:rPr>
                <w:sz w:val="20"/>
                <w:szCs w:val="20"/>
                <w:color w:val="auto"/>
              </w:rPr>
            </w:pPr>
            <w:r>
              <w:rPr>
                <w:rFonts w:ascii="Arial" w:cs="Arial" w:eastAsia="Arial" w:hAnsi="Arial"/>
                <w:sz w:val="18"/>
                <w:szCs w:val="18"/>
                <w:color w:val="auto"/>
              </w:rPr>
              <w:t>30,743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31,407</w:t>
            </w:r>
          </w:p>
        </w:tc>
        <w:tc>
          <w:tcPr>
            <w:tcW w:w="3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33,047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32,138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32,916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331"/>
              <w:spacing w:after="0"/>
              <w:rPr>
                <w:sz w:val="20"/>
                <w:szCs w:val="20"/>
                <w:color w:val="auto"/>
              </w:rPr>
            </w:pPr>
            <w:r>
              <w:rPr>
                <w:rFonts w:ascii="Arial" w:cs="Arial" w:eastAsia="Arial" w:hAnsi="Arial"/>
                <w:sz w:val="14"/>
                <w:szCs w:val="14"/>
                <w:b w:val="1"/>
                <w:bCs w:val="1"/>
                <w:color w:val="auto"/>
                <w:w w:val="89"/>
              </w:rPr>
              <w:t>Six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64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3"/>
          </w:tcPr>
          <w:p>
            <w:pPr>
              <w:jc w:val="center"/>
              <w:ind w:left="31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17,384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9,901</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2,902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5,094</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adjustments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Increase (decrease) in cash resulting from changes in operating assets and liabilities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(42,544)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(1,738)</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(3,481)</w:t>
            </w:r>
          </w:p>
        </w:tc>
        <w:tc>
          <w:tcPr>
            <w:tcW w:w="3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13,187</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equipment and satellite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(55,784)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2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(5,886)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(61,670)</w:t>
            </w:r>
          </w:p>
        </w:tc>
        <w:tc>
          <w:tcPr>
            <w:tcW w:w="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Proceeds from line of credit</w:t>
            </w:r>
          </w:p>
        </w:tc>
        <w:tc>
          <w:tcPr>
            <w:tcW w:w="2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80,000</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debt issuance costs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(2,869)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4,399</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Payment on secured borrowing</w:t>
            </w:r>
          </w:p>
        </w:tc>
        <w:tc>
          <w:tcPr>
            <w:tcW w:w="2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stock of majority-owned subsidiary</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Incremental tax benefits from stock-based compensation</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80,756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20,393</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83,884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90,790</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in satisfaction of certain accrued employee compensation liabilities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5,090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3"/>
              </w:rPr>
              <w:t>ViaSat, Inc. Stockholders</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4"/>
          </w:tcPr>
          <w:p>
            <w:pPr>
              <w:jc w:val="right"/>
              <w:ind w:right="192"/>
              <w:spacing w:after="0" w:line="119" w:lineRule="exact"/>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in Treasury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70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Paid-in</w:t>
            </w:r>
          </w:p>
        </w:tc>
        <w:tc>
          <w:tcPr>
            <w:tcW w:w="240" w:type="dxa"/>
            <w:vAlign w:val="bottom"/>
          </w:tcPr>
          <w:p>
            <w:pPr>
              <w:spacing w:after="0"/>
              <w:rPr>
                <w:sz w:val="10"/>
                <w:szCs w:val="10"/>
                <w:color w:val="auto"/>
              </w:rPr>
            </w:pPr>
          </w:p>
        </w:tc>
        <w:tc>
          <w:tcPr>
            <w:tcW w:w="9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Retained</w:t>
            </w:r>
          </w:p>
        </w:tc>
        <w:tc>
          <w:tcPr>
            <w:tcW w:w="8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Noncontrolling</w:t>
            </w:r>
          </w:p>
        </w:tc>
        <w:tc>
          <w:tcPr>
            <w:tcW w:w="8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Issued</w:t>
            </w: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Earnings</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April 3,</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31,114,086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$ 273,102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$ 187,471</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(66,968)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(1,701)</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4,042</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$ 462,790</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243,967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2,665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2,665</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from</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and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release of</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unit (RSU) awards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Issuance of stock</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under Employee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Stock Purchase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Plan</w:t>
            </w:r>
          </w:p>
        </w:tc>
        <w:tc>
          <w:tcPr>
            <w:tcW w:w="880" w:type="dxa"/>
            <w:vAlign w:val="bottom"/>
          </w:tcPr>
          <w:p>
            <w:pPr>
              <w:jc w:val="right"/>
              <w:spacing w:after="0"/>
              <w:rPr>
                <w:sz w:val="20"/>
                <w:szCs w:val="20"/>
                <w:color w:val="auto"/>
              </w:rPr>
            </w:pPr>
            <w:r>
              <w:rPr>
                <w:rFonts w:ascii="Arial" w:cs="Arial" w:eastAsia="Arial" w:hAnsi="Arial"/>
                <w:sz w:val="18"/>
                <w:szCs w:val="18"/>
                <w:color w:val="auto"/>
              </w:rPr>
              <w:t>85,203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1,734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1,734</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5,094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5,094</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00" w:type="dxa"/>
            <w:vAlign w:val="bottom"/>
            <w:gridSpan w:val="2"/>
          </w:tcPr>
          <w:p>
            <w:pPr>
              <w:spacing w:after="0"/>
              <w:rPr>
                <w:sz w:val="20"/>
                <w:szCs w:val="20"/>
                <w:color w:val="auto"/>
              </w:rPr>
            </w:pPr>
            <w:r>
              <w:rPr>
                <w:rFonts w:ascii="Arial" w:cs="Arial" w:eastAsia="Arial" w:hAnsi="Arial"/>
                <w:sz w:val="18"/>
                <w:szCs w:val="18"/>
                <w:color w:val="auto"/>
              </w:rPr>
              <w:t>Shares issued in</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settlement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certain accrued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employee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liabilities</w:t>
            </w:r>
          </w:p>
        </w:tc>
        <w:tc>
          <w:tcPr>
            <w:tcW w:w="880" w:type="dxa"/>
            <w:vAlign w:val="bottom"/>
          </w:tcPr>
          <w:p>
            <w:pPr>
              <w:jc w:val="right"/>
              <w:spacing w:after="0"/>
              <w:rPr>
                <w:sz w:val="20"/>
                <w:szCs w:val="20"/>
                <w:color w:val="auto"/>
              </w:rPr>
            </w:pPr>
            <w:r>
              <w:rPr>
                <w:rFonts w:ascii="Arial" w:cs="Arial" w:eastAsia="Arial" w:hAnsi="Arial"/>
                <w:sz w:val="18"/>
                <w:szCs w:val="18"/>
                <w:color w:val="auto"/>
              </w:rPr>
              <w:t>192,894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5,090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5,090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RSU awards vesting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700" w:type="dxa"/>
            <w:vAlign w:val="bottom"/>
            <w:gridSpan w:val="2"/>
          </w:tcPr>
          <w:p>
            <w:pPr>
              <w:spacing w:after="0"/>
              <w:rPr>
                <w:sz w:val="20"/>
                <w:szCs w:val="20"/>
                <w:color w:val="auto"/>
              </w:rPr>
            </w:pPr>
            <w:r>
              <w:rPr>
                <w:rFonts w:ascii="Arial" w:cs="Arial" w:eastAsia="Arial" w:hAnsi="Arial"/>
                <w:sz w:val="18"/>
                <w:szCs w:val="18"/>
                <w:color w:val="auto"/>
              </w:rPr>
              <w:t>Purchase of treasury</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w w:val="97"/>
              </w:rPr>
              <w:t>shares pursuant 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vesting of certain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RSU agreements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(54,193)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17,384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translation, net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tax</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17,924</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rPr>
                <w:sz w:val="20"/>
                <w:szCs w:val="20"/>
                <w:color w:val="auto"/>
              </w:rPr>
            </w:pPr>
            <w:r>
              <w:rPr>
                <w:rFonts w:ascii="Arial" w:cs="Arial" w:eastAsia="Arial" w:hAnsi="Arial"/>
                <w:sz w:val="18"/>
                <w:szCs w:val="18"/>
                <w:color w:val="auto"/>
              </w:rPr>
              <w:t>Balance at</w:t>
            </w: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October 2, 2009</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31,774,754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$ 288,413</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$ 204,915</w:t>
            </w: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(121,161)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(3,000)</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3,982</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$ 494,726</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accompanying condensed consolidated balance sheet at October 2, 2009, the condensed consolidated statements of operations for the three and six months ended October 2, 2009 and October 3, 2008, the condensed consolidated statements of cash flows for the six months ended October 2, 2009 and October 3, 2008 and the condensed consolidated statement of stockholders’ equity and comprehensive income for the six months ended October 2, 2009 have been prepared by the management of ViaSat, Inc. (the Company), and have not been audited. These financial statements have been prepared on the same basis as the audited consolidated financial statements for the fiscal year ended April 3, 2009 and, in the opinion of management, include all adjustments (consisting only of normal recurring adjustments) necessary for a fair statement of the financial position, results of operations and cash flows for all periods presented. These financial statements should be read in conjunction with the financial statements and notes thereto for the fiscal year ended April 3, 2009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condensed consolidated financial statements include the assets, liabilities and results of operations of TrellisWare Technologies,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(TrellisWare), a majority-owned subsidiary of ViaSat. All significant intercompany amounts have been eliminated.</w:t>
      </w:r>
    </w:p>
    <w:p>
      <w:pPr>
        <w:spacing w:after="0" w:line="103"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Company’s fiscal year is the 52 or 53 weeks ending on the Friday closest to March 31 of the specified year. For example, references to fiscal year 2010 refer to the fiscal year ending on April 2, 2010. The Company’s quarters for fiscal year 2010 end on July 3, 2009, October 2, 2009, January 1, 2010 and April 2, 2010. This results in a 53 week fiscal year approximately every four to five years. Fiscal year 2010 is a 52 week year, compared with a 53 week year in fiscal year 2009. As a result of the shift in the fiscal calendar, the second quarter of fiscal year 2009 included an additional week. The Company does not believe that the extra week results in any material impact on its financial results.</w:t>
      </w:r>
    </w:p>
    <w:p>
      <w:pPr>
        <w:spacing w:after="0" w:line="8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orbital licenses, software development, property, equipment and satellite, long-lived assets, income taxes and valuation allowance on deferred tax assets.</w:t>
      </w:r>
    </w:p>
    <w:p>
      <w:pPr>
        <w:spacing w:after="0" w:line="81"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The Financial Accounting Standards Board (FASB) has issued authoritative guidance on the Codification (Statements of Financial Accounting Standards (SFAS) No. 168 (SFAS 168), “FASB Accounting Standards Codification</w:t>
      </w:r>
      <w:r>
        <w:rPr>
          <w:rFonts w:ascii="Arial" w:cs="Arial" w:eastAsia="Arial" w:hAnsi="Arial"/>
          <w:sz w:val="14"/>
          <w:szCs w:val="14"/>
          <w:color w:val="auto"/>
        </w:rPr>
        <w:t>TM</w:t>
      </w:r>
      <w:r>
        <w:rPr>
          <w:rFonts w:ascii="Arial" w:cs="Arial" w:eastAsia="Arial" w:hAnsi="Arial"/>
          <w:sz w:val="17"/>
          <w:szCs w:val="17"/>
          <w:color w:val="auto"/>
        </w:rPr>
        <w:t xml:space="preserve"> and the Hierarchy of Generally Accepted Accounting Principles” / ASC 105). The authoritative guidance on the Codification (SFAS 168 / ASC 105) establishes the FASB Accounting Standards Codification</w:t>
      </w:r>
      <w:r>
        <w:rPr>
          <w:rFonts w:ascii="Arial" w:cs="Arial" w:eastAsia="Arial" w:hAnsi="Arial"/>
          <w:sz w:val="14"/>
          <w:szCs w:val="14"/>
          <w:color w:val="auto"/>
        </w:rPr>
        <w:t>TM</w:t>
      </w:r>
      <w:r>
        <w:rPr>
          <w:rFonts w:ascii="Arial" w:cs="Arial" w:eastAsia="Arial" w:hAnsi="Arial"/>
          <w:sz w:val="17"/>
          <w:szCs w:val="17"/>
          <w:color w:val="auto"/>
        </w:rPr>
        <w:t xml:space="preserve"> (Codification or ASC) as the single source of GAAP recognized by the FASB to be applied by nongovernmental entities. Rules and interpretive releases of the Securities and Exchange Commission (SEC) under authority of federal securities laws are also sources of authoritative GAAP for SEC registrants. The Codification supersedes all existing non-SEC accounting and reporting standards. All other nongrandfathered, non-SEC accounting literature not included in the Codification will become nonauthoritative. Following the Codification, the Board will not issue new standards in the form of Statements, FASB Staff Positions or Emerging Issues Task Force Abstracts. Instead, it will issue Accounting Standards Updates, which will serve to update the Codification, provide background information about the guidance and provide the basis for conclusions on the changes to the Codification. GAAP is not intended to be changed as a result of the FASB’s Codification project, but it will change the way the guidance is organized and presented. As a result, these changes will have a significant impact on how companies reference GAAP in their financial statements and in their accounting policies for financial statements issued for interim and annual periods ending after September 15, 2009. The Company has implemented the Codification in this quarterly report, and has provided references to the Codification topics alongside references to the existing standards.</w:t>
      </w:r>
    </w:p>
    <w:p>
      <w:pPr>
        <w:spacing w:after="0" w:line="8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On April 4, 2009, the beginning of the Company’s first quarter of fiscal year 2010, the Company adopted the authoritative guidance for noncontrolling interests (SFAS 160, “Noncontrolling Interests in Consolidated Financial Statements — an amendment of ARB No. 51”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ASC 810-10-65-1). The Company adopted the authoritative guidance for noncontrolling interests on a prospective basis, except for the presentation and disclosure requirements which were applied retrospectively for all periods presented. As a result, the Company reclassified to noncontrolling interest, a component of stockholders’ equity which was previously reported as minority interest in consolidated subsidiary in the mezzanine section of the Company’s condensed consolidated balance sheets and reported as a separate caption within the Company’s condensed consolidated statements of operations, net income including noncontrolling interest, net income attributable to the noncontrolling interest, and net income attributable to ViaSat, Inc. In addition, the Company utilized net income including noncontrolling interest as the starting point on the Company’s condensed consolidated statements of cash flows in order to reconcile net income to net cash provided by operating activities, rather than beginning with net income, which was previously exclusive of the noncontrolling interest. These reclassifications had no effect on previously reported consolidated income from operations, net income attributable to ViaSat, Inc. or net cash provided by operating activities. Also, net income per share continues to be based on net income attributable to ViaSat, Inc.</w:t>
      </w:r>
    </w:p>
    <w:p>
      <w:pPr>
        <w:spacing w:after="0" w:line="59"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In December 2007, the FASB issued authoritative guidance for business combinations (SFAS 141R, “Business Combinations,” / ASC 805). The purpose of issuing the statement is to better represent the economic value of a business combination transaction. The changes effected with the authoritative guidance for business combinations from the previous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The authoritative guidance for business combinations became effective for the Company as of the beginning of fiscal year 2010. The guidance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The Company adopted this guidance in the first quarter of fiscal year 2010. In accordance with this guidance, the Company recognized $2.5 million in transaction expenses related to the acquisition of WildBlue (see Note 13 for a discussion of the WildBlue acquisition) in its condensed consolidated statements of operations for the three and six months ended October 3, 2009.</w:t>
      </w:r>
    </w:p>
    <w:p>
      <w:pPr>
        <w:spacing w:after="0" w:line="70"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Company has evaluated subsequent events through the time of filing this Form 10-Q with the SEC on November 10, 2009. See to Note 14 for a discussion of subsequent events.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Equipment, computers and software, furniture and fixtures and the Company’s satellite under construction are recorded at cost, net of accumulated depreciation. The Company generally computes depreciation using the straight-line method over the estimated useful lives of the assets ranging from two to eleven years. Leasehold improvements are capitalized and amortized using the straight-line method over the shorter of the lease term or the life of the improvement. Additions to property, equipment and satellite,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7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Satellite construction costs, including launch services and insurance, are generally procured under long-term contracts that provide for payments over the contract periods and are capitalized as incurred. In addition, interest expense is capitalized on the carrying value of the satellite during the construction period. The Company capitalized $1.2 million of interest expense during the three and six months ended October 2, 2009. No amounts were capitalized during the same periods last fiscal year.</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orbital slots and orbital licenses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capitalizes the costs of obtaining or acquiring patents, orbital slots and orbital licenses. Amortization of intangible assets that have finite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lives is provided for by the straight-line method over the shorter of the legal or estimated economic life. The Company capitalized $2.3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 million of costs related to patents which are included in other assets as of October 2, 2009 and April 3, 2009, respectively. Accumulated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these patents was $0.2 million as of October 2, 2009 and April 3, 2009. Amortization expense related to these patents was less than $0.1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October 2, 2009 and October 3, 2008, and less than $0.1 million for the six months ended October 2, 2009 and October 3, 2008.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also capitalized $2.9 million and $2.6 million of costs in other assets as of October 2, 2009 and April 3, 2009, respectively, related to orbital slots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orbital licenses that have not yet been placed into service. If a patent, orbital slot or orbital license is rejected, abandoned or otherwise invalidated,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unamortized cost is expensed in that period. During the three and six months ended October 2, 2009 and October 3, 2008, the Company did not write off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 due to abandonment or impairment.</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During the three and six months ended October 2, 2009, the Company paid and capitalized approximately $0.6 million and $2.9 million, respectively, in additional debt issuance costs related to its amended and restated revolving credit facility (the Credit Facility). Unamortized debt issuance costs are recorded in other assets in the condensed consolidated balance sheets. There was no debt issuance costs paid and capitalized for the three and six months ended October 3, 2008.</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w:t>
      </w:r>
    </w:p>
    <w:p>
      <w:pPr>
        <w:sectPr>
          <w:pgSz w:w="11900" w:h="16838" w:orient="portrait"/>
          <w:cols w:equalWidth="0" w:num="1">
            <w:col w:w="11420"/>
          </w:cols>
          <w:pgMar w:left="240" w:top="419" w:right="239" w:bottom="233"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233"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general release, the software development costs are amortized based on the ratio of current to future revenue for each product with an annual minimum equal to straight-line amortization over the remaining estimated economic life of the product not to exceed five years. The Company capitalized $2.5 million and $2.9 million of costs related to software developed for resale for the three and six months ended October 2, 2009, respectively. The Company capitalized $0.2 million related to software development for resale for the three and six months ended October 3, 2008. There was no amortization expense of software development costs for the three and six months ended October 2, 2009. The amortization expense of software development costs was $0.4 million and $1.1 million for the three and six months ended October 3, 2008, respectively.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a self-insurance plan to retain a portion of the exposure for losses related to employee medical benefits. The Company also has a self-insurance plan for a portion of the exposure for losses related to workers’ compensation costs.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 recorded self-insurance liabilities of $1.3 million and $1.4 million as of October 2, 2009 and April 3, 2009,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Occasionally, the Company enters into secured borrowing arrangements in connection with customer financing in order to provide additional sources of funding. As of October 2, 2009 and April 3, 2009, the Company had no secured borrowing arrangements. In the first quarter of fiscal year 2009, the Company paid all obligations related to its secured borrowing, under which the Company pledged a note receivable from a customer to serve as collateral for the obligation under the borrowing arrangement, totaling $4.7 million plus accrued interest.</w:t>
      </w:r>
    </w:p>
    <w:p>
      <w:pPr>
        <w:spacing w:after="0" w:line="7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During fiscal year 2008, due to the customer’s payment default under the note receivable, the Company wrote down the note receivable by approximately $5.3 million related to the principal and interest accrued to date. During the fourth quarter of fiscal year 2009, the Company entered into certain agreements with the note receivable insurance carrier providing the Company approximately $1.7 million in cash payments and recorded a current asset of approximately $1.7 million and a long-term asset of approximately $1.5 million as of April 3, 2009. Pursuant to these agreements, the Company, during the second quarter of fiscal year 2010 received an additional $0.7 million in cash payment and as of October 2, 2009 recorded a current asset of approximately $1.7 million and a long-term asset of approximately $1.0 million.</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has agreed to indemnify, the Company could incur substantial legal costs and damages. A claim would be accrued when a loss is considered probable and the amount can be reasonably estimated. At October 2, 2009 and April 3, 2009, no such amounts were accrued.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 noncontrolling interest, previously referred to as minority interest, represents the equity interest in a subsidiary that is not attributable, either directly or indirectly, to the Company and is reported as equity of the Company, separately from the Company’s controlling interest. Revenues, expenses, gains, losses, net income or loss and other comprehensive income is reported in the condensed consolidated financial statements at the consolidated amounts, which include the amounts attributable to both the controlling and noncontrolling interest.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April 2008, the Company’s majority-owned subsidiary, TrellisWare, issued additional shares of preferred stock in which the Company invested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million in order to retain a constant ownership interest. As a result of the transaction, TrellisWare also received $1.5 million in cash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preferred stock to its other principal stockholders.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During the first six months of fiscal year 2010 and during fiscal year 2009, the Company delivered 138,604 and 94,181 shares of common stock, respectively, based on the vesting terms of certain restricted stock unit agreements. In order for employees to satisfy minimum statutory employee tax withholding requirements related to the delivery of common stock underlying these restricted stock unit agreements, the Company repurchased 54,193 and 33,730 shares of common stock with a total value of $1.3 million and $0.7 million during the first six months of fiscal year 2010 and during fiscal year 2009, respectively. Repurchased shares of common stock of 121,161 and 66,968 were held in treasury as of October 2, 2009 and April 3, 2009,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85"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During the three and six months ended October 2, 2009, the Company did not settle any foreign exchange contracts; therefore, there were no realized gains or losses during the three and six months ended October 2, 2009 related to derivative instruments. During the three and six months ended October 3, 2008, the Company settled certain foreign exchange contracts and in connection therewith recognized a loss of approximately $0.3 million, recorded in cost of revenues based on the nature of the underlying transactions. The Company had no foreign currency forward contracts outstanding as of October 2, 2009 or April 3, 2009.</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payments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Company records compensation expense associated with stock options, restricted stock unit awards and other stock-based compensation in accordance with the authoritative guidance for share-based payments (SFAS 123R, “Share-Based Payment” / ASC 718). The Company recognizes these compensation costs on a straight-line basis over the requisite service period of the award. The Company recognized $2.5 million and $5.1 million of stock-based compensation expense for the three and six months ended October 2, 2009, respectively, and $2.9 million and $5.0 million of stock-based compensation expense for the three and six months ended October 3, 2008, respectively.</w:t>
      </w:r>
    </w:p>
    <w:p>
      <w:pPr>
        <w:spacing w:after="0" w:line="64"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The Company recorded incremental tax benefits from stock options exercised and restricted stock unit awards vesting of $0.5 million and $0.4 million for the six months ended October 2, 2009 and October 3, 2008, respectively, which are classified as part of cash flows from financing activities in the condensed consolidated statements of cash flows.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215"/>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(FASB Interpretation No. 48 (FIN 48), “Accounting for Uncertainty in Income Taxes — an interpretation of FASB Statement No. 109” /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w:t>
      </w:r>
    </w:p>
    <w:p>
      <w:pPr>
        <w:spacing w:after="0" w:line="59" w:lineRule="exact"/>
        <w:rPr>
          <w:sz w:val="20"/>
          <w:szCs w:val="20"/>
          <w:color w:val="auto"/>
        </w:rPr>
      </w:pPr>
    </w:p>
    <w:p>
      <w:pPr>
        <w:ind w:right="380" w:firstLine="225"/>
        <w:spacing w:after="0" w:line="286" w:lineRule="auto"/>
        <w:rPr>
          <w:sz w:val="20"/>
          <w:szCs w:val="20"/>
          <w:color w:val="auto"/>
        </w:rPr>
      </w:pPr>
      <w:r>
        <w:rPr>
          <w:rFonts w:ascii="Arial" w:cs="Arial" w:eastAsia="Arial" w:hAnsi="Arial"/>
          <w:sz w:val="17"/>
          <w:szCs w:val="17"/>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valuation allowance when, in the opinion of management, it is more likely than not that some portion or all of the deferred tax assets will not be realized.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expense (benefit) is the net change during the year in the deferred income tax asset or liability.</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In June 2009, the FASB issued authoritative guidance which amends the consolidation guidance applicable to variable interest entities (SFAS 167, “Amendments to FASB Interpretation No. 46R”). The guidance will significantly affect the overall consolidation analysis under the current authoritative guidance for consolidation of variable interest entities (FIN 46R / ASC 810) and is effective for the Company as of the beginning of the first quarter of fiscal year 2011. The Company is currently evaluating the impact that the guidance may have on its consolidated financial statements and disclosures.</w:t>
      </w:r>
    </w:p>
    <w:p>
      <w:pPr>
        <w:spacing w:after="0" w:line="46"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In August 2009, the FASB issued amended authoritative guidance included within ASC 820 for the fair value measurement of liabilities. This amended guidance clarifies that in circumstances in which a quoted price in an active market for the identical liability is not available, the company is required to use the quoted price of the identical liability when traded as an asset, quoted prices for similar liabilities, or quoted prices for similar liabilities when traded as assets. If these quoted prices are not available, the company is required to use another valuation technique, such as an income approach or a market approach. This amended guidance will be effective for the Company as of the beginning of the third quarter of fiscal year 2010. The Company is currently evaluating the impact that the guidance may have on its consolidated financial statements and disclosures.</w:t>
      </w:r>
    </w:p>
    <w:p>
      <w:pPr>
        <w:spacing w:after="0" w:line="70"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October 2009, the FASB issued authoritative guidance for revenue recognition with multiple deliverables (Emerging Issues Task Force 08-1, “Revenue Arrangements with Multiple Deliverables,” (EITF 08-1)).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the Company beginning in the first quarter of fiscal year 2012, however early adoption is permitted. The Company is currently evaluating the impact that the guidance may have on its consolidated financial statements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 substantial portion of the Company’s revenues are derived from long-term contracts requiring development and delivery of complex equipment built to customer specifications. Sales related to long-term contracts are accounted for under authoritative guidance for the percentage-of-completion method of accounting (the AICPA’s Statement of Position 81-1 (SOP 81-1), “Accounting for Performance of Construction-Type and Certain Production-Type Contracts,” /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October 2, 2009 and October 3, 2008, the Company recorded losses of approximately $3.7 million and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$0.2 million, respectively, related to loss contracts. During the six months ended October 2, 2009 and October 3, 2008, the Company recorded losses of approximately $5.1 million and $1.5 million, respectively, related to loss contracts.</w:t>
      </w:r>
    </w:p>
    <w:p>
      <w:pPr>
        <w:spacing w:after="0" w:line="62"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also has contracts and purchase orders where revenue is recorded on delivery of products in accordance with authoritative guidance for revenue recognition (Staff Accounting Bulletin No. 104 (SAB 104), “Revenue Recognition” / ASC 605). In this situation, contracts and customer purchase orders are used to determine the existence of an arrangement. Shipping documents and customer acceptance, when applicable, are used to verify delivery. The Company assesses whether the sales price is fixed or determinable based on the payment terms associated with the transaction and whether the sales price is subject to refund or adjustment, and assesses collectability based primarily on the creditworthiness of the customer as determined by credit checks and analysis, as well as the customer’s payment history.</w:t>
      </w:r>
    </w:p>
    <w:p>
      <w:pPr>
        <w:spacing w:after="0" w:line="85"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authoritative guidance for accounting for multiple element revenue arrangements, (EITF 00-21, “Accounting for Multiple Element Revenue Arrangements” / ASC 605-25), and recognized when the applicable revenue recognition criteria for each element have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accordance with authoritative guidance for shipping and handling fees and costs (EITF 00-10, “Accounting for Shipping and Handling Fees and Costs”</w:t>
      </w:r>
    </w:p>
    <w:p>
      <w:pPr>
        <w:spacing w:after="0" w:line="46" w:lineRule="exact"/>
        <w:rPr>
          <w:sz w:val="20"/>
          <w:szCs w:val="20"/>
          <w:color w:val="auto"/>
        </w:rPr>
      </w:pPr>
    </w:p>
    <w:p>
      <w:pPr>
        <w:ind w:right="140" w:firstLine="8"/>
        <w:spacing w:after="0" w:line="261" w:lineRule="auto"/>
        <w:tabs>
          <w:tab w:leader="none" w:pos="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ASC 605-45), the Company records shipping and handling costs billed to customers as a component of revenues, and shipping and handling costs incurred by the Company for inbound and outbound freight are recorded as a component of cost of revenues.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Collections in excess of revenues represent cash collected from customers in advance of revenue recognition and are recorded as an accrued liability.</w:t>
      </w:r>
    </w:p>
    <w:p>
      <w:pPr>
        <w:spacing w:after="0" w:line="14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Contract costs on United States government contracts, including indirect costs, are subject to audit and negotiations with United States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2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Effective March 29, 2008, the Company adopted the authoritative guidance for financial assets and liabilities measured at fair value on a recurring basis (SFAS 157, “Fair Value Measurements” / ASC 820). The guidance does not require any new fair value measurements but rather eliminates inconsistencies in prior authoritative guidance. The guidance defines fair value, establishes a framework for measuring fair value and establishes a hierarchy that categorizes and prioritizes the sources to be used to estimate fair value. As a basis for categorizing inputs, the guidance, establishes the following hierarchy which prioritizes the inputs used to measure fair value from market based assumptions to entity specific assumptions:</w:t>
      </w:r>
    </w:p>
    <w:p>
      <w:pPr>
        <w:spacing w:after="0" w:line="6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17" w:lineRule="exact"/>
        <w:rPr>
          <w:rFonts w:ascii="Arial" w:cs="Arial" w:eastAsia="Arial" w:hAnsi="Arial"/>
          <w:sz w:val="18"/>
          <w:szCs w:val="18"/>
          <w:b w:val="1"/>
          <w:bCs w:val="1"/>
          <w:color w:val="auto"/>
        </w:rPr>
      </w:pPr>
    </w:p>
    <w:p>
      <w:pPr>
        <w:ind w:left="460" w:right="260" w:hanging="452"/>
        <w:spacing w:after="0" w:line="264"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rFonts w:ascii="Arial" w:cs="Arial" w:eastAsia="Arial" w:hAnsi="Arial"/>
          <w:sz w:val="18"/>
          <w:szCs w:val="18"/>
          <w:b w:val="1"/>
          <w:bCs w:val="1"/>
          <w:color w:val="auto"/>
        </w:rPr>
      </w:pPr>
    </w:p>
    <w:p>
      <w:pPr>
        <w:ind w:left="460" w:right="180" w:hanging="452"/>
        <w:spacing w:after="0" w:line="277"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Effective April 4, 2009, the Company adopted the authoritative guidance for its non-financial assets and liabilities that are remeasured at fair value on a non-recurring basis without material impact on its consolidated financial statements and disclosures.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tables present the Company’s hierarchy for its assets and liabilities measured at fair value on a recurring basis as of October 2, 2009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708"/>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4"/>
                <w:szCs w:val="14"/>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October 2, 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2,028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gridSpan w:val="4"/>
          </w:tcPr>
          <w:p>
            <w:pPr>
              <w:ind w:left="160"/>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right"/>
              <w:ind w:right="728"/>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24"/>
                <w:szCs w:val="24"/>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4"/>
          </w:tcPr>
          <w:p>
            <w:pPr>
              <w:ind w:left="160"/>
              <w:spacing w:after="0"/>
              <w:rPr>
                <w:sz w:val="20"/>
                <w:szCs w:val="20"/>
                <w:color w:val="auto"/>
              </w:rPr>
            </w:pPr>
            <w:r>
              <w:rPr>
                <w:rFonts w:ascii="Arial" w:cs="Arial" w:eastAsia="Arial" w:hAnsi="Arial"/>
                <w:sz w:val="14"/>
                <w:szCs w:val="14"/>
                <w:b w:val="1"/>
                <w:bCs w:val="1"/>
                <w:color w:val="auto"/>
              </w:rPr>
              <w:t>April 3, 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580" w:type="dxa"/>
            <w:vAlign w:val="bottom"/>
            <w:gridSpan w:val="3"/>
          </w:tcPr>
          <w:p>
            <w:pPr>
              <w:ind w:left="13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2,029</w:t>
            </w:r>
          </w:p>
        </w:tc>
        <w:tc>
          <w:tcPr>
            <w:tcW w:w="3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5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3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Certain money market funds are valued using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in an active market with sufficient volume and frequency of transactions (Level 1). The remaining portion of money market funds are valued based on quoted prices for similar assets or liabilities,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80"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consisted of revolving line of credit and is reported at its borrowed outstanding amount with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interest. However, for disclosure purposes, the Company is required to measure the fair value of outstanding debt on a recurring basis. The fair value of the Company’s long-term debt approximates its carrying amount due to its variable interest rate and the timing of the borrowing.</w:t>
      </w:r>
    </w:p>
    <w:p>
      <w:pPr>
        <w:spacing w:after="0" w:line="3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i w:val="1"/>
          <w:iCs w:val="1"/>
          <w:color w:val="auto"/>
        </w:rPr>
        <w:t xml:space="preserve">Foreign currency forward exchange </w:t>
      </w:r>
      <w:r>
        <w:rPr>
          <w:rFonts w:ascii="Arial" w:cs="Arial" w:eastAsia="Arial" w:hAnsi="Arial"/>
          <w:sz w:val="18"/>
          <w:szCs w:val="18"/>
          <w:color w:val="auto"/>
        </w:rPr>
        <w:t>contracts — The Company had no foreign currency forward exchange contracts outstanding at October 2,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 Attributable to ViaSat, Inc. Common Stockholders</w:t>
      </w:r>
    </w:p>
    <w:p>
      <w:pPr>
        <w:spacing w:after="0" w:line="121" w:lineRule="exact"/>
        <w:rPr>
          <w:sz w:val="20"/>
          <w:szCs w:val="20"/>
          <w:color w:val="auto"/>
        </w:rPr>
      </w:pPr>
    </w:p>
    <w:p>
      <w:pPr>
        <w:ind w:right="120" w:firstLine="225"/>
        <w:spacing w:after="0" w:line="268" w:lineRule="auto"/>
        <w:rPr>
          <w:sz w:val="20"/>
          <w:szCs w:val="20"/>
          <w:color w:val="auto"/>
        </w:rPr>
      </w:pPr>
      <w:r>
        <w:rPr>
          <w:rFonts w:ascii="Arial" w:cs="Arial" w:eastAsia="Arial" w:hAnsi="Arial"/>
          <w:sz w:val="17"/>
          <w:szCs w:val="17"/>
          <w:color w:val="auto"/>
        </w:rPr>
        <w:t>Potential common stock of 1,430,479 and 1,394,686 shares for the three months ended October 2, 2009 and October 3, 2008, respectively, and 1,509,319 and 1,256,262 shares for the six months ended October 2, 2009 and October 3, 2008, respectively, were included in the calculation of diluted earnings per share attributable to ViaSat, Inc. common stockholders. Antidilutive shares excluded from the calculation were 1,154,426 and 1,652,275 shares for the three months ended October 2, 2009 and October 3, 2008, respectively, and 1,276,589 and 1,781,726 shares for the six months ended October 2, 2009 and October 3, 2008, respectively. Potential common stock includes: options granted of 1,189,275 and 1,225,504, and restricted stock units awarded of 165,424 and 157,512 for the three months ended October 2, 2009 and October 3, 2008, respectively, and options granted of 1,145,827 and 1,120,722, and restricted stock units awarded of 233,424 and 96,973 for the six months ended October 2, 2009 and October 3, 2008, respectively, under the Company’s equity compensation plan which are included in the earnings per share attributable to ViaSat, Inc. common stockholders calculations using the treasury stock method; 75,780 and 11,670 of common shares for the three months ended October 2, 2009 and October 3, 2008, respectively, and 130,068 and 38,567 of common shares for the six months ended October 2, 2009 and October 3, 2008, respectively, expected to be issued under the Company’s employee stock purchase plan, shares potentially issuable under the amended ViaSat 401(k) Profit Sharing Plan for the Company’s discretionary match which may be settled in common stock or cash at the Company’s election and shares related to other conditions denoted in the Company’s agreements with the predecessor stockholders of certain acquired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Composition of Certain Balance Sheet Captions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October 2, 2009</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Billed</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110,151</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76,999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96,735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87,469</w:t>
            </w: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8"/>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206,816</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164,106</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36,770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33,607</w:t>
            </w: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14,708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15,886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17,079</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October 2, 2009</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22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10,395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13,521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7,976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4,788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23,159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Property, equipment and satellite, net:</w:t>
            </w: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Machinery and equipment (estimated useful life 2-5 years)</w:t>
            </w:r>
          </w:p>
        </w:tc>
        <w:tc>
          <w:tcPr>
            <w:tcW w:w="22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60,298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56,053</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Computer equipment and software (estimated useful life 3 years)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44,615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43,591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Furniture and fixtures (estimated useful life 7 years)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10,104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9,918</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Leasehold improvements (estimated useful life 2-11 years)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18,023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3,124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Satellite under construction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154,871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110,588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in progress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7,720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298,755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(84,228)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(75,894)</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214,527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Technology</w:t>
            </w:r>
          </w:p>
        </w:tc>
        <w:tc>
          <w:tcPr>
            <w:tcW w:w="22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44,392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44,392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and relationships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18,898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Non-compete agreement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9,076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9,323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81,689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amortization</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(67,901)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(65,034)</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Capitalized software costs, net</w:t>
            </w:r>
          </w:p>
        </w:tc>
        <w:tc>
          <w:tcPr>
            <w:tcW w:w="22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3,606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orbital slots and other licenses, net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4,972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13,729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14,520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Current portion of warranty reserve</w:t>
            </w:r>
          </w:p>
        </w:tc>
        <w:tc>
          <w:tcPr>
            <w:tcW w:w="22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6,574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Accrued employee compensation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10,128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in excess of revenues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38,826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26,811</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14,464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81,126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72,037</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warranty</w:t>
            </w:r>
          </w:p>
        </w:tc>
        <w:tc>
          <w:tcPr>
            <w:tcW w:w="22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4,413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Unrecognized tax position liabilities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10,773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long-term portion</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6,176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3,081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24,443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Accounting for Goodwill and Intangible Assets</w:t>
      </w:r>
    </w:p>
    <w:p>
      <w:pPr>
        <w:spacing w:after="0" w:line="121"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The Company accounts for its goodwill under the authoritative guidance for goodwill and other intangible assets (SFAS 142, “Goodwill and Other Intangible Assets” / ASC 350). The guidance for goodwill impairment model is a two-step process. First, it requires a comparison of the book value of net assets to the fair value of the reporting units that have goodwill assigned to them. Reporting units within the Company’s government systems and commercial networks segments have goodwill assigned to them. The Company estimates the fair values of the reporting units using discounted cash flows. The cash flow forecasts are adjusted by an appropriate discount rate in order to determine the present value of the cash flows.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w:t>
      </w:r>
    </w:p>
    <w:p>
      <w:pPr>
        <w:spacing w:after="0" w:line="71"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will continue to make assessments of impairment on an annual basis in the fourth quarter of its fiscal year or more frequently if specific triggering events occur. In assessing the value of goodwill, the Company must make assumptions regarding estimated future cash flows and other factors to determine the fair value of the reporting units. If these estimates or their related assumptions change in the future, the Company may be required to record impairment charges that would negatively impact operating results.</w:t>
      </w:r>
    </w:p>
    <w:p>
      <w:pPr>
        <w:sectPr>
          <w:pgSz w:w="11900" w:h="16838" w:orient="portrait"/>
          <w:cols w:equalWidth="0" w:num="1">
            <w:col w:w="11420"/>
          </w:cols>
          <w:pgMar w:left="240" w:top="419" w:right="239" w:bottom="474"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474"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other acquired intangible assets are amortized using the straight-line method over their estimated useful lives of eight months to ten years. The technology intangible asset has several components with estimated useful lives of five to nine years, contracts and relationships intangible asset has several components with estimated useful lives of three to ten years, non-compete agreements have useful lives of three to five years and other amortizable assets have several components with estimated useful lives of eight months to ten years. Amortization expense was $1.4 million and $2.3 million for the three months ended October 2, 2009 and October 3, 2008, respectively, and $2.9 million and $4.7 million for the six months ended October 2, 2009 and October 3, 2008, respectively.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and expected amortization expense for acquired intangibles for each of the following periods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2,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2,867</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121"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On July 1, 2009, the Company amended and restated the Credit Facility in the form of the Fourth Amended and Restated Revolving Loan Agreement, which increased the Company’s revolving line of credit from $85.0 million to $170.0 million (including up to $25.0 million of letters of credit) and extended the maturity date of the facility until July 1, 2012. Borrowings under the Credit Facility bear interest, at the Company’s option, at either (a) the highest of the Federal Funds rate plus 0.50%, the Eurodollar rate plus 1.00% or the administrative agent’s prime rate as announced from time to time, or (b) at the Eurodollar rate plus, in the case of each of (a) and (b), an applicable margin that is based on the ratio of the Company’s debt to earnings before interest, taxes, depreciation and amortization (EBITDA). At October 2, 2009, the effective interest rate on the Company’s outstanding borrowings under the Credit Facility was 4.59%. The Credit Facility is guaranteed by certain of the Company’s domestic subsidiaries and collateralized by substantially all of the Company’s and the guarantors’ assets. At October 2, 2009, the Company had $80.0 million in principal amount of outstanding borrowings under the Credit Facility and $6.9 million outstanding under standby letters of credit, leaving borrowing availability under the Credit Facility of $83.1 million.</w:t>
      </w:r>
    </w:p>
    <w:p>
      <w:pPr>
        <w:spacing w:after="0" w:line="59"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color w:val="auto"/>
        </w:rPr>
        <w:t>On September 30, 2009, the Company entered into the First Amendment to the Fourth Amended and Restated Revolving Loan Agreement (the Amendment) to permit the issuance of unsecured or secured senior indebtedness under an indenture up to an aggregate principal amount of $300.0 million, the issuance of second-lien secured indebtedness up to an aggregate principal amount of $350.0 million (less the principal amount of any unsecured or secured senior indebtedness issued under an indenture), to permit the consummation of the Company’s pending acquisition of WildBlue Holding, Inc. (WildBlue), to insert a new financial covenant regarding maximum senior secured leverage ratio and to amend financial covenants regarding maximum leverage ratio and minimum interest coverage ratio.</w:t>
      </w:r>
    </w:p>
    <w:p>
      <w:pPr>
        <w:spacing w:after="0" w:line="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October 6, 2009, subsequent to the second quarter of fiscal 2010, the Company further amended the Credit Facility to increase the Company’s revolving line of credit from $170.0 million to $210.0 million. On October 22, 2009, in connection with the Company’s issuance of senior notes due 2016 (the Notes) and receipt of the net proceeds therefrom, the Company repaid all outstanding borrowings under the Credit Facility. See Note 14 for a discussion of the Company’s senior notes due 2016.</w:t>
      </w:r>
    </w:p>
    <w:p>
      <w:pPr>
        <w:spacing w:after="0" w:line="79" w:lineRule="exact"/>
        <w:rPr>
          <w:sz w:val="20"/>
          <w:szCs w:val="20"/>
          <w:color w:val="auto"/>
        </w:rPr>
      </w:pPr>
    </w:p>
    <w:p>
      <w:pPr>
        <w:jc w:val="both"/>
        <w:ind w:right="140" w:firstLine="225"/>
        <w:spacing w:after="0" w:line="279" w:lineRule="auto"/>
        <w:rPr>
          <w:sz w:val="20"/>
          <w:szCs w:val="20"/>
          <w:color w:val="auto"/>
        </w:rPr>
      </w:pPr>
      <w:r>
        <w:rPr>
          <w:rFonts w:ascii="Arial" w:cs="Arial" w:eastAsia="Arial" w:hAnsi="Arial"/>
          <w:sz w:val="17"/>
          <w:szCs w:val="17"/>
          <w:color w:val="auto"/>
        </w:rPr>
        <w:t>On September 30, 2009, the Company entered into a second-lien loan agreement (the Bridge Loan Agreement) with WildBlue debt holders in connection with the potential acquisition of WildBlue, pursuant to which the WildBlue debt holders agreed to provide $350.0 million in second-lien bridge financing. In connection with the closing of the Notes offering and the Company’s receipt of the net proceeds therefrom, on October 22, 2009, the Company exercised its right to terminate the Bridge Loan Agreement and the intercreditor agreement relating thereto with immediate effect.</w:t>
      </w:r>
    </w:p>
    <w:p>
      <w:pPr>
        <w:spacing w:after="0" w:line="63" w:lineRule="exact"/>
        <w:rPr>
          <w:sz w:val="20"/>
          <w:szCs w:val="20"/>
          <w:color w:val="auto"/>
        </w:rPr>
      </w:pPr>
    </w:p>
    <w:p>
      <w:pPr>
        <w:ind w:right="140" w:firstLine="215"/>
        <w:spacing w:after="0" w:line="255" w:lineRule="auto"/>
        <w:rPr>
          <w:sz w:val="20"/>
          <w:szCs w:val="20"/>
          <w:color w:val="auto"/>
        </w:rPr>
      </w:pPr>
      <w:r>
        <w:rPr>
          <w:rFonts w:ascii="Arial" w:cs="Arial" w:eastAsia="Arial" w:hAnsi="Arial"/>
          <w:sz w:val="18"/>
          <w:szCs w:val="18"/>
          <w:color w:val="auto"/>
        </w:rPr>
        <w:t>Additionally under the Amendment, in the event that the Company entered into the Bridge Loan Agreement, the Credit Facility was deemed to have been amended to include certain modified and additional definitions, terms and covenants contained in an addendum to the Amendment (the Addendum Provisions). The Amendment further provided that, at such time as no loans under (or permitted refinancing of) the Bridge Loan Agreement remain outstanding and any commitment to lend thereunder has been terminated, the Addendum Provisions shall cease to be in effect. On October 22, 2009, the Company delivered a notice to the lenders under the Loan Agreement advising that the Bridge Loan Agreement was terminated, and that accordingly the Addendum Provisions became of no force and effect as of such date.</w:t>
      </w:r>
    </w:p>
    <w:p>
      <w:pPr>
        <w:spacing w:after="0" w:line="85"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Credit Facility contains financial covenants regarding a maximum leverage ratio, a maximum senior secured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loan covenants under the Credit Facility as of October 2,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w:t>
      </w:r>
    </w:p>
    <w:p>
      <w:pPr>
        <w:sectPr>
          <w:pgSz w:w="11900" w:h="16838" w:orient="portrait"/>
          <w:cols w:equalWidth="0" w:num="1">
            <w:col w:w="11420"/>
          </w:cols>
          <w:pgMar w:left="240" w:top="419" w:right="239" w:bottom="825"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25"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costs. Amounts expected to be incurred within twelve months are classified as a current liability. For mature products, the warranty cost estimates are based on historical experience with the particular product. For newer products that do not have a history of warranty costs,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October 2, 2009 and October 3,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156"/>
              <w:spacing w:after="0"/>
              <w:rPr>
                <w:sz w:val="20"/>
                <w:szCs w:val="20"/>
                <w:color w:val="auto"/>
              </w:rPr>
            </w:pPr>
            <w:r>
              <w:rPr>
                <w:rFonts w:ascii="Arial" w:cs="Arial" w:eastAsia="Arial" w:hAnsi="Arial"/>
                <w:sz w:val="14"/>
                <w:szCs w:val="14"/>
                <w:b w:val="1"/>
                <w:bCs w:val="1"/>
                <w:color w:val="auto"/>
                <w:w w:val="91"/>
              </w:rPr>
              <w:t>For the six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640" w:type="dxa"/>
            <w:vAlign w:val="bottom"/>
            <w:gridSpan w:val="2"/>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2008</w:t>
            </w:r>
          </w:p>
        </w:tc>
        <w:tc>
          <w:tcPr>
            <w:tcW w:w="10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4"/>
          </w:tcPr>
          <w:p>
            <w:pPr>
              <w:jc w:val="center"/>
              <w:ind w:left="13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11,194</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11,679</w:t>
            </w: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3,092</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4,828</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(3,299)</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(3,975)</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12,532</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The Company currently estimates its annual effective income tax rate to be approximately 25.1% for fiscal year 2010, as compared to the actual 15.0% effective tax rate for the fiscal year ended April 3, 2009. The higher effective tax rate for fiscal year 2010 reflects the December 31, 2009 expiration of the federal research and development tax credit and the inclusion of only nine months of benefit. In addition, the fiscal year ended April 3, 2009 included fifteen months of the credit as a result of the October 2008 retroactive reinstatement of the previously expired credit from January 1, 2008. The estimated effective tax rate is different from the expected statutory rate due primarily to research and development tax credits and the manufacturing deduction.</w:t>
      </w:r>
    </w:p>
    <w:p>
      <w:pPr>
        <w:spacing w:after="0" w:line="50"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For the three and six months ended October 2, 2009, the Company’s gross unrecognized tax benefits increased by $0.7 million and $1.3 million, respectively. In the next twelve months it is reasonably possible that the amount of unrecognized tax benefits will decrease by $3.5 million as a result of the expiration of the statute of limitations for previously filed tax returns.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Company’s reporting segments, comprised of the government systems, commercial networks and satellite services segments, are primarily distinguished by the type of customer and the related contractual requirements. The Company’s government systems segment develops and produces network centric, IP-based secure government communications systems, products and solutions. The more regulated government environment is subject to unique contractual requirements and possesses economic characteristics which differ from the commercial networks and satellite services segments. The Company’s commercial networks segment develops and produces a variety of advanced end-to-end satellite communication systems and ground networking equipment and products, and comprises the Company’s former satellite networks and antenna systems segments, except for the satellite services segment. The Company’s satellite services segment complements the commercial networks segment by providing managed network services for the satellite communication systems of the Company’s enterprise and mobile broadband customers, and includes the Company’s ViaSat-1 satellite-related activities. The Company’s segments are determined consistent with the way management currently organizes and evaluates financial information internally for making operating decisions and assessing performance.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4"/>
              </w:rPr>
              <w:t>Six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2, 2009</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2008</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2, 2009</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102,798</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8"/>
              <w:spacing w:after="0"/>
              <w:rPr>
                <w:sz w:val="20"/>
                <w:szCs w:val="20"/>
                <w:color w:val="auto"/>
              </w:rPr>
            </w:pPr>
            <w:r>
              <w:rPr>
                <w:rFonts w:ascii="Arial" w:cs="Arial" w:eastAsia="Arial" w:hAnsi="Arial"/>
                <w:sz w:val="18"/>
                <w:szCs w:val="18"/>
                <w:color w:val="auto"/>
              </w:rPr>
              <w:t>97,302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195,375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54,370</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59,208</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117,700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3,498</w:t>
            </w:r>
          </w:p>
        </w:tc>
        <w:tc>
          <w:tcPr>
            <w:tcW w:w="360" w:type="dxa"/>
            <w:vAlign w:val="bottom"/>
          </w:tcPr>
          <w:p>
            <w:pPr>
              <w:spacing w:after="0"/>
              <w:rPr>
                <w:sz w:val="18"/>
                <w:szCs w:val="18"/>
                <w:color w:val="auto"/>
              </w:rPr>
            </w:pPr>
          </w:p>
        </w:tc>
        <w:tc>
          <w:tcPr>
            <w:tcW w:w="1220" w:type="dxa"/>
            <w:vAlign w:val="bottom"/>
            <w:gridSpan w:val="2"/>
          </w:tcPr>
          <w:p>
            <w:pPr>
              <w:jc w:val="right"/>
              <w:ind w:right="528"/>
              <w:spacing w:after="0"/>
              <w:rPr>
                <w:sz w:val="20"/>
                <w:szCs w:val="20"/>
                <w:color w:val="auto"/>
              </w:rPr>
            </w:pPr>
            <w:r>
              <w:rPr>
                <w:rFonts w:ascii="Arial" w:cs="Arial" w:eastAsia="Arial" w:hAnsi="Arial"/>
                <w:sz w:val="18"/>
                <w:szCs w:val="18"/>
                <w:color w:val="auto"/>
              </w:rPr>
              <w:t>2,770</w:t>
            </w:r>
          </w:p>
        </w:tc>
        <w:tc>
          <w:tcPr>
            <w:tcW w:w="2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5,999</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160,666</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159,280</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319,074</w:t>
            </w:r>
          </w:p>
        </w:tc>
        <w:tc>
          <w:tcPr>
            <w:tcW w:w="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312,241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14,259</w:t>
            </w:r>
          </w:p>
        </w:tc>
        <w:tc>
          <w:tcPr>
            <w:tcW w:w="360" w:type="dxa"/>
            <w:vAlign w:val="bottom"/>
          </w:tcPr>
          <w:p>
            <w:pPr>
              <w:spacing w:after="0"/>
              <w:rPr>
                <w:sz w:val="18"/>
                <w:szCs w:val="18"/>
                <w:color w:val="auto"/>
              </w:rPr>
            </w:pPr>
          </w:p>
        </w:tc>
        <w:tc>
          <w:tcPr>
            <w:tcW w:w="1220" w:type="dxa"/>
            <w:vAlign w:val="bottom"/>
            <w:gridSpan w:val="2"/>
          </w:tcPr>
          <w:p>
            <w:pPr>
              <w:jc w:val="right"/>
              <w:ind w:right="528"/>
              <w:spacing w:after="0"/>
              <w:rPr>
                <w:sz w:val="20"/>
                <w:szCs w:val="20"/>
                <w:color w:val="auto"/>
              </w:rPr>
            </w:pPr>
            <w:r>
              <w:rPr>
                <w:rFonts w:ascii="Arial" w:cs="Arial" w:eastAsia="Arial" w:hAnsi="Arial"/>
                <w:sz w:val="18"/>
                <w:szCs w:val="18"/>
                <w:color w:val="auto"/>
              </w:rPr>
              <w:t>13,286</w:t>
            </w:r>
          </w:p>
        </w:tc>
        <w:tc>
          <w:tcPr>
            <w:tcW w:w="2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26,402</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2,450</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(920)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3,785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(3,335)</w:t>
            </w:r>
          </w:p>
        </w:tc>
        <w:tc>
          <w:tcPr>
            <w:tcW w:w="360" w:type="dxa"/>
            <w:vAlign w:val="bottom"/>
          </w:tcPr>
          <w:p>
            <w:pPr>
              <w:spacing w:after="0"/>
              <w:rPr>
                <w:sz w:val="18"/>
                <w:szCs w:val="18"/>
                <w:color w:val="auto"/>
              </w:rPr>
            </w:pPr>
          </w:p>
        </w:tc>
        <w:tc>
          <w:tcPr>
            <w:tcW w:w="1220" w:type="dxa"/>
            <w:vAlign w:val="bottom"/>
            <w:gridSpan w:val="2"/>
          </w:tcPr>
          <w:p>
            <w:pPr>
              <w:jc w:val="right"/>
              <w:ind w:right="468"/>
              <w:spacing w:after="0"/>
              <w:rPr>
                <w:sz w:val="20"/>
                <w:szCs w:val="20"/>
                <w:color w:val="auto"/>
              </w:rPr>
            </w:pPr>
            <w:r>
              <w:rPr>
                <w:rFonts w:ascii="Arial" w:cs="Arial" w:eastAsia="Arial" w:hAnsi="Arial"/>
                <w:sz w:val="18"/>
                <w:szCs w:val="18"/>
                <w:color w:val="auto"/>
              </w:rPr>
              <w:t>(767)</w:t>
            </w:r>
          </w:p>
        </w:tc>
        <w:tc>
          <w:tcPr>
            <w:tcW w:w="2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(4,042)</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13,374</w:t>
            </w:r>
          </w:p>
        </w:tc>
        <w:tc>
          <w:tcPr>
            <w:tcW w:w="5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11,586</w:t>
            </w: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26,145</w:t>
            </w:r>
          </w:p>
        </w:tc>
        <w:tc>
          <w:tcPr>
            <w:tcW w:w="6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Amortization of acquired intangibles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(1,362)</w:t>
            </w:r>
          </w:p>
        </w:tc>
        <w:tc>
          <w:tcPr>
            <w:tcW w:w="360" w:type="dxa"/>
            <w:vAlign w:val="bottom"/>
          </w:tcPr>
          <w:p>
            <w:pPr>
              <w:spacing w:after="0"/>
              <w:rPr>
                <w:sz w:val="18"/>
                <w:szCs w:val="18"/>
                <w:color w:val="auto"/>
              </w:rPr>
            </w:pPr>
          </w:p>
        </w:tc>
        <w:tc>
          <w:tcPr>
            <w:tcW w:w="1220" w:type="dxa"/>
            <w:vAlign w:val="bottom"/>
            <w:gridSpan w:val="2"/>
          </w:tcPr>
          <w:p>
            <w:pPr>
              <w:jc w:val="right"/>
              <w:ind w:right="468"/>
              <w:spacing w:after="0"/>
              <w:rPr>
                <w:sz w:val="20"/>
                <w:szCs w:val="20"/>
                <w:color w:val="auto"/>
              </w:rPr>
            </w:pPr>
            <w:r>
              <w:rPr>
                <w:rFonts w:ascii="Arial" w:cs="Arial" w:eastAsia="Arial" w:hAnsi="Arial"/>
                <w:sz w:val="18"/>
                <w:szCs w:val="18"/>
                <w:color w:val="auto"/>
              </w:rPr>
              <w:t>(2,340)</w:t>
            </w:r>
          </w:p>
        </w:tc>
        <w:tc>
          <w:tcPr>
            <w:tcW w:w="2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(2,867)</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12,029</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9,303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23,300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of acquired intangibles by segment for the three and six months ended October 2, 2009 and October 3, 2008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October 2, 2009</w:t>
            </w:r>
          </w:p>
        </w:tc>
        <w:tc>
          <w:tcPr>
            <w:tcW w:w="3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October 3, 2008</w:t>
            </w:r>
          </w:p>
        </w:tc>
        <w:tc>
          <w:tcPr>
            <w:tcW w:w="6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71"/>
              </w:rPr>
              <w:t>thousands)</w:t>
            </w: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2, 2009</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74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272</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544</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1,090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33"/>
              <w:spacing w:after="0"/>
              <w:rPr>
                <w:sz w:val="20"/>
                <w:szCs w:val="20"/>
                <w:color w:val="auto"/>
              </w:rPr>
            </w:pPr>
            <w:r>
              <w:rPr>
                <w:rFonts w:ascii="Arial" w:cs="Arial" w:eastAsia="Arial" w:hAnsi="Arial"/>
                <w:sz w:val="18"/>
                <w:szCs w:val="18"/>
                <w:color w:val="auto"/>
              </w:rPr>
              <w:t>2,068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2,323</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amortization of intangibles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6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October 2, 2009 and April 3, 2009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October 2, 2009</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Government Systems</w:t>
            </w:r>
          </w:p>
        </w:tc>
        <w:tc>
          <w:tcPr>
            <w:tcW w:w="366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8"/>
              <w:spacing w:after="0"/>
              <w:rPr>
                <w:sz w:val="20"/>
                <w:szCs w:val="20"/>
                <w:color w:val="auto"/>
              </w:rPr>
            </w:pPr>
            <w:r>
              <w:rPr>
                <w:rFonts w:ascii="Arial" w:cs="Arial" w:eastAsia="Arial" w:hAnsi="Arial"/>
                <w:sz w:val="18"/>
                <w:szCs w:val="18"/>
                <w:color w:val="auto"/>
              </w:rPr>
              <w:t>163,800</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Networks</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187,066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Satellite Services</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68"/>
              <w:spacing w:after="0"/>
              <w:rPr>
                <w:sz w:val="20"/>
                <w:szCs w:val="20"/>
                <w:color w:val="auto"/>
              </w:rPr>
            </w:pPr>
            <w:r>
              <w:rPr>
                <w:rFonts w:ascii="Arial" w:cs="Arial" w:eastAsia="Arial" w:hAnsi="Arial"/>
                <w:sz w:val="18"/>
                <w:szCs w:val="18"/>
                <w:color w:val="auto"/>
              </w:rPr>
              <w:t>2,358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353,224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Corporate assets</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68"/>
              <w:spacing w:after="0"/>
              <w:rPr>
                <w:sz w:val="20"/>
                <w:szCs w:val="20"/>
                <w:color w:val="auto"/>
              </w:rPr>
            </w:pPr>
            <w:r>
              <w:rPr>
                <w:rFonts w:ascii="Arial" w:cs="Arial" w:eastAsia="Arial" w:hAnsi="Arial"/>
                <w:sz w:val="18"/>
                <w:szCs w:val="18"/>
                <w:color w:val="auto"/>
              </w:rPr>
              <w:t>385,294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311,252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6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738,518</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622,942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acquired intangible assets and goodwill included in segment assets as of October 2, 2009 and April 3, 2009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4"/>
              </w:rPr>
              <w:t>Net acquired intangible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Goodwill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4"/>
                <w:szCs w:val="14"/>
                <w:b w:val="1"/>
                <w:bCs w:val="1"/>
                <w:color w:val="auto"/>
                <w:w w:val="77"/>
              </w:rPr>
              <w:t>assets</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April 3, 2009</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April 3,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4"/>
          </w:tcPr>
          <w:p>
            <w:pPr>
              <w:ind w:left="48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5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2,248</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2,792</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22,161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Commercial Networks</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11,540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13,863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43,268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43,268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65,429</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80" w:type="dxa"/>
            <w:vAlign w:val="bottom"/>
            <w:vMerge w:val="restart"/>
          </w:tcPr>
          <w:p>
            <w:pPr>
              <w:jc w:val="right"/>
              <w:ind w:right="3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information by geographic area for the three and six months ended October 2, 2009 and October 3, 2008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2"/>
              </w:rPr>
              <w:t>Three months ended</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4"/>
              </w:rPr>
              <w:t>Six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October 2, 2009</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2008</w:t>
            </w:r>
          </w:p>
        </w:tc>
        <w:tc>
          <w:tcPr>
            <w:tcW w:w="6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74"/>
              </w:rPr>
              <w:t>thousands)</w:t>
            </w: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2, 2009</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134,360</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w w:val="92"/>
              </w:rPr>
              <w:t>134,070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260,402</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262,494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16,212</w:t>
            </w:r>
          </w:p>
        </w:tc>
        <w:tc>
          <w:tcPr>
            <w:tcW w:w="360" w:type="dxa"/>
            <w:vAlign w:val="bottom"/>
          </w:tcPr>
          <w:p>
            <w:pPr>
              <w:spacing w:after="0"/>
              <w:rPr>
                <w:sz w:val="18"/>
                <w:szCs w:val="18"/>
                <w:color w:val="auto"/>
              </w:rPr>
            </w:pPr>
          </w:p>
        </w:tc>
        <w:tc>
          <w:tcPr>
            <w:tcW w:w="920" w:type="dxa"/>
            <w:vAlign w:val="bottom"/>
            <w:gridSpan w:val="2"/>
          </w:tcPr>
          <w:p>
            <w:pPr>
              <w:jc w:val="right"/>
              <w:ind w:right="233"/>
              <w:spacing w:after="0"/>
              <w:rPr>
                <w:sz w:val="20"/>
                <w:szCs w:val="20"/>
                <w:color w:val="auto"/>
              </w:rPr>
            </w:pPr>
            <w:r>
              <w:rPr>
                <w:rFonts w:ascii="Arial" w:cs="Arial" w:eastAsia="Arial" w:hAnsi="Arial"/>
                <w:sz w:val="18"/>
                <w:szCs w:val="18"/>
                <w:color w:val="auto"/>
              </w:rPr>
              <w:t>13,140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39,599</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6,034</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5,604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12,436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1,657</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33"/>
              <w:spacing w:after="0"/>
              <w:rPr>
                <w:sz w:val="20"/>
                <w:szCs w:val="20"/>
                <w:color w:val="auto"/>
              </w:rPr>
            </w:pPr>
            <w:r>
              <w:rPr>
                <w:rFonts w:ascii="Arial" w:cs="Arial" w:eastAsia="Arial" w:hAnsi="Arial"/>
                <w:sz w:val="18"/>
                <w:szCs w:val="18"/>
                <w:color w:val="auto"/>
              </w:rPr>
              <w:t>4,909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2,868</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2,403</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1,557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160,666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159,280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319,074</w:t>
            </w:r>
          </w:p>
        </w:tc>
        <w:tc>
          <w:tcPr>
            <w:tcW w:w="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312,241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areas based on customer location.</w:t>
      </w:r>
    </w:p>
    <w:p>
      <w:pPr>
        <w:spacing w:after="0" w:line="117"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net book value of long-lived assets located outside the United States was $1.3 million and $0.3 million at October 2, 2009 and April 3, 2009,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79"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Under the satellite construction contract with SS/L, the Company purchased a new high-capacity Ka-band spot-beam satellite (ViaSat-1) designed by the Company and currently under construction by SS/L for approximately $209.1 million, subject to purchase price adjustments based on satellite performance. In addition, the Company entered into a beam sharing agreement with Loral, whereby Loral is responsible for contributing 15% of the total costs (estimated at approximately $57.6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the Company and in the best interests of the Company and its stockholders.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six months ended October 2, 2009 and October 3, 2008, under the satellite construction contract, the Company paid $35.9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$36.1 million, respectively, to SS/L and had $7.7 million and a $9.7 million payable related to SS/L as of October 2, 2009 and April 3, 2009,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due from SS/L under the beam sharing agreement with Loral were $2.6 million and $0.3 million as of October 2, 2009 and April 3, 2009,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Accounts receivable due from Telesat Canada as of October 2, 2009 and April 3, 2009 were $2.2 million and $2.7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Acquisition</w:t>
      </w:r>
    </w:p>
    <w:p>
      <w:pPr>
        <w:spacing w:after="0" w:line="121"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On September 30, 2009, the Company entered into an Agreement and Plan of Merger with WildBlue, pursuant to which the Company has agreed to acquire WildBlue and its subsidiaries in exchange for total consideration of $568.0 million (subject to certain adjustments). WildBlue is a provider of broadband internet service, delivering two-way broadband internet access via satellite in the contiguous United States. At the closing of the acquisition, the Company expects to pay $443.0 million of the merger consideration in cash and $125.0 million in newly issued shares of the Company’s common stock. Consummation of the acquisition is subject to regulatory approval by the Federal Communications Commission, clearance under the Hart-Scott-Rodino Antitrust Improvements Act of 1976 (the HSR Act), absence of any material adverse change in the Company’s or WildBlue’s business or financial condition, and other customary closing conditions and is expected to close in the third or fourth quarter of fiscal year 2010. On October 28, 2009, the Federal Trade Commission granted early termination of the waiting period under the HSR Act.</w:t>
      </w:r>
    </w:p>
    <w:p>
      <w:pPr>
        <w:spacing w:after="0" w:line="71" w:lineRule="exact"/>
        <w:rPr>
          <w:sz w:val="20"/>
          <w:szCs w:val="20"/>
          <w:color w:val="auto"/>
        </w:rPr>
      </w:pPr>
    </w:p>
    <w:p>
      <w:pPr>
        <w:ind w:right="60" w:firstLine="222"/>
        <w:spacing w:after="0" w:line="254" w:lineRule="auto"/>
        <w:rPr>
          <w:sz w:val="20"/>
          <w:szCs w:val="20"/>
          <w:color w:val="auto"/>
        </w:rPr>
      </w:pPr>
      <w:r>
        <w:rPr>
          <w:rFonts w:ascii="Arial" w:cs="Arial" w:eastAsia="Arial" w:hAnsi="Arial"/>
          <w:sz w:val="18"/>
          <w:szCs w:val="18"/>
          <w:color w:val="auto"/>
        </w:rPr>
        <w:t>The number of shares of the Company’s common stock to be issued at the closing will be determined based on the volume weighted average closing price of the Company’s common stock over a 10-day measurement period ending three trading days before closing, subject to a collar mechanism to account for changes in the trading price between signing and closing. Based on the midpoint of the collar, and assuming payment of $125.0 million in shares of the Company’s common stock in connection with the acquisition and no closing adjustments, the Company would issue approximately 4.9 million shares of the Company’s common stock at the closing (which would have comprised approximately 15.4% of the Company’s outstanding common stock had the acquisition been consummated on September 30, 2009). In no event will the Company be required to issue more than approximately 5.7 million shares of the Company’s common stock. The Company has the right to substitute additional cash for some or all of the shares of the Company’s common stock under certain circumstances.</w:t>
      </w:r>
    </w:p>
    <w:p>
      <w:pPr>
        <w:spacing w:after="0" w:line="84"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Company intends to finance the cash portion of the purchase price from a combination of WildBlue’s and the Company’s available cash on hand, the net proceeds from the issuance of the Company’s senior notes due 2016 and borrowings under the Credit Facility and/or additional third party debt financing. See Note 14 for a discussion of the Company’s senior notes due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21"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On October 22, 2009, the Company issued $275.0 million in senior notes due 2016 (the Notes) in a private placement to institutional buyers. The Notes bear interest at the rate of 8.875% per year, payable semi-annually in cash in arrears commencing in March 2010 and were issued with an original issue discount of 1.24% or, $3.4 million. The Notes will be recorded as long-term debt, net of original issue discount, in the Company’s consolidated financial statements. The original issue discount and deferred financing cost associated with the issuance of the Notes will be amortized to interest expense over the term of the Notes.</w:t>
      </w:r>
    </w:p>
    <w:p>
      <w:pPr>
        <w:spacing w:after="0" w:line="8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Notes are guaranteed on an unsecured senior basis by each of the Company’s existing and future subsidiaries that guarantees the Credit Facility. The Notes and the guarantees are the Company’s and the guarantors’ general senior unsecured obligations and rank equally in right of payment with all of their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Notes, and are senior in right of payment to all of their existing and future subordinated indebtedness.</w:t>
      </w:r>
    </w:p>
    <w:p>
      <w:pPr>
        <w:spacing w:after="0" w:line="85"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indenture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80"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Prior to September 15, 2012, the Company may redeem up to 35% of the Notes at a redemption price of 108.875% of the principal amount thereof, plus accrued and unpaid interest, if any, thereon to the redemption date, from the net cash proceeds of specified equity offerings. Prior to September 15, 2012, the Company may also redeem the Notes,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 (2) all required interest payments due on such Notes through September 15, 2012 (excluding accrued but unpaid interest to the date of redemption), computed using a discount rate equal to the Treasury Rate plus 50 basis points, over (b) the then-outstanding principal amount of such Notes. The Notes may be redeemed, in whole or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79"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In the event a change of control occurs, as defined under the indenture and prior to the Company exercising its right to redeem all of the Notes, each holder will have the right to require the Company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46"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connection with the private placement of the Notes, the Company and the guarantors entered into a registration rights agreement with the initial purchasers in which the Company agreed to file a registration statement with the SEC to permit the holders to exchange or resell the Notes. The Company must use commercially reasonable efforts to consummate an exchange offer within 365 days after the issuance of the Notes or, under certain circumstances, to prepare and file a shelf registration statement to cover the resale of the Notes. If the Company and the guarantors do not comply with certain of their obligations under the registration rights agreement, the registration rights agreement provides that additional interest will accrue on the principal amount of the Notes at a rate of 0.25% per annum during the 90-day period immediately following such default and will increase by 0.25% per annum at the end of each subsequent 90-day period, but in no event will the penalty rate exceed 1.00% per annum.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This Quarterly Report,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our pending acquisition of WildBlue Holding, Inc. (WildBlue);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Item 1A,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are a leading provider of advanced satellite and wireless communications and secure networking systems, products and services. We have leveraged our success developing complex satellite communication systems and equipment for the U.S. government and select commercial customers to develop end-to-end satellite network solutions for a wide array of applications and customers. Our product and systems offerings are often linked through common underlying technologies, customer applications and market relationships. We believe that our portfolio of products, combined with our ability to effectively cross-deploy technologies between government and commercial segments and across different geographic markets, provides us a strong foundation to sustain and enhance our leadership in advanced communications and networking technologies. Our customers, including the U.S. government, leading aerospace and defense prime contractors, network integrators and communications service providers, rely on our solutions to meet their complex communications and networking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business through three segments: government systems, commercial networks and satellite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Our government systems segment develops and produces network-centric internet protocol (IP)-based secure government communications systems, products and solutions, which are designed to enable the collection and dissemination of secure real-time digital information between command centers, communications nodes and air defense systems. Customers of our government systems segment include tactical armed forces, public safety first-responders and remote government employees.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17" w:lineRule="exact"/>
        <w:rPr>
          <w:sz w:val="20"/>
          <w:szCs w:val="20"/>
          <w:color w:val="auto"/>
        </w:rPr>
      </w:pPr>
    </w:p>
    <w:p>
      <w:pPr>
        <w:ind w:left="460" w:right="300" w:hanging="452"/>
        <w:spacing w:after="0" w:line="259"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Tactical data links, including Multifunctional Information Distribution System (MIDS) terminals for military fighter jets, and their successor, MIDS Joint Tactical Radio System (MIDS JTRS) terminals (which we expect will be available in 2010), “disposable” weapon data links, portable small tactical terminals and digital video data links for intelligence, surveillance and reconnaissance from Unmanned Aerial Vehicles (UAVs) and ground systems,</w:t>
      </w:r>
    </w:p>
    <w:p>
      <w:pPr>
        <w:spacing w:after="0" w:line="92" w:lineRule="exact"/>
        <w:rPr>
          <w:rFonts w:ascii="Arial" w:cs="Arial" w:eastAsia="Arial" w:hAnsi="Arial"/>
          <w:sz w:val="18"/>
          <w:szCs w:val="18"/>
          <w:b w:val="1"/>
          <w:bCs w:val="1"/>
          <w:color w:val="auto"/>
        </w:rPr>
      </w:pPr>
    </w:p>
    <w:p>
      <w:pPr>
        <w:ind w:left="460" w:right="240" w:hanging="452"/>
        <w:spacing w:after="0" w:line="277"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Information security and assurance products that enable military and government users to communicate information securely over networks, and that secure data stored on computers and storage devices, and</w:t>
      </w:r>
    </w:p>
    <w:p>
      <w:pPr>
        <w:spacing w:after="0" w:line="75" w:lineRule="exact"/>
        <w:rPr>
          <w:rFonts w:ascii="Arial" w:cs="Arial" w:eastAsia="Arial" w:hAnsi="Arial"/>
          <w:sz w:val="18"/>
          <w:szCs w:val="18"/>
          <w:b w:val="1"/>
          <w:bCs w:val="1"/>
          <w:color w:val="auto"/>
        </w:rPr>
      </w:pPr>
    </w:p>
    <w:p>
      <w:pPr>
        <w:ind w:left="460" w:right="360" w:hanging="452"/>
        <w:spacing w:after="0" w:line="277"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and products, including an array of portable and fixed broadband modems, terminals, network access control systems and antenna systems using a range of satellite frequency bands.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commercial networks segment develops and produces a variety of advanced end-to-end satellite communication systems and ground networking equipment and products that address five key market segments: enterprise, consumer, in-flight, maritime and ground mobile applications. These communication systems, networking equipment and products are generally developed through a combination of customer and discretionary internal research and development funding.</w:t>
      </w:r>
    </w:p>
    <w:p>
      <w:pPr>
        <w:spacing w:after="0" w:line="79"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satellite communication systems and ground networking equipment and products cater to a wide range of domestic and international commercial customers and include:</w:t>
      </w:r>
    </w:p>
    <w:p>
      <w:pPr>
        <w:spacing w:after="0" w:line="6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Mobile broadband satellite communication systems and related products, designed for use in aircraft, seagoing vessels and high-speed trains,</w:t>
      </w:r>
    </w:p>
    <w:p>
      <w:pPr>
        <w:spacing w:after="0" w:line="142" w:lineRule="exact"/>
        <w:rPr>
          <w:rFonts w:ascii="Arial" w:cs="Arial" w:eastAsia="Arial" w:hAnsi="Arial"/>
          <w:sz w:val="17"/>
          <w:szCs w:val="17"/>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Consumer broadband products and solutions, including next-generation satellite network infrastructure and ground terminals,</w:t>
      </w:r>
    </w:p>
    <w:p>
      <w:pPr>
        <w:spacing w:after="0" w:line="130" w:lineRule="exact"/>
        <w:rPr>
          <w:rFonts w:ascii="Arial" w:cs="Arial" w:eastAsia="Arial" w:hAnsi="Arial"/>
          <w:sz w:val="18"/>
          <w:szCs w:val="18"/>
          <w:b w:val="1"/>
          <w:bCs w:val="1"/>
          <w:color w:val="auto"/>
        </w:rPr>
      </w:pPr>
    </w:p>
    <w:p>
      <w:pPr>
        <w:ind w:left="460" w:right="940" w:hanging="452"/>
        <w:spacing w:after="0" w:line="277"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including design and technology services covering all aspects of satellite communication system architecture and technology,</w:t>
      </w:r>
    </w:p>
    <w:p>
      <w:pPr>
        <w:spacing w:after="0" w:line="75" w:lineRule="exact"/>
        <w:rPr>
          <w:rFonts w:ascii="Arial" w:cs="Arial" w:eastAsia="Arial" w:hAnsi="Arial"/>
          <w:sz w:val="18"/>
          <w:szCs w:val="18"/>
          <w:b w:val="1"/>
          <w:bCs w:val="1"/>
          <w:color w:val="auto"/>
        </w:rPr>
      </w:pPr>
    </w:p>
    <w:p>
      <w:pPr>
        <w:ind w:left="460" w:right="460" w:hanging="452"/>
        <w:spacing w:after="0" w:line="277"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and products, designed to provide enterprises with broadband access to the internet or private networks, and</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Antenna systems for terrestrial and satellite applications, specializing in small, low-profile, multi-band antennas for mobile satellite communications.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Our satellite services segment complements our commercial networks segment by providing managed network services for the satellite communication systems of our enterprise and mobile broadband customers.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services offered by our satellite services segment comprise:</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Mobile broadband services, comprising network management services for customers who use our Arclight-based mobile satellite systems, and</w:t>
      </w:r>
    </w:p>
    <w:p>
      <w:pPr>
        <w:spacing w:after="0" w:line="142" w:lineRule="exact"/>
        <w:rPr>
          <w:rFonts w:ascii="Arial" w:cs="Arial" w:eastAsia="Arial" w:hAnsi="Arial"/>
          <w:sz w:val="17"/>
          <w:szCs w:val="17"/>
          <w:b w:val="1"/>
          <w:bCs w:val="1"/>
          <w:color w:val="auto"/>
        </w:rPr>
      </w:pPr>
    </w:p>
    <w:p>
      <w:pPr>
        <w:ind w:left="660" w:right="3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Managed broadband services, comprising a full-service managed broadband service for everyday enterprise networking or backup protection for primary networks.</w:t>
      </w:r>
    </w:p>
    <w:p>
      <w:pPr>
        <w:spacing w:after="0" w:line="62"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In order to expand our satellite services offerings, in 2008 we commenced construction of a high-capacity Ka-band spot-beam satellite, ViaSat-1, which is planned for launch in early 2011. Commencing in 2011, we expect this segment to also include wholesale broadband services utilizing ViaSat-1.</w:t>
      </w:r>
    </w:p>
    <w:p>
      <w:pPr>
        <w:spacing w:after="0" w:line="16"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Following the consummation of our pending acquisition of WildBlue, the assets and results of operations of WildBlue will be included in our satellite services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7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products are provided primarily through three types of contracts: fixed-price, time-and-materials and cost-reimbursement contracts. Fixed-price contracts, which require us to provide products and services under a contract at a specified price, comprised approximately 89% and 85% of our revenues for the three months ended October 2, 2009 and October 3, 2008, respectively, and 89% and 86% of our revenues for the six months ended October 2, 2009 and October 3, 2008, respectively. The remainder of our revenue for such periods was derived from cost-reimbursement contracts (under which we are reimbursed for all actual costs incurred in performing the contract to the extent such costs are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73"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$27.8 million or 17% and $35.5 million or 22% of our total revenues in the three months ended October 2, 2009 and October 3, 2008, respectively. Revenues for our funded research and development from our customer contracts were approximately $58.0 million or 18% and 64.4 million or 21% of our total revenues in the six months ended October 2, 2009 and October 3, 2008, respectively.</w:t>
      </w:r>
    </w:p>
    <w:p>
      <w:pPr>
        <w:spacing w:after="0" w:line="81"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4% of revenues during the three months ended October 2, 2009 and October 3, 2008, and 4% and 5% of revenues during the six months ended October 2, 2009 and October 3, 2008, respectively. As a government contractor, we are able to recover a portion of our independent research and development expenses pursuant to our government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condensed consolidated financial statements, which have been prepared in accordance with accounting principles generally accepted in the United States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215"/>
        <w:spacing w:after="0" w:line="297"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authoritative guidance for the percentage-of-completion method of accounting (the American Institute of Certified Public Accountants’ (AICPA) Statement of Position 81-1 (SOP 81-1), “Accounting for Performance of Construction-Type and Certain Production-Type Contracts,” /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50"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October 2, 2009 and October 3, 2008, we recorded losses of approximately $3.7 million and $0.2 million, respectively, related to loss contracts. During the six months ended October 2, 2009 and October 3, 2008, we recorded losses of approximately $5.1 million and $1.5 million, respectively, related to loss contracts.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would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October 2, 2009 would change our income before income taxes by approximately $0.4 million.</w:t>
      </w:r>
    </w:p>
    <w:p>
      <w:pPr>
        <w:spacing w:after="0" w:line="70"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also have contracts and purchase orders where revenue is recorded on delivery of products in accordance with the authoritative guidance for revenue recognition (Staff Accounting Bulletin No. 104 (SAB 104), “Revenue Recognition” / ASC 605). In this situation, contracts and customer purchase orders are used to determine the existence of an arrangement. Shipping documents and customer acceptance, when applicable, are used to verify delivery. We assess whether the sales price is fixed or determinable based on the payment terms associated with the transaction and whether the sales price is subject to refund or adjustment, and assess collectability based primarily on the creditworthiness of the customer as determined by credit checks and analysis, as well as the customer’s payment history.</w:t>
      </w:r>
    </w:p>
    <w:p>
      <w:pPr>
        <w:spacing w:after="0" w:line="85"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the authoritative guidance for accounting for multiple element revenue arrangements (Emerging Issues Task Force 00-21 (EITF 00-21), “Accounting for Multiple Element Revenue Arrangements” / ASC 605-25), and recognized when the applicable revenue recognition criteria for each element have been met. The amount of product and service revenue recognized is impacted by our judgments as to whether an arrangement includes multiple elements and, if so, whether sufficient objective and reliable evidence of fair value exists for those elements. Changes to the elements in an arrangement and our ability to establish evidence for those elements could affect the timing of revenue recognition.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right="140" w:firstLine="222"/>
        <w:spacing w:after="0" w:line="291" w:lineRule="auto"/>
        <w:rPr>
          <w:sz w:val="20"/>
          <w:szCs w:val="20"/>
          <w:color w:val="auto"/>
        </w:rPr>
      </w:pPr>
      <w:r>
        <w:rPr>
          <w:rFonts w:ascii="Arial" w:cs="Arial" w:eastAsia="Arial" w:hAnsi="Arial"/>
          <w:sz w:val="16"/>
          <w:szCs w:val="16"/>
          <w:color w:val="auto"/>
        </w:rPr>
        <w:t>We grant options to purchase our common stock and award restricted stock units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 provisions of the authoritative guidance for share-based payments (revised Statement of Financial Accounting Standards (SFAS) No. 123 (SFAS 123R), “Share-Based Payment” / ASC 718). Stock-based compensation expense recognized under the authoritative guidance for share-based payments for the three months ended October 2, 2009 and October 3, 2008 was $2.5 million and $2.9 million, respectively. Stock-based compensation expense recognized under the authoritative guidance for share-based payments for the six months ended October 2, 2009 and October 3, 2008 was $5.1 million and $5.0 million, respectively.</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We make estimates of the collectability of our accounts receivable based on historical bad debts, customer creditworthiness and current economic trends when evaluating the adequacy of the allowance for doubtful accounts. Historically, our bad debt allowances have been minimal; a contributing factor to this is that a significant portion of our sales has been to the U.S. government. Our accounts receivable balance was $206.8 million, net of allowance for doubtful accounts of $0.1 million, as of October 2, 2009, and $164.1 million, net of allowance for doubtful accounts of $0.4 million, as of April 3, 2009.</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We account for our goodwill under authoritative guidance for goodwill and other intangible assets (SFAS 142, “Goodwill and Other Intangible Assets” / ASC 350). The guidance (SFAS 142 / ASC 350) for goodwill impairment model is a two-step process. First, it requires a comparison of the book value of net assets to the fair value of the reporting units that have goodwill assigned to them. Reporting units within our government systems and commercial networks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59"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estimate the fair values of the related operations using discounted cash flows and other indicators of fair value.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guidance (SFAS 142 / ASC 350) related to goodwill impairment model, which could significantly influence whether a goodwill impairment needs to be recorded. We adjust the cash flow forecasts by an appropriate discount rate derived from our market capitalization plus a suitable control premium at the date of evaluation. In applying the first step, which is identification of any impairment of goodwill, no impairment of goodwill has resulted.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Equipment, computers and software, furniture and fixtures, and our ViaSat-1 satellite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In addition, interest expense is capitalized on the carring value of the satellite during the construction period. Satellite construction and launch services costs are capitalized to reflect progress toward completion, which typically coincides with contract milestone payment schedules. Insurance premiums related to satellite launches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 and other intangible assets)</w:t>
      </w:r>
    </w:p>
    <w:p>
      <w:pPr>
        <w:spacing w:after="0" w:line="117"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In accordance with the authoritative guidance for impairment or disposal of long-lived assets (SFAS 144, “Accounting for the Impairment or Disposal of Long-Lived Assets” / ASC 360), we assess potential impairments to our long-lived assets, including property, equipment and satellite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the authoritative guidance for income taxes (SFAS 109, “Accounting for Income Taxes” / ASC 740), net deferred tax assets are reduced by a valuation allowance if, based on all the available evidence, it is more likely than not that some or all of the deferred tax assets will not be realized.</w:t>
      </w:r>
    </w:p>
    <w:p>
      <w:pPr>
        <w:spacing w:after="0" w:line="39"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(Financial Accounting Standards Board (FASB) Interpretation No. 48 (FIN 48), “Accounting for Uncertainty in Income Taxes — an interpretation of FASB Statement No. 109” / ASC 740). Under the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guidance addresses the derecognition of income tax</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assets and liabilities, classification of current and deferred income tax assets and liabilities, accounting for interest and penalties associated with tax positions, and income tax disclosures.</w:t>
      </w:r>
    </w:p>
    <w:p>
      <w:pPr>
        <w:spacing w:after="0" w:line="62"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allowance on deferred tax assets</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SFAS 109 / ASC 740, net deferred tax assets are reduced by a valuation allowance if, based on all the available evidence, it is more likely than not that some or all of the deferred tax assets will not be realized. We maintained a valuation allowance of $2.1 million against deferred tax assets at October 2, 2009 and April 3, 2009 relating to state net operating loss carryforwards and research credit carryforwards available to reduce state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w w:val="94"/>
              </w:rPr>
              <w:t>Six months ended</w:t>
            </w: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October 2, 2009</w:t>
            </w:r>
          </w:p>
        </w:tc>
        <w:tc>
          <w:tcPr>
            <w:tcW w:w="44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October 3, 2008</w:t>
            </w:r>
          </w:p>
        </w:tc>
        <w:tc>
          <w:tcPr>
            <w:tcW w:w="44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rPr>
              <w:t>October 2, 2009</w:t>
            </w:r>
          </w:p>
        </w:tc>
        <w:tc>
          <w:tcPr>
            <w:tcW w:w="44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October 3, 2008</w:t>
            </w: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66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100.0%</w:t>
            </w:r>
          </w:p>
        </w:tc>
        <w:tc>
          <w:tcPr>
            <w:tcW w:w="1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69.5</w:t>
            </w:r>
          </w:p>
        </w:tc>
        <w:tc>
          <w:tcPr>
            <w:tcW w:w="1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72.5</w:t>
            </w:r>
          </w:p>
        </w:tc>
        <w:tc>
          <w:tcPr>
            <w:tcW w:w="166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70.0</w:t>
            </w:r>
          </w:p>
        </w:tc>
        <w:tc>
          <w:tcPr>
            <w:tcW w:w="1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71.6</w:t>
            </w: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18.0</w:t>
            </w:r>
          </w:p>
        </w:tc>
        <w:tc>
          <w:tcPr>
            <w:tcW w:w="1660" w:type="dxa"/>
            <w:vAlign w:val="bottom"/>
            <w:gridSpan w:val="4"/>
          </w:tcPr>
          <w:p>
            <w:pPr>
              <w:jc w:val="right"/>
              <w:ind w:right="400"/>
              <w:spacing w:after="0"/>
              <w:rPr>
                <w:sz w:val="20"/>
                <w:szCs w:val="20"/>
                <w:color w:val="auto"/>
              </w:rPr>
            </w:pPr>
            <w:r>
              <w:rPr>
                <w:rFonts w:ascii="Arial" w:cs="Arial" w:eastAsia="Arial" w:hAnsi="Arial"/>
                <w:sz w:val="18"/>
                <w:szCs w:val="18"/>
                <w:color w:val="auto"/>
              </w:rPr>
              <w:t>16.0</w:t>
            </w:r>
          </w:p>
        </w:tc>
        <w:tc>
          <w:tcPr>
            <w:tcW w:w="1660" w:type="dxa"/>
            <w:vAlign w:val="bottom"/>
            <w:gridSpan w:val="4"/>
          </w:tcPr>
          <w:p>
            <w:pPr>
              <w:jc w:val="right"/>
              <w:ind w:right="328"/>
              <w:spacing w:after="0"/>
              <w:rPr>
                <w:sz w:val="20"/>
                <w:szCs w:val="20"/>
                <w:color w:val="auto"/>
              </w:rPr>
            </w:pPr>
            <w:r>
              <w:rPr>
                <w:rFonts w:ascii="Arial" w:cs="Arial" w:eastAsia="Arial" w:hAnsi="Arial"/>
                <w:sz w:val="18"/>
                <w:szCs w:val="18"/>
                <w:color w:val="auto"/>
              </w:rPr>
              <w:t>17.5</w:t>
            </w:r>
          </w:p>
        </w:tc>
        <w:tc>
          <w:tcPr>
            <w:tcW w:w="1660" w:type="dxa"/>
            <w:vAlign w:val="bottom"/>
            <w:gridSpan w:val="4"/>
          </w:tcPr>
          <w:p>
            <w:pPr>
              <w:jc w:val="right"/>
              <w:ind w:right="40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1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166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4.3</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w:t>
            </w:r>
          </w:p>
        </w:tc>
        <w:tc>
          <w:tcPr>
            <w:tcW w:w="1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166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7.3</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7.4</w:t>
            </w:r>
          </w:p>
        </w:tc>
        <w:tc>
          <w:tcPr>
            <w:tcW w:w="1660" w:type="dxa"/>
            <w:vAlign w:val="bottom"/>
            <w:gridSpan w:val="4"/>
          </w:tcPr>
          <w:p>
            <w:pPr>
              <w:jc w:val="right"/>
              <w:ind w:right="400"/>
              <w:spacing w:after="0"/>
              <w:rPr>
                <w:sz w:val="20"/>
                <w:szCs w:val="20"/>
                <w:color w:val="auto"/>
              </w:rPr>
            </w:pPr>
            <w:r>
              <w:rPr>
                <w:rFonts w:ascii="Arial" w:cs="Arial" w:eastAsia="Arial" w:hAnsi="Arial"/>
                <w:sz w:val="18"/>
                <w:szCs w:val="18"/>
                <w:color w:val="auto"/>
              </w:rPr>
              <w:t>6.1</w:t>
            </w:r>
          </w:p>
        </w:tc>
        <w:tc>
          <w:tcPr>
            <w:tcW w:w="1660" w:type="dxa"/>
            <w:vAlign w:val="bottom"/>
            <w:gridSpan w:val="4"/>
          </w:tcPr>
          <w:p>
            <w:pPr>
              <w:jc w:val="right"/>
              <w:ind w:right="328"/>
              <w:spacing w:after="0"/>
              <w:rPr>
                <w:sz w:val="20"/>
                <w:szCs w:val="20"/>
                <w:color w:val="auto"/>
              </w:rPr>
            </w:pPr>
            <w:r>
              <w:rPr>
                <w:rFonts w:ascii="Arial" w:cs="Arial" w:eastAsia="Arial" w:hAnsi="Arial"/>
                <w:sz w:val="18"/>
                <w:szCs w:val="18"/>
                <w:color w:val="auto"/>
              </w:rPr>
              <w:t>7.2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1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166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5.4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attributable to ViaSat, Inc.</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5.7</w:t>
            </w:r>
          </w:p>
        </w:tc>
        <w:tc>
          <w:tcPr>
            <w:tcW w:w="1660" w:type="dxa"/>
            <w:vAlign w:val="bottom"/>
            <w:gridSpan w:val="4"/>
          </w:tcPr>
          <w:p>
            <w:pPr>
              <w:jc w:val="right"/>
              <w:ind w:right="400"/>
              <w:spacing w:after="0"/>
              <w:rPr>
                <w:sz w:val="20"/>
                <w:szCs w:val="20"/>
                <w:color w:val="auto"/>
              </w:rPr>
            </w:pPr>
            <w:r>
              <w:rPr>
                <w:rFonts w:ascii="Arial" w:cs="Arial" w:eastAsia="Arial" w:hAnsi="Arial"/>
                <w:sz w:val="18"/>
                <w:szCs w:val="18"/>
                <w:color w:val="auto"/>
              </w:rPr>
              <w:t>5.8</w:t>
            </w:r>
          </w:p>
        </w:tc>
        <w:tc>
          <w:tcPr>
            <w:tcW w:w="1660" w:type="dxa"/>
            <w:vAlign w:val="bottom"/>
            <w:gridSpan w:val="4"/>
          </w:tcPr>
          <w:p>
            <w:pPr>
              <w:jc w:val="right"/>
              <w:ind w:right="328"/>
              <w:spacing w:after="0"/>
              <w:rPr>
                <w:sz w:val="20"/>
                <w:szCs w:val="20"/>
                <w:color w:val="auto"/>
              </w:rPr>
            </w:pPr>
            <w:r>
              <w:rPr>
                <w:rFonts w:ascii="Arial" w:cs="Arial" w:eastAsia="Arial" w:hAnsi="Arial"/>
                <w:sz w:val="18"/>
                <w:szCs w:val="18"/>
                <w:color w:val="auto"/>
              </w:rPr>
              <w:t>5.5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20" w:type="dxa"/>
            <w:vAlign w:val="bottom"/>
            <w:gridSpan w:val="2"/>
          </w:tcPr>
          <w:p>
            <w:pPr>
              <w:jc w:val="right"/>
              <w:ind w:right="159"/>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October 2, 2009 vs. Three Months Ended October 3, 2008</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tcPr>
          <w:p>
            <w:pPr>
              <w:jc w:val="right"/>
              <w:ind w:right="325"/>
              <w:spacing w:after="0"/>
              <w:rPr>
                <w:sz w:val="20"/>
                <w:szCs w:val="20"/>
                <w:color w:val="auto"/>
              </w:rPr>
            </w:pPr>
            <w:r>
              <w:rPr>
                <w:rFonts w:ascii="Arial" w:cs="Arial" w:eastAsia="Arial" w:hAnsi="Arial"/>
                <w:sz w:val="14"/>
                <w:szCs w:val="14"/>
                <w:b w:val="1"/>
                <w:bCs w:val="1"/>
                <w:color w:val="auto"/>
              </w:rPr>
              <w:t>2009</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$160.7</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$159.3</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0.9%</w:t>
            </w:r>
          </w:p>
        </w:tc>
      </w:tr>
    </w:tbl>
    <w:p>
      <w:pPr>
        <w:spacing w:after="0" w:line="79" w:lineRule="exact"/>
        <w:rPr>
          <w:sz w:val="20"/>
          <w:szCs w:val="20"/>
          <w:color w:val="auto"/>
        </w:rPr>
      </w:pPr>
    </w:p>
    <w:p>
      <w:pPr>
        <w:ind w:right="160" w:firstLine="225"/>
        <w:spacing w:after="0" w:line="285" w:lineRule="auto"/>
        <w:rPr>
          <w:sz w:val="20"/>
          <w:szCs w:val="20"/>
          <w:color w:val="auto"/>
        </w:rPr>
      </w:pPr>
      <w:r>
        <w:rPr>
          <w:rFonts w:ascii="Arial" w:cs="Arial" w:eastAsia="Arial" w:hAnsi="Arial"/>
          <w:sz w:val="16"/>
          <w:szCs w:val="16"/>
          <w:color w:val="auto"/>
        </w:rPr>
        <w:t>Revenues increased slightly from $159.3 million to $160.7 million during the second quarter of fiscal year 2010 when compared to the same period last year. Increased revenues were experienced in our government systems segment, which increased by $5.5 million, and our satellite services segments, which increased by $0.7 million. These increases in our government systems segment and satellite services segment revenues were offset by a decrease in our commercial networks segment revenues of $4.8 million. Revenue increases in our government systems segment were primarily derived from higher sales of $10.2 million in next-generation military satellite communication systems and $1.9 million in video datalink systems, offset by a decrease in sales of</w:t>
      </w:r>
    </w:p>
    <w:p>
      <w:pPr>
        <w:spacing w:after="0" w:line="2" w:lineRule="exact"/>
        <w:rPr>
          <w:sz w:val="20"/>
          <w:szCs w:val="20"/>
          <w:color w:val="auto"/>
        </w:rPr>
      </w:pPr>
    </w:p>
    <w:p>
      <w:pPr>
        <w:jc w:val="both"/>
        <w:ind w:right="240"/>
        <w:spacing w:after="0" w:line="271" w:lineRule="auto"/>
        <w:rPr>
          <w:sz w:val="20"/>
          <w:szCs w:val="20"/>
          <w:color w:val="auto"/>
        </w:rPr>
      </w:pPr>
      <w:r>
        <w:rPr>
          <w:rFonts w:ascii="Arial" w:cs="Arial" w:eastAsia="Arial" w:hAnsi="Arial"/>
          <w:sz w:val="17"/>
          <w:szCs w:val="17"/>
          <w:color w:val="auto"/>
        </w:rPr>
        <w:t>$5.3 million in information assurance products and development programs and $1.9 million in next-generation tactical data link development. Our satellite services segment revenue increase of approximately $0.7 million was primarily derived from increased customer usage of both our mobile broadband and managed broadband services. Our commercial networks segment revenue decrease was mainly due to a $4.2 million reduction in sales from our consumer broadband products and a $3.9 million reduction in sales from our mobile satellite communications systems products, offset by higher sales of $2.5 million from our antenna systems products and higher sales of $0.8 million from our enterprise VSAT products.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8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4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58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54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588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102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$111.7</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$115.6</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$(3.9)</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(3.4)%</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20" w:type="dxa"/>
            <w:vAlign w:val="bottom"/>
          </w:tcPr>
          <w:p>
            <w:pPr>
              <w:jc w:val="right"/>
              <w:ind w:right="82"/>
              <w:spacing w:after="0"/>
              <w:rPr>
                <w:sz w:val="20"/>
                <w:szCs w:val="20"/>
                <w:color w:val="auto"/>
              </w:rPr>
            </w:pPr>
            <w:r>
              <w:rPr>
                <w:rFonts w:ascii="Arial" w:cs="Arial" w:eastAsia="Arial" w:hAnsi="Arial"/>
                <w:sz w:val="18"/>
                <w:szCs w:val="18"/>
                <w:color w:val="auto"/>
              </w:rPr>
              <w:t>69.5%</w:t>
            </w:r>
          </w:p>
        </w:tc>
        <w:tc>
          <w:tcPr>
            <w:tcW w:w="1540" w:type="dxa"/>
            <w:vAlign w:val="bottom"/>
            <w:gridSpan w:val="2"/>
          </w:tcPr>
          <w:p>
            <w:pPr>
              <w:jc w:val="right"/>
              <w:ind w:right="82"/>
              <w:spacing w:after="0"/>
              <w:rPr>
                <w:sz w:val="20"/>
                <w:szCs w:val="20"/>
                <w:color w:val="auto"/>
              </w:rPr>
            </w:pPr>
            <w:r>
              <w:rPr>
                <w:rFonts w:ascii="Arial" w:cs="Arial" w:eastAsia="Arial" w:hAnsi="Arial"/>
                <w:sz w:val="18"/>
                <w:szCs w:val="18"/>
                <w:color w:val="auto"/>
              </w:rPr>
              <w:t>72.5%</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94"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Our quarterly cost of revenues decreased from $115.6 million to $111.7 million during the second quarter of fiscal year 2010 when compared to the second quarter of fiscal year 2009. We experienced a decrease in cost of revenues as a percentage of revenues from 72.5% to 69.5%. This improvement was primarily due to product cost reductions of approximately $2.2 million in our government systems segment mainly relating to information assurance products and development programs through a reduction of contractor costs, and product cost reductions of approximately $2.6 million in our commercial networks segment mainly derived from our enterprise VSAT product group. Cost of revenues for the three months ended October 2, 2009 and October 3, 2008 included approximately $0.6 million and $0.7 million, respectively, in stock-based compensation expense. Cost of revenues may fluctuate in future periods depending on the mix of products sold and services provided, competition, new product introduction costs and other factors.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8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9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$28.9</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$25.4</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$3.5</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13.8%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18.0%</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16.0%</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increase in selling, general and administrative (SG&amp;A) expenses of $3.5 million in the second quarter of fiscal year 2010 compared to the second quarter of fiscal year 2009 was primarily attributable to $2.5 million in transaction-related expenses incurred in connection with the pending WildBlue acquisition and increased support costs related to business growth of approximately $1.0 million. SG&amp;A expenses consisted primarily of personnel costs and expenses for business development, marketing and sales, bid and proposal, facilities, finance, legal, contract administration and general management. Some SG&amp;A expenses are difficult to predict and vary based on specific government, commercial and satellite service sales opportunities, among other factors.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22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October 2,</w:t>
            </w:r>
          </w:p>
        </w:tc>
        <w:tc>
          <w:tcPr>
            <w:tcW w:w="540" w:type="dxa"/>
            <w:vAlign w:val="bottom"/>
          </w:tcPr>
          <w:p>
            <w:pPr>
              <w:spacing w:after="0"/>
              <w:rPr>
                <w:sz w:val="10"/>
                <w:szCs w:val="10"/>
                <w:color w:val="auto"/>
              </w:rPr>
            </w:pPr>
          </w:p>
        </w:tc>
        <w:tc>
          <w:tcPr>
            <w:tcW w:w="92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October 3,</w:t>
            </w:r>
          </w:p>
        </w:tc>
        <w:tc>
          <w:tcPr>
            <w:tcW w:w="54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2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146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22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9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$6.7</w:t>
            </w:r>
          </w:p>
        </w:tc>
        <w:tc>
          <w:tcPr>
            <w:tcW w:w="540" w:type="dxa"/>
            <w:vAlign w:val="bottom"/>
          </w:tcPr>
          <w:p>
            <w:pPr>
              <w:spacing w:after="0"/>
              <w:rPr>
                <w:sz w:val="16"/>
                <w:szCs w:val="16"/>
                <w:color w:val="auto"/>
              </w:rPr>
            </w:pPr>
          </w:p>
        </w:tc>
        <w:tc>
          <w:tcPr>
            <w:tcW w:w="92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$6.7</w:t>
            </w:r>
          </w:p>
        </w:tc>
        <w:tc>
          <w:tcPr>
            <w:tcW w:w="540" w:type="dxa"/>
            <w:vAlign w:val="bottom"/>
          </w:tcPr>
          <w:p>
            <w:pPr>
              <w:spacing w:after="0"/>
              <w:rPr>
                <w:sz w:val="16"/>
                <w:szCs w:val="16"/>
                <w:color w:val="auto"/>
              </w:rPr>
            </w:pPr>
          </w:p>
        </w:tc>
        <w:tc>
          <w:tcPr>
            <w:tcW w:w="86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0.5%</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Percentage of revenues</w:t>
            </w:r>
          </w:p>
        </w:tc>
        <w:tc>
          <w:tcPr>
            <w:tcW w:w="900" w:type="dxa"/>
            <w:vAlign w:val="bottom"/>
          </w:tcPr>
          <w:p>
            <w:pPr>
              <w:jc w:val="right"/>
              <w:ind w:right="102"/>
              <w:spacing w:after="0"/>
              <w:rPr>
                <w:sz w:val="20"/>
                <w:szCs w:val="20"/>
                <w:color w:val="auto"/>
              </w:rPr>
            </w:pPr>
            <w:r>
              <w:rPr>
                <w:rFonts w:ascii="Arial" w:cs="Arial" w:eastAsia="Arial" w:hAnsi="Arial"/>
                <w:sz w:val="18"/>
                <w:szCs w:val="18"/>
                <w:color w:val="auto"/>
              </w:rPr>
              <w:t>4.2%</w:t>
            </w:r>
          </w:p>
        </w:tc>
        <w:tc>
          <w:tcPr>
            <w:tcW w:w="1460" w:type="dxa"/>
            <w:vAlign w:val="bottom"/>
            <w:gridSpan w:val="2"/>
          </w:tcPr>
          <w:p>
            <w:pPr>
              <w:jc w:val="right"/>
              <w:ind w:right="12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jc w:val="both"/>
        <w:ind w:right="140" w:firstLine="225"/>
        <w:spacing w:after="0" w:line="308" w:lineRule="auto"/>
        <w:rPr>
          <w:sz w:val="20"/>
          <w:szCs w:val="20"/>
          <w:color w:val="auto"/>
        </w:rPr>
      </w:pPr>
      <w:r>
        <w:rPr>
          <w:rFonts w:ascii="Arial" w:cs="Arial" w:eastAsia="Arial" w:hAnsi="Arial"/>
          <w:sz w:val="17"/>
          <w:szCs w:val="17"/>
          <w:color w:val="auto"/>
        </w:rPr>
        <w:t>Independent, research and development (IR&amp;D) expense remained flat quarter-over-quarter. Our commercial networks segment IR&amp;D expense increased by approximately $0.1 million, offset by a decrease in our government systems segment IR&amp;D expense of approximately $0.1 million.</w:t>
      </w:r>
    </w:p>
    <w:p>
      <w:pPr>
        <w:spacing w:after="0" w:line="38"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i w:val="1"/>
          <w:iCs w:val="1"/>
          <w:color w:val="auto"/>
        </w:rPr>
        <w:t xml:space="preserve">Amortization of acquired intangible assets. </w:t>
      </w:r>
      <w:r>
        <w:rPr>
          <w:rFonts w:ascii="Arial" w:cs="Arial" w:eastAsia="Arial" w:hAnsi="Arial"/>
          <w:sz w:val="17"/>
          <w:szCs w:val="17"/>
          <w:color w:val="auto"/>
        </w:rPr>
        <w:t>We amortize our acquired intangible assets from prior acquisitions over their estimated useful lives ranging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eight months to ten years. We expect our amortization of acquired intangible assets to decrease each year as the acquired intangible assets with shorter lives become fully amortized. Current and expected amortization expense for each of the following periods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2,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2,867</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to $0.1 million for the three months ended October 2, 2009, from $0.6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 2008, due primarily to lower interest rates on our investments and lower average invested cash balances during the second quarter of fiscal year 2010.</w:t>
      </w:r>
    </w:p>
    <w:p>
      <w:pPr>
        <w:spacing w:after="0" w:line="73"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slightly from $0.1 million for the three months ended October 3, 2008 to $0.2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2, 2009. We capitalized $1.2 million of interest expense associated with the construction of our ViaSat-1 satellite during the three months ended October 2, 2009 compared to no amounts capitalized during the corresponding period of the prior fiscal year. The amount of such capitalized interest will depend on the carrying value of the ViaSat-1 satellite and the duration of the construction phase of the project. We expect to incur significantly more interest expense as a result of the issuance on October 22, 2009 of our 8.875% senior notes and will continue to capitalize additional interest related to our ViaSat-1 satellite construction project.</w:t>
      </w:r>
    </w:p>
    <w:p>
      <w:pPr>
        <w:spacing w:after="0" w:line="85"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effective tax rate for the three months ended October 2, 2009 was approximately 23.6%, which is similar to the 25.1%</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annual effective tax rate for fiscal year 2010. In contrast, the effective tax rate for the three months ended October 3, 2008 was 5.2%, which reflected the retroactive reinstatement of the federal research and development tax credit during the fiscal quarter. Our estimated annual effective tax rate of approximately 25.1% for fiscal year 2010 reflects the current expiration of the federal research and development tax credit at December 31, 2009. If the federal research and development tax credit is reinstated after December 31, 2009, we may have a lower annual effective tax rate and the amount of the tax rate reduction will depend on the effective date of any such reinstatement, the terms of the reinstatement as well as the amount of eligible research and development expenses in the reinstated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October 2, 2009 vs. Three Months Ended October 3, 2008</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2,</w:t>
            </w:r>
          </w:p>
        </w:tc>
        <w:tc>
          <w:tcPr>
            <w:tcW w:w="52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59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right"/>
              <w:ind w:right="325"/>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598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$102.8</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$97.3</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$5.5</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5.6%</w:t>
            </w:r>
          </w:p>
        </w:tc>
      </w:tr>
    </w:tbl>
    <w:p>
      <w:pPr>
        <w:spacing w:after="0" w:line="79"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revenue increase in our government systems segment of approximately $5.5 million was primarily derived from higher sales of $10.2 million in next-generation military satellite communication systems and $1.9 million in video datalink systems, offset by a decrease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sales of $5.3 million in information assurance products and development programs and $1.9 million in next-generation tactical data link development.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4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2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0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04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$14.3</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$13.3</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$1.0</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7.3%</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Percentage of segment revenue</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13.9%</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13.7%</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increase in our government systems segment operating profit of $1.0 million during the second quarter of fiscal year 2010 when compared to the second quarter of fiscal year 2009 was primarily due to increased revenues and related product contributions of $4.0 million, offset by $3.1 million in higher selling, support and new business proposal costs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40" w:type="dxa"/>
            <w:vAlign w:val="bottom"/>
          </w:tcPr>
          <w:p>
            <w:pPr>
              <w:spacing w:after="0"/>
              <w:rPr>
                <w:sz w:val="10"/>
                <w:szCs w:val="10"/>
                <w:color w:val="auto"/>
              </w:rPr>
            </w:pPr>
          </w:p>
        </w:tc>
        <w:tc>
          <w:tcPr>
            <w:tcW w:w="1000" w:type="dxa"/>
            <w:vAlign w:val="bottom"/>
          </w:tcPr>
          <w:p>
            <w:pPr>
              <w:jc w:val="right"/>
              <w:ind w:right="105"/>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59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5"/>
              <w:spacing w:after="0"/>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594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$54.4</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$59.2</w:t>
            </w:r>
          </w:p>
        </w:tc>
        <w:tc>
          <w:tcPr>
            <w:tcW w:w="5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$(4.8)</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(8.2)%</w:t>
            </w:r>
          </w:p>
        </w:tc>
      </w:tr>
    </w:tbl>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Our commercial networks segment revenue decrease was attributable to a reduction in sales of $4.2 million from our consumer broadband products and a $3.9 million reduction in sales from our mobile satellite communication systems products, offset by higher sales of $2.5 million from our antenna systems products and higher sales of $0.8 million from our enterprise VSAT products.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0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October 2,</w:t>
            </w:r>
          </w:p>
        </w:tc>
        <w:tc>
          <w:tcPr>
            <w:tcW w:w="520" w:type="dxa"/>
            <w:vAlign w:val="bottom"/>
          </w:tcPr>
          <w:p>
            <w:pPr>
              <w:spacing w:after="0"/>
              <w:rPr>
                <w:sz w:val="10"/>
                <w:szCs w:val="10"/>
                <w:color w:val="auto"/>
              </w:rPr>
            </w:pPr>
          </w:p>
        </w:tc>
        <w:tc>
          <w:tcPr>
            <w:tcW w:w="98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0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r>
      <w:tr>
        <w:trPr>
          <w:trHeight w:val="195"/>
        </w:trPr>
        <w:tc>
          <w:tcPr>
            <w:tcW w:w="6000" w:type="dxa"/>
            <w:vAlign w:val="bottom"/>
          </w:tcPr>
          <w:p>
            <w:pPr>
              <w:spacing w:after="0" w:line="195" w:lineRule="exact"/>
              <w:rPr>
                <w:sz w:val="20"/>
                <w:szCs w:val="20"/>
                <w:color w:val="auto"/>
              </w:rPr>
            </w:pPr>
            <w:r>
              <w:rPr>
                <w:rFonts w:ascii="Arial" w:cs="Arial" w:eastAsia="Arial" w:hAnsi="Arial"/>
                <w:sz w:val="18"/>
                <w:szCs w:val="18"/>
                <w:color w:val="auto"/>
              </w:rPr>
              <w:t>Operating profit (loss)</w:t>
            </w:r>
          </w:p>
        </w:tc>
        <w:tc>
          <w:tcPr>
            <w:tcW w:w="9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$2.5</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right"/>
              <w:ind w:right="202"/>
              <w:spacing w:after="0" w:line="195" w:lineRule="exact"/>
              <w:rPr>
                <w:sz w:val="20"/>
                <w:szCs w:val="20"/>
                <w:color w:val="auto"/>
              </w:rPr>
            </w:pPr>
            <w:r>
              <w:rPr>
                <w:rFonts w:ascii="Arial" w:cs="Arial" w:eastAsia="Arial" w:hAnsi="Arial"/>
                <w:sz w:val="18"/>
                <w:szCs w:val="18"/>
                <w:color w:val="auto"/>
              </w:rPr>
              <w:t>$(0.9)</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$3.4</w:t>
            </w:r>
          </w:p>
        </w:tc>
        <w:tc>
          <w:tcPr>
            <w:tcW w:w="52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366.3%</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900" w:type="dxa"/>
            <w:vAlign w:val="bottom"/>
          </w:tcPr>
          <w:p>
            <w:pPr>
              <w:jc w:val="right"/>
              <w:ind w:right="102"/>
              <w:spacing w:after="0"/>
              <w:rPr>
                <w:sz w:val="20"/>
                <w:szCs w:val="20"/>
                <w:color w:val="auto"/>
              </w:rPr>
            </w:pPr>
            <w:r>
              <w:rPr>
                <w:rFonts w:ascii="Arial" w:cs="Arial" w:eastAsia="Arial" w:hAnsi="Arial"/>
                <w:sz w:val="18"/>
                <w:szCs w:val="18"/>
                <w:color w:val="auto"/>
              </w:rPr>
              <w:t>4.5%</w:t>
            </w:r>
          </w:p>
        </w:tc>
        <w:tc>
          <w:tcPr>
            <w:tcW w:w="1500" w:type="dxa"/>
            <w:vAlign w:val="bottom"/>
            <w:gridSpan w:val="2"/>
          </w:tcPr>
          <w:p>
            <w:pPr>
              <w:jc w:val="right"/>
              <w:ind w:right="62"/>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commercial networks segment changed to an operating profit from an operating loss in the second quarter of fiscal year 2010 when compared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same period last fiscal year. This segment improvement was primarily due to lower selling, support and new business proposal costs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$2.1 million and additional product contributions of $1.4 million derived from sales of higher margin products and the effects of certain antenna systems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contract close-outs.</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2,</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245"/>
              <w:spacing w:after="0"/>
              <w:rPr>
                <w:sz w:val="20"/>
                <w:szCs w:val="20"/>
                <w:color w:val="auto"/>
              </w:rPr>
            </w:pPr>
            <w:r>
              <w:rPr>
                <w:rFonts w:ascii="Arial" w:cs="Arial" w:eastAsia="Arial" w:hAnsi="Arial"/>
                <w:sz w:val="14"/>
                <w:szCs w:val="14"/>
                <w:b w:val="1"/>
                <w:bCs w:val="1"/>
                <w:color w:val="auto"/>
              </w:rPr>
              <w:t>2009</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r>
      <w:tr>
        <w:trPr>
          <w:trHeight w:val="224"/>
        </w:trPr>
        <w:tc>
          <w:tcPr>
            <w:tcW w:w="6120" w:type="dxa"/>
            <w:vAlign w:val="bottom"/>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$0.7</w:t>
            </w:r>
          </w:p>
        </w:tc>
        <w:tc>
          <w:tcPr>
            <w:tcW w:w="540" w:type="dxa"/>
            <w:vAlign w:val="bottom"/>
          </w:tcPr>
          <w:p>
            <w:pPr>
              <w:spacing w:after="0"/>
              <w:rPr>
                <w:sz w:val="19"/>
                <w:szCs w:val="19"/>
                <w:color w:val="auto"/>
              </w:rPr>
            </w:pPr>
          </w:p>
        </w:tc>
        <w:tc>
          <w:tcPr>
            <w:tcW w:w="10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26.3%</w:t>
            </w:r>
          </w:p>
        </w:tc>
      </w:tr>
    </w:tbl>
    <w:p>
      <w:pPr>
        <w:spacing w:after="0" w:line="79"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Our satellite services segment revenue increase of approximately $0.7 million was primarily derived from increased customer usage of both our mobile broadband and managed broadband services.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39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(increase)</w:t>
            </w:r>
          </w:p>
        </w:tc>
        <w:tc>
          <w:tcPr>
            <w:tcW w:w="5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(increase)</w:t>
            </w:r>
          </w:p>
        </w:tc>
      </w:t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288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decrease</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decrease</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color w:val="auto"/>
              </w:rPr>
              <w:t>Operating loss</w:t>
            </w:r>
          </w:p>
        </w:tc>
        <w:tc>
          <w:tcPr>
            <w:tcW w:w="1860" w:type="dxa"/>
            <w:vAlign w:val="bottom"/>
          </w:tcPr>
          <w:p>
            <w:pPr>
              <w:spacing w:after="0"/>
              <w:rPr>
                <w:sz w:val="16"/>
                <w:szCs w:val="16"/>
                <w:color w:val="auto"/>
              </w:rPr>
            </w:pPr>
          </w:p>
        </w:tc>
        <w:tc>
          <w:tcPr>
            <w:tcW w:w="1020" w:type="dxa"/>
            <w:vAlign w:val="bottom"/>
            <w:tcBorders>
              <w:top w:val="single" w:sz="8" w:color="auto"/>
            </w:tcBorders>
          </w:tcPr>
          <w:p>
            <w:pPr>
              <w:jc w:val="right"/>
              <w:ind w:right="184"/>
              <w:spacing w:after="0" w:line="195" w:lineRule="exact"/>
              <w:rPr>
                <w:sz w:val="20"/>
                <w:szCs w:val="20"/>
                <w:color w:val="auto"/>
              </w:rPr>
            </w:pPr>
            <w:r>
              <w:rPr>
                <w:rFonts w:ascii="Arial" w:cs="Arial" w:eastAsia="Arial" w:hAnsi="Arial"/>
                <w:sz w:val="18"/>
                <w:szCs w:val="18"/>
                <w:color w:val="auto"/>
              </w:rPr>
              <w:t>$ (3.3)</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(0.8)</w:t>
            </w:r>
          </w:p>
        </w:tc>
        <w:tc>
          <w:tcPr>
            <w:tcW w:w="50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$(2.6)</w:t>
            </w:r>
          </w:p>
        </w:tc>
        <w:tc>
          <w:tcPr>
            <w:tcW w:w="500" w:type="dxa"/>
            <w:vAlign w:val="bottom"/>
          </w:tcPr>
          <w:p>
            <w:pPr>
              <w:spacing w:after="0"/>
              <w:rPr>
                <w:sz w:val="16"/>
                <w:szCs w:val="16"/>
                <w:color w:val="auto"/>
              </w:rPr>
            </w:pPr>
          </w:p>
        </w:tc>
        <w:tc>
          <w:tcPr>
            <w:tcW w:w="110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(334.8)%</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2880" w:type="dxa"/>
            <w:vAlign w:val="bottom"/>
            <w:gridSpan w:val="2"/>
          </w:tcPr>
          <w:p>
            <w:pPr>
              <w:jc w:val="right"/>
              <w:ind w:right="44"/>
              <w:spacing w:after="0"/>
              <w:rPr>
                <w:sz w:val="20"/>
                <w:szCs w:val="20"/>
                <w:color w:val="auto"/>
              </w:rPr>
            </w:pPr>
            <w:r>
              <w:rPr>
                <w:rFonts w:ascii="Arial" w:cs="Arial" w:eastAsia="Arial" w:hAnsi="Arial"/>
                <w:sz w:val="18"/>
                <w:szCs w:val="18"/>
                <w:color w:val="auto"/>
              </w:rPr>
              <w:t>(95.3)%</w:t>
            </w:r>
          </w:p>
        </w:tc>
        <w:tc>
          <w:tcPr>
            <w:tcW w:w="1500" w:type="dxa"/>
            <w:vAlign w:val="bottom"/>
            <w:gridSpan w:val="2"/>
          </w:tcPr>
          <w:p>
            <w:pPr>
              <w:jc w:val="right"/>
              <w:ind w:right="22"/>
              <w:spacing w:after="0"/>
              <w:rPr>
                <w:sz w:val="20"/>
                <w:szCs w:val="20"/>
                <w:color w:val="auto"/>
              </w:rPr>
            </w:pPr>
            <w:r>
              <w:rPr>
                <w:rFonts w:ascii="Arial" w:cs="Arial" w:eastAsia="Arial" w:hAnsi="Arial"/>
                <w:sz w:val="18"/>
                <w:szCs w:val="18"/>
                <w:color w:val="auto"/>
              </w:rPr>
              <w:t>(27.7)%</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39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6"/>
        </w:trPr>
        <w:tc>
          <w:tcPr>
            <w:tcW w:w="39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increase in satellite services segment operating loss of $2.6 million during the second quarter of fiscal year 2010 when compared to the second quarter of fiscal year 2009 was primarily due to approximately $2.5 million in transaction-related expenses incurred in connection with the pending WildBlue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October 2, 2009 vs. Six Months Ended October 3, 2008</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tcPr>
          <w:p>
            <w:pPr>
              <w:jc w:val="right"/>
              <w:ind w:right="325"/>
              <w:spacing w:after="0"/>
              <w:rPr>
                <w:sz w:val="20"/>
                <w:szCs w:val="20"/>
                <w:color w:val="auto"/>
              </w:rPr>
            </w:pPr>
            <w:r>
              <w:rPr>
                <w:rFonts w:ascii="Arial" w:cs="Arial" w:eastAsia="Arial" w:hAnsi="Arial"/>
                <w:sz w:val="14"/>
                <w:szCs w:val="14"/>
                <w:b w:val="1"/>
                <w:bCs w:val="1"/>
                <w:color w:val="auto"/>
              </w:rPr>
              <w:t>2009</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$319.1</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$312.2</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2.2%</w:t>
            </w:r>
          </w:p>
        </w:tc>
      </w:tr>
    </w:tbl>
    <w:p>
      <w:pPr>
        <w:spacing w:after="0" w:line="79"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Revenues increased from $312.2 million to $319.1 million during the first six months of fiscal year 2010 when compared to the same period last year. Increased revenues were experienced in our government systems segment, which increased by $9.4 million, and our satellite services segments, which increased by $1.9 million, offset by a decrease in our commercial networks segment of $4.5 million. Revenue increases in our government systems segment were primarily derived from higher sales of $12.7 million in next-generation military satellite communication and $1.7 million from our majority-owned subsidiary, TrellisWare Technologies, Inc. (TrellisWare), offset by a decrease in sales of $5.1 million in information assurance products and development programs. Our satellite services segment revenue increase of approximately $1.9 million was primarily derived from increased customer usage of our mobile broadband services. Our commercial networks segment revenue decrease was mainly due to a reduction in sales of $8.4 million from our consumer broadband products, offset by higher sales of $4.5 million from our enterprise VSAT products.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80" w:type="dxa"/>
            <w:vAlign w:val="bottom"/>
          </w:tcPr>
          <w:p>
            <w:pPr>
              <w:spacing w:after="0"/>
              <w:rPr>
                <w:sz w:val="10"/>
                <w:szCs w:val="10"/>
                <w:color w:val="auto"/>
              </w:rPr>
            </w:pPr>
          </w:p>
        </w:tc>
        <w:tc>
          <w:tcPr>
            <w:tcW w:w="104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4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58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15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588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$223.4</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$223.6</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$(0.2)</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(0.1)%</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40" w:type="dxa"/>
            <w:vAlign w:val="bottom"/>
          </w:tcPr>
          <w:p>
            <w:pPr>
              <w:jc w:val="right"/>
              <w:ind w:right="102"/>
              <w:spacing w:after="0"/>
              <w:rPr>
                <w:sz w:val="20"/>
                <w:szCs w:val="20"/>
                <w:color w:val="auto"/>
              </w:rPr>
            </w:pPr>
            <w:r>
              <w:rPr>
                <w:rFonts w:ascii="Arial" w:cs="Arial" w:eastAsia="Arial" w:hAnsi="Arial"/>
                <w:sz w:val="18"/>
                <w:szCs w:val="18"/>
                <w:color w:val="auto"/>
              </w:rPr>
              <w:t>70.0%</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71.6%</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94"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Our cost of revenues decreased slightly from $223.6 million to $223.4 million during the first six months of fiscal year 2010 when compared to the same period of fiscal year 2009. We experienced a decrease in cost of revenues as a percent of revenues from 71.6% to 70.0%. This improvement was primarily due to product cost reductions in our government systems segment mainly from information assurance products and development programs. Cost of revenues for the six months ended October 2, 2009 and October 3, 2008 included approximately $1.2 million in stock-based compensation expense. Cost of revenues may fluctuate in future periods depending on the mix of products sold and services provided, competition, new product introduction costs and other factors.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8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59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$55.8</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$49.0</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$6.8</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13.9%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17.5%</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15.7%</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The increase in SG&amp;A expenses of $6.8 million during the first six months of fiscal year 2010 compared to the same period of fiscal year 2009 was primarily attributable to $2.5 million in transaction-related expenses incurred in connection with the pending WildBlue acquisition, increased support costs related to business growth of approximately $2.0 million, and new business proposal costs for new contract awards of approximately $3.0 million mainly in our government systems segment, offset by lower selling costs of approximately $0.7 million mainly in our commercial networks segment. SG&amp;A expenses consisted primarily of personnel costs and expenses for business development, marketing and sales, bid and proposal, facilities, finance, legal, contract administration and general management. Some SG&amp;A expenses are difficult to predict and vary based on specific government, commercial and satellite service sales opportunities, among other factors.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6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$13.7</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$16.5</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$(2.8)</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(17.0)%</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102"/>
              <w:spacing w:after="0"/>
              <w:rPr>
                <w:sz w:val="20"/>
                <w:szCs w:val="20"/>
                <w:color w:val="auto"/>
              </w:rPr>
            </w:pPr>
            <w:r>
              <w:rPr>
                <w:rFonts w:ascii="Arial" w:cs="Arial" w:eastAsia="Arial" w:hAnsi="Arial"/>
                <w:sz w:val="18"/>
                <w:szCs w:val="18"/>
                <w:color w:val="auto"/>
              </w:rPr>
              <w:t>4.3%</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94"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decrease in IR&amp;D expenses of approximately $2.8 million reflects a year-over-year decrease of $1.4 million in the commercial networks segment and $1.4 million in the government systems segment for the first six months of fiscal year 2010 when compared to the same period in fiscal year 2009. These year-over-year decreases in IR&amp;D expenses were principally due to a shift of some of our efforts from internal development projects to customer-funded development.</w:t>
      </w:r>
    </w:p>
    <w:p>
      <w:pPr>
        <w:spacing w:after="0" w:line="79" w:lineRule="exact"/>
        <w:rPr>
          <w:sz w:val="20"/>
          <w:szCs w:val="20"/>
          <w:color w:val="auto"/>
        </w:rPr>
      </w:pPr>
    </w:p>
    <w:p>
      <w:pPr>
        <w:jc w:val="both"/>
        <w:ind w:right="320" w:firstLine="225"/>
        <w:spacing w:after="0" w:line="264"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We amortize our acquired intangible assets from prior acquisitions over their estimated useful lives ranging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eight months to ten years. Amortization of acquired intangible assets will decrease each year as the intangible assets with shorter lives become fully amortized. Current and expected amortization expense for each of the following periods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2,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2,867</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to $0.2 million for the six months ended October 2, 2009, from $1.3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 2008, primarily due to lower interest rates on our investments and lower average invested cash balances.</w:t>
      </w:r>
    </w:p>
    <w:p>
      <w:pPr>
        <w:spacing w:after="0" w:line="62"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slightly from $0.2 million for the six months ended October 3, 2008 to $0.4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 2009. We capitalized $1.2 million of interest expense associated with the construction of our ViaSat-1 satellite during the six months ended October 2, 2009 compared to no amounts capitalized during the corresponding period of the prior fiscal year. The amount of such capitalized interest will depend on the carrying value of the ViaSat-1 satellite and the duration of the construction phase of the project. We expect to incur significantly more interest expense as a result of the issuance on October 22, 2009 of our 8.875% senior notes and will continue to capitalize additional interest related to our ViaSat-1 satellite construction project.</w:t>
      </w:r>
    </w:p>
    <w:p>
      <w:pPr>
        <w:spacing w:after="0" w:line="85" w:lineRule="exact"/>
        <w:rPr>
          <w:sz w:val="20"/>
          <w:szCs w:val="20"/>
          <w:color w:val="auto"/>
        </w:rPr>
      </w:pPr>
    </w:p>
    <w:p>
      <w:pPr>
        <w:ind w:right="140" w:firstLine="225"/>
        <w:spacing w:after="0" w:line="272"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for the six months ended October 2, 2009 was approximately 24.7%, which is approximately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the 25.1% estimated annual effective tax rate for fiscal year 2010. This compares to an effective tax rate of 20.0% for the six months ended October 3, 2008, which reflected the retroactive reinstatement of the federal research and development tax credit during such fiscal period. Our estimated annual effective tax rate of approximately 25.1% for fiscal year 2010 reflects the current expiration of the federal research and development tax credit at December 31, 2009. If the federal research and development tax credit is reinstated after December 31, 2009, we may have a lower annual effective tax rate and the amount of the tax rate reduction will depend on the effective date of any such reinstatement, the terms of the reinstatement as well as the amount of eligible research and development expenses in the reinstated period.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October 2, 2009 vs. Six Months Ended October 3, 2008</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tcPr>
          <w:p>
            <w:pPr>
              <w:jc w:val="right"/>
              <w:ind w:right="325"/>
              <w:spacing w:after="0"/>
              <w:rPr>
                <w:sz w:val="20"/>
                <w:szCs w:val="20"/>
                <w:color w:val="auto"/>
              </w:rPr>
            </w:pPr>
            <w:r>
              <w:rPr>
                <w:rFonts w:ascii="Arial" w:cs="Arial" w:eastAsia="Arial" w:hAnsi="Arial"/>
                <w:sz w:val="14"/>
                <w:szCs w:val="14"/>
                <w:b w:val="1"/>
                <w:bCs w:val="1"/>
                <w:color w:val="auto"/>
              </w:rPr>
              <w:t>2009</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$195.4</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$185.9</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5.1%</w:t>
            </w:r>
          </w:p>
        </w:tc>
      </w:tr>
    </w:tbl>
    <w:p>
      <w:pPr>
        <w:spacing w:after="0" w:line="79"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revenue increase in our government systems segment was primarily derived from higher sales of $12.7 million in next-generation military satellite communication and $1.7 million from our majority-owned subsidiary, TrellisWare, offset by a decrease in sales of $5.1 million in information assurance products and development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4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2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0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04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$26.4</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$25.4</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$1.0</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Percentage of segment revenue</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13.5%</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13.7%</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Government systems segment operating profits increased for the first six months of fiscal year 2010 when compared to the first six months of fiscal year 2009. Increased revenues and related product contributions of approximately $6.3 million and lower IR&amp;D costs of approximately $1.4 million were offset by higher new business proposal costs of approximately $4.1 million and higher selling and support costs of approximately $2.6 million.</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8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2,</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5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58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right"/>
              <w:ind w:right="325"/>
              <w:spacing w:after="0"/>
              <w:rPr>
                <w:sz w:val="20"/>
                <w:szCs w:val="20"/>
                <w:color w:val="auto"/>
              </w:rPr>
            </w:pPr>
            <w:r>
              <w:rPr>
                <w:rFonts w:ascii="Arial" w:cs="Arial" w:eastAsia="Arial" w:hAnsi="Arial"/>
                <w:sz w:val="14"/>
                <w:szCs w:val="14"/>
                <w:b w:val="1"/>
                <w:bCs w:val="1"/>
                <w:color w:val="auto"/>
              </w:rPr>
              <w:t>2009</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5820" w:type="dxa"/>
            <w:vAlign w:val="bottom"/>
          </w:tcPr>
          <w:p>
            <w:pPr>
              <w:spacing w:after="0"/>
              <w:rPr>
                <w:sz w:val="20"/>
                <w:szCs w:val="20"/>
                <w:color w:val="auto"/>
              </w:rPr>
            </w:pPr>
            <w:r>
              <w:rPr>
                <w:rFonts w:ascii="Arial" w:cs="Arial" w:eastAsia="Arial" w:hAnsi="Arial"/>
                <w:sz w:val="18"/>
                <w:szCs w:val="18"/>
                <w:i w:val="1"/>
                <w:iCs w:val="1"/>
                <w:color w:val="auto"/>
              </w:rPr>
              <w:t>Revenues</w:t>
            </w:r>
          </w:p>
        </w:tc>
        <w:tc>
          <w:tcPr>
            <w:tcW w:w="10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$117.7</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$122.2</w:t>
            </w:r>
          </w:p>
        </w:tc>
        <w:tc>
          <w:tcPr>
            <w:tcW w:w="50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$(4.5)</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(3.6)%</w:t>
            </w:r>
          </w:p>
        </w:tc>
      </w:tr>
    </w:tbl>
    <w:p>
      <w:pPr>
        <w:spacing w:after="0" w:line="7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Our commercial networks segment revenue decrease was mainly due to a reduction in sales of $8.4 million from our consumer broadband products, offset by higher sales of $4.5 million from our enterprise VSAT products.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4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October 2,</w:t>
            </w:r>
          </w:p>
        </w:tc>
        <w:tc>
          <w:tcPr>
            <w:tcW w:w="54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October 3,</w:t>
            </w:r>
          </w:p>
        </w:tc>
        <w:tc>
          <w:tcPr>
            <w:tcW w:w="5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0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144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r>
      <w:tr>
        <w:trPr>
          <w:trHeight w:val="195"/>
        </w:trPr>
        <w:tc>
          <w:tcPr>
            <w:tcW w:w="604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9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$3.8</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$0.6</w:t>
            </w:r>
          </w:p>
        </w:tc>
        <w:tc>
          <w:tcPr>
            <w:tcW w:w="520" w:type="dxa"/>
            <w:vAlign w:val="bottom"/>
          </w:tcPr>
          <w:p>
            <w:pPr>
              <w:spacing w:after="0"/>
              <w:rPr>
                <w:sz w:val="16"/>
                <w:szCs w:val="16"/>
                <w:color w:val="auto"/>
              </w:rPr>
            </w:pPr>
          </w:p>
        </w:tc>
        <w:tc>
          <w:tcPr>
            <w:tcW w:w="92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$3.2</w:t>
            </w:r>
          </w:p>
        </w:tc>
        <w:tc>
          <w:tcPr>
            <w:tcW w:w="52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579.5%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900" w:type="dxa"/>
            <w:vAlign w:val="bottom"/>
          </w:tcPr>
          <w:p>
            <w:pPr>
              <w:jc w:val="right"/>
              <w:ind w:right="102"/>
              <w:spacing w:after="0"/>
              <w:rPr>
                <w:sz w:val="20"/>
                <w:szCs w:val="20"/>
                <w:color w:val="auto"/>
              </w:rPr>
            </w:pPr>
            <w:r>
              <w:rPr>
                <w:rFonts w:ascii="Arial" w:cs="Arial" w:eastAsia="Arial" w:hAnsi="Arial"/>
                <w:sz w:val="18"/>
                <w:szCs w:val="18"/>
                <w:color w:val="auto"/>
              </w:rPr>
              <w:t>3.2%</w:t>
            </w:r>
          </w:p>
        </w:tc>
        <w:tc>
          <w:tcPr>
            <w:tcW w:w="1440" w:type="dxa"/>
            <w:vAlign w:val="bottom"/>
            <w:gridSpan w:val="2"/>
          </w:tcPr>
          <w:p>
            <w:pPr>
              <w:jc w:val="right"/>
              <w:ind w:right="102"/>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94"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Our commercial networks segment operating profit increased in the first six months of fiscal year 2010 when compared to the same period last fiscal year primarily due to a decrease in selling, support and new business proposal costs of $1.9 million, lower IR&amp;D costs of $1.4 million and improved margins in certain antenna systems programs and related contract close-outs.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2,</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245"/>
              <w:spacing w:after="0"/>
              <w:rPr>
                <w:sz w:val="20"/>
                <w:szCs w:val="20"/>
                <w:color w:val="auto"/>
              </w:rPr>
            </w:pPr>
            <w:r>
              <w:rPr>
                <w:rFonts w:ascii="Arial" w:cs="Arial" w:eastAsia="Arial" w:hAnsi="Arial"/>
                <w:sz w:val="14"/>
                <w:szCs w:val="14"/>
                <w:b w:val="1"/>
                <w:bCs w:val="1"/>
                <w:color w:val="auto"/>
              </w:rPr>
              <w:t>2009</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r>
      <w:tr>
        <w:trPr>
          <w:trHeight w:val="224"/>
        </w:trPr>
        <w:tc>
          <w:tcPr>
            <w:tcW w:w="6120" w:type="dxa"/>
            <w:vAlign w:val="bottom"/>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9"/>
                <w:szCs w:val="19"/>
                <w:color w:val="auto"/>
              </w:rPr>
            </w:pPr>
          </w:p>
        </w:tc>
        <w:tc>
          <w:tcPr>
            <w:tcW w:w="10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45.0%</w:t>
            </w:r>
          </w:p>
        </w:tc>
      </w:tr>
    </w:tbl>
    <w:p>
      <w:pPr>
        <w:spacing w:after="0" w:line="79"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Our satellite services segment revenue increase of approximately $1.9 million was primarily derived from increased customer usage of our mobile broadband services.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3,</w:t>
            </w:r>
          </w:p>
        </w:tc>
        <w:tc>
          <w:tcPr>
            <w:tcW w:w="50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(increase)</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decrease</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(4.0)</w:t>
            </w:r>
          </w:p>
        </w:tc>
        <w:tc>
          <w:tcPr>
            <w:tcW w:w="500" w:type="dxa"/>
            <w:vAlign w:val="bottom"/>
          </w:tcPr>
          <w:p>
            <w:pPr>
              <w:spacing w:after="0"/>
              <w:rPr>
                <w:sz w:val="16"/>
                <w:szCs w:val="16"/>
                <w:color w:val="auto"/>
              </w:rPr>
            </w:pPr>
          </w:p>
        </w:tc>
        <w:tc>
          <w:tcPr>
            <w:tcW w:w="102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(2.8)</w:t>
            </w:r>
          </w:p>
        </w:tc>
        <w:tc>
          <w:tcPr>
            <w:tcW w:w="50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$(1.2)</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(43.1)%</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(67.4)%</w:t>
            </w:r>
          </w:p>
        </w:tc>
        <w:tc>
          <w:tcPr>
            <w:tcW w:w="1520" w:type="dxa"/>
            <w:vAlign w:val="bottom"/>
            <w:gridSpan w:val="2"/>
          </w:tcPr>
          <w:p>
            <w:pPr>
              <w:jc w:val="right"/>
              <w:ind w:right="42"/>
              <w:spacing w:after="0"/>
              <w:rPr>
                <w:sz w:val="20"/>
                <w:szCs w:val="20"/>
                <w:color w:val="auto"/>
              </w:rPr>
            </w:pPr>
            <w:r>
              <w:rPr>
                <w:rFonts w:ascii="Arial" w:cs="Arial" w:eastAsia="Arial" w:hAnsi="Arial"/>
                <w:sz w:val="18"/>
                <w:szCs w:val="18"/>
                <w:color w:val="auto"/>
              </w:rPr>
              <w:t>(68.3)%</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94"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increase in satellite services segment operating loss of $1.2 million in the first six months of fiscal year 2010 when compared to the same period last fiscal year was primarily due to approximately $2.5 million in transaction-related expenses incurred in connection with the pending WildBlue acquisition, offset by increased revenues and related product contributions of $0.8 million mainly derived from the international expansion of our mobile broadband service and a reduction in legal and support costs related to our ViaSat-1 satellite of $0.4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360" w:firstLine="215"/>
        <w:spacing w:after="0" w:line="308" w:lineRule="auto"/>
        <w:rPr>
          <w:sz w:val="20"/>
          <w:szCs w:val="20"/>
          <w:color w:val="auto"/>
        </w:rPr>
      </w:pPr>
      <w:r>
        <w:rPr>
          <w:rFonts w:ascii="Arial" w:cs="Arial" w:eastAsia="Arial" w:hAnsi="Arial"/>
          <w:sz w:val="17"/>
          <w:szCs w:val="17"/>
          <w:color w:val="auto"/>
        </w:rPr>
        <w:t>As reflected in the table below, both funded and firm backlog increased during the first six months of fiscal year 2009, primarily due to some expected large contract awards that we began pursuing in fiscal year 2009 and for which negotiations were completed in fiscal year 2010.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October 2, 2009</w:t>
            </w: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millions)</w:t>
            </w: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6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8"/>
              <w:spacing w:after="0"/>
              <w:rPr>
                <w:sz w:val="20"/>
                <w:szCs w:val="20"/>
                <w:color w:val="auto"/>
              </w:rPr>
            </w:pPr>
            <w:r>
              <w:rPr>
                <w:rFonts w:ascii="Arial" w:cs="Arial" w:eastAsia="Arial" w:hAnsi="Arial"/>
                <w:sz w:val="18"/>
                <w:szCs w:val="18"/>
                <w:color w:val="auto"/>
              </w:rPr>
              <w:t>226.3</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253.7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568"/>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501.9</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6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219.7</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568"/>
              <w:spacing w:after="0"/>
              <w:rPr>
                <w:sz w:val="20"/>
                <w:szCs w:val="20"/>
                <w:color w:val="auto"/>
              </w:rPr>
            </w:pPr>
            <w:r>
              <w:rPr>
                <w:rFonts w:ascii="Arial" w:cs="Arial" w:eastAsia="Arial" w:hAnsi="Arial"/>
                <w:sz w:val="18"/>
                <w:szCs w:val="18"/>
                <w:color w:val="auto"/>
              </w:rPr>
              <w:t>253.7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6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28.8</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firm backlog does not include contract options. Of the $501.9 million in firm backlog, approximately $215.1 million is expected to be delivered during the remaining six months of fiscal year 2010, and the balance is expected to be delivered in fiscal year 2011 and thereafter. We include in our backlog only those orders for which we have accepted purchase orders.</w:t>
      </w:r>
    </w:p>
    <w:p>
      <w:pPr>
        <w:spacing w:after="0" w:line="73" w:lineRule="exact"/>
        <w:rPr>
          <w:sz w:val="20"/>
          <w:szCs w:val="20"/>
          <w:color w:val="auto"/>
        </w:rPr>
      </w:pPr>
    </w:p>
    <w:p>
      <w:pPr>
        <w:ind w:right="1060" w:firstLine="225"/>
        <w:spacing w:after="0" w:line="277" w:lineRule="auto"/>
        <w:rPr>
          <w:sz w:val="20"/>
          <w:szCs w:val="20"/>
          <w:color w:val="auto"/>
        </w:rPr>
      </w:pPr>
      <w:r>
        <w:rPr>
          <w:rFonts w:ascii="Arial" w:cs="Arial" w:eastAsia="Arial" w:hAnsi="Arial"/>
          <w:sz w:val="18"/>
          <w:szCs w:val="18"/>
          <w:color w:val="auto"/>
        </w:rPr>
        <w:t>Our total new awards were $225.7 million and $346.3 million for the three and six months ended October 2, 2009, respectively, compared to $255.5 million and $461.4 million for the three and six months ended October 3, 2008, respectively.</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7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We have financed our operations to date primarily with cash flows from operations, bank line of credit financing and equity financing.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government or commercial, domestic or international) and the duration of the contract. In addition, for all three of our segments, program performance significantly impacts the timing and amount of cash flows. If a program is performing and meeting its contractual requirements, then the cash flow requirements are usually lower. The cash needs of the government systems segment tend to be more a function of the type of contract rather than customer quality. Also, U.S. government procurement regulations tend to restrict the timing of cash payments on the contract. In the commercial networks and satellite services segments, our cash needs are driven primarily by the quality of the customer and the type of contract. The quality of the customer can affect the specific contract cash flow and whether financing instruments are required by the customer. In addition, the commercial networks and satellite services financing environments tend to provide for more flexible payment terms with customers, including advance payments.</w:t>
      </w:r>
    </w:p>
    <w:p>
      <w:pPr>
        <w:spacing w:after="0" w:line="70"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Cash provided by operating activities for the first six months of fiscal year 2010 was $0.9 million as compared to $18.4 million for the first six months of fiscal year 2009. The $17.5 million decrease in cash provided by operating activities for the first six months of fiscal year 2010 as compared to the first six months of fiscal year 2009 was primarily attributed to a year-over-year net increase in cash used for net operating assets of $18.6 million, offset by higher year-over-year net income of $1.7 million. The net operating asset growth was predominantly due to growth in our combined billed and unbilled accounts receivable, net, which increased $42.7 million from the prior fiscal year-end. Receivables growth in the first six months of fiscal year 2010 was largely due to the timing of certain contract billing milestones on programs in both our commercial networks segment and government systems segment.</w:t>
      </w:r>
    </w:p>
    <w:p>
      <w:pPr>
        <w:spacing w:after="0" w:line="5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Cash used in investing activities in the first six months of fiscal year 2010 was $61.7 million as compared to $52.9 million for the first six months of fiscal year 2009. The increase in cash used in investing activities was primarily related to construction payments for ViaSat-1 of approximately $44.9 million and other additional capital expenditures for equipment of approximately $10.9 million for the first six months of fiscal year 2010 compared to approximately $36.5 million and $14.1 million, respectively, for the same period of fiscal year 2009.</w:t>
      </w:r>
    </w:p>
    <w:p>
      <w:pPr>
        <w:spacing w:after="0" w:line="79"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Cash provided by financing activities for the first six months of fiscal year 2010 was $80.8 million as compared to cash provided by financing activities for the first six months of fiscal year 2009 of $0.6 million. The approximate $80.1 million increase in cash inflows for the first six months of fiscal year 2010 compared to the same period of last fiscal year is primarily related to the $80.0 million in proceeds from borrowings under our the Credit Facility in</w:t>
      </w:r>
    </w:p>
    <w:p>
      <w:pPr>
        <w:ind w:right="200"/>
        <w:spacing w:after="0" w:line="254" w:lineRule="auto"/>
        <w:rPr>
          <w:sz w:val="20"/>
          <w:szCs w:val="20"/>
          <w:color w:val="auto"/>
        </w:rPr>
      </w:pPr>
      <w:r>
        <w:rPr>
          <w:rFonts w:ascii="Arial" w:cs="Arial" w:eastAsia="Arial" w:hAnsi="Arial"/>
          <w:sz w:val="18"/>
          <w:szCs w:val="18"/>
          <w:color w:val="auto"/>
        </w:rPr>
        <w:t>July 2009. In addition, cash provided by financing activities for both periods included cash received from stock option exercises, cash inflows related to the incremental tax benefit from stock-based compensation and cash received from employee stock purchase plan purchases. Cash provided by financing activities in the first six months of fiscal year 2010 was offset by the repurchase of common stock related to net share settlement of certain employee tax liabilities in connection with the vesting of restricted stock unit awards and debt issuance costs.</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11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related to our anticipated high-capacity satellite system. Under the satellite construction contract with SS/L, we purchased ViaSat-1, a new high-capacity Ka-band spot-beam satellite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We have entered into a beam sharing agreement with Loral, whereby Loral has agreed to reimburse us for 15% of the total costs associated with launch and launch insurance, which is estimated to be approximately $20.7 million, and in-orbit insurance and satellite operating costs post launch.</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November 2008, we entered into a launch services agreement with Arianespace to procure launch services for ViaSat-1 at a cost estimated to be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$107.8 million, depending on the mass of the satellite at launch. In March 2009, we substituted ILS International Launch Services, Inc. (ILS) for Arianespace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primary provider of launch services for ViaSat-1 and, accordingly, we entered into a contract for launch services with ILS to procure launch services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ViaSat-1 at an estimated cost of approximately $80.0 million, subject to certain adjustments, resulting in a net savings of approximately $20.0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225"/>
        <w:spacing w:after="0" w:line="279" w:lineRule="auto"/>
        <w:rPr>
          <w:sz w:val="20"/>
          <w:szCs w:val="20"/>
          <w:color w:val="auto"/>
        </w:rPr>
      </w:pPr>
      <w:r>
        <w:rPr>
          <w:rFonts w:ascii="Arial" w:cs="Arial" w:eastAsia="Arial" w:hAnsi="Arial"/>
          <w:sz w:val="17"/>
          <w:szCs w:val="17"/>
          <w:color w:val="auto"/>
        </w:rPr>
        <w:t>On May 7, 2009, we entered into an Amended and Restated Launch Services Agreement with Arianespace. Under the terms of the Amended and Restated Launch Services Agreement, Arianespace has agreed to perform certain launch services to maintain the launch capability for ViaSat-1,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63"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The projected total cost of the ViaSat-1 project, including the satellite, launch, insurance and related gateway infrastructure, through in-service of the satellite is estimated to be approximately $400.0 million, excluding capitalized interest, and will depend on the timing of the gateway infrastructure roll-out, among other things. However, we anticipate capitalizing certain amounts of interest expense related to our outstanding borrowings in connection with our capital projects under construction, such as construction of ViaSat-1 and related gateways. We continually evaluate alternative strategies that would limit our total required investment. We believe we have adequate sources of funding for the project, which includes our cash on hand, the cash we expect to generate from operations over the next few years, and additional borrowing ability based on our financial position and debt leverage ratio. We believe this provides us flexibility to execute this project in an appropriate manner and/or obtain outside equity under terms that we consider reasonable.</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WildBlue acquisition</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September 30, 2009, we entered into an Agreement and Plan of Merger with WildBlue, pursuant to which we have agreed to acquire WildBlue and its subsidiaries in exchange for total consideration of $568.0 million (subject to certain adjustments). WildBlue is a provider of broadband internet service, delivering two-way broadband internet access via satellite in the contiguous United States. At the closing of the acquisition, we expect to pay $443.0 million of the merger consideration in cash and $125.0 million in newly issued shares of our common stock. Consummation of the acquisition is subject to regulatory approval by the Federal Communications Commission, clearance under the Hart-Scott-Rodino Antitrust Improvements Act of 1976 (the HSR Act), absence of any material adverse change in ours or WildBlue’s business or financial condition, and other customary closing conditions and is expected to close in the fourth quarter of fiscal year 2010. On October 28, 2009, the Federal Trade Commission granted early termination of the waiting period under the HSR Act.</w:t>
      </w:r>
    </w:p>
    <w:p>
      <w:pPr>
        <w:spacing w:after="0" w:line="59" w:lineRule="exact"/>
        <w:rPr>
          <w:sz w:val="20"/>
          <w:szCs w:val="20"/>
          <w:color w:val="auto"/>
        </w:rPr>
      </w:pPr>
    </w:p>
    <w:p>
      <w:pPr>
        <w:ind w:right="160" w:firstLine="222"/>
        <w:spacing w:after="0" w:line="272" w:lineRule="auto"/>
        <w:rPr>
          <w:sz w:val="20"/>
          <w:szCs w:val="20"/>
          <w:color w:val="auto"/>
        </w:rPr>
      </w:pPr>
      <w:r>
        <w:rPr>
          <w:rFonts w:ascii="Arial" w:cs="Arial" w:eastAsia="Arial" w:hAnsi="Arial"/>
          <w:sz w:val="17"/>
          <w:szCs w:val="17"/>
          <w:color w:val="auto"/>
        </w:rPr>
        <w:t>The number of shares of our common stock to be issued at the closing will be determined based on the volume weighted average closing price of our common stock over a 10-day measurement period ending three trading days before closing, subject to a collar mechanism to account for changes in the trading price between signing and closing. Based on the midpoint of the collar, and assuming payment of $125.0 million in shares of our common stock in connection with the acquisition and no closing adjustments, we would issue approximately 4.9 million shares of our common stock at the closing (which would have comprised approximately 15.4% of our outstanding common stock had the acquisition been consummated on September 30, 2009). In no event will we be required to issue more than approximately 5.7 million shares of our common stock. We have right to substitute additional cash for some or all of the shares of our common stock under certain circumstances.</w:t>
      </w:r>
    </w:p>
    <w:p>
      <w:pPr>
        <w:spacing w:after="0" w:line="70"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We intend to finance the cash portion of the purchase price from a combination of WildBlue’s and our available cash on hand, the net proceeds from the issuance of our senior notes due 2016 (see “Senior notes due 2016” below) and borrowings under our Credit Facility and/or additional third party debt financing.</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On October 22, 2009, we issued $275.0 million in senior notes due 2016 (the Notes) in a private placement to institutional buyers. The Notes bear interest at the rate of 8.875% per year, payable semi-annually in cash in arrears commencing in March 2010 and were issued with an original issue discount of 1.24% or, $3.4 million. The Notes will be recorded as long-term debt, net of original issue discount, in our consolidated financial statements. The original issue discount and deferred financing cost associated with the issuance of the Notes will be amortized to interest expense over the term of the Notes.</w:t>
      </w:r>
    </w:p>
    <w:p>
      <w:pPr>
        <w:spacing w:after="0" w:line="46"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The Notes are guaranteed on an unsecured senior basis by each of our existing and future subsidiaries that guarantees the Credit Facility. The Notes and the guarantees are our and the guarantors’ general senior unsecured obligations and rank equally in right of payment with all of their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Notes, and are senior in right of payment to all of their existing and future subordinated indebtedness.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indenture governing the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8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Prior to September 15, 2012, we may redeem up to 35% of the Notes at a redemption price of 108.875% of the principal amount thereof, plus accrued and unpaid interest, if any, thereon to the redemption date, from the net cash proceeds of specified equity offerings. Prior to September 15, 2012, we may also redeem the Notes,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 (2) all required interest payments due on such Notes through September 15, 2012 (excluding accrued but unpaid interest to the date of redemption), computed using a discount rate equal to the Treasury Rate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75"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the event a change of control occurs, as defined under the indenture and prior to us exercising our right to redeem all of the Notes, each holder will have the right to require us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63"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connection with the private placement of the Notes, we entered into a registration rights agreement with the initial purchasers in which the Company agreed to file a registration statement with the SEC to permit the holders to exchange or resell the Notes. We must use commercially reasonable efforts to consummate an exchange offer within 365 days after the issuance of the Notes or, under certain circumstances, to prepare and file a shelf registration statement to cover the resale of the Notes. If we do not comply with certain of their obligations under the registration rights agreement, the registration rights agreement provides that additional interest will accrue on the principal amount of the Notes at a rate of 0.25% per annum during the 90-day period immediately following such default and will increase by 0.25% per annum at the end of each subsequent 90-day period, but in no event will the penalty rate exceed 1.00% per annum.</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Credit Facility and liquidity</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invest our cash in excess of current operating requirements in short-term, interest-bearing, investment-grade securities. At October 2, 2009, we had $83.9 million in cash and cash equivalents, $268.6 million in working capital and $80.0 million in principal amount of outstanding borrowings under our Credit Facility. At April 3, 2009, we had $63.5 million in cash and cash equivalents, $203.4 million in working capital and no outstanding borrowings under our Credit Facility. Our cash and cash equivalents are held in accounts managed by third party financial institutions. To date, we have experienced no loss of access to our cash equivalents; however, there can be no assurance that access to our cash and cash equivalents will not be impacted by adverse conditions in the financial markets.</w:t>
      </w:r>
    </w:p>
    <w:p>
      <w:pPr>
        <w:spacing w:after="0" w:line="85" w:lineRule="exact"/>
        <w:rPr>
          <w:sz w:val="20"/>
          <w:szCs w:val="20"/>
          <w:color w:val="auto"/>
        </w:rPr>
      </w:pPr>
    </w:p>
    <w:p>
      <w:pPr>
        <w:ind w:right="220" w:firstLine="225"/>
        <w:spacing w:after="0" w:line="286" w:lineRule="auto"/>
        <w:rPr>
          <w:sz w:val="20"/>
          <w:szCs w:val="20"/>
          <w:color w:val="auto"/>
        </w:rPr>
      </w:pPr>
      <w:r>
        <w:rPr>
          <w:rFonts w:ascii="Arial" w:cs="Arial" w:eastAsia="Arial" w:hAnsi="Arial"/>
          <w:sz w:val="16"/>
          <w:szCs w:val="16"/>
          <w:color w:val="auto"/>
        </w:rPr>
        <w:t>On July 1, 2009, we amended and restated our Credit Facility in the form of the Fourth Amended and Restated Revolving Loan Agreement, which increased our Credit Facility from $85.0 million to $170.0 million (including up to $25.0 million of letters of credit) and extended the maturity date of the facility until July 1, 2012. Borrowings under the Credit Facility bear interest, at our option, at either (1) the highest of the Federal Funds rate plus 0.50%, Eurodollar rate plus 1.00% or the administrative agent’s prime rate as announced from time to time, or (2) at the Eurodollar rate plus, in the case of each of</w:t>
      </w:r>
    </w:p>
    <w:p>
      <w:pPr>
        <w:spacing w:after="0" w:line="2" w:lineRule="exact"/>
        <w:rPr>
          <w:sz w:val="20"/>
          <w:szCs w:val="20"/>
          <w:color w:val="auto"/>
        </w:rPr>
      </w:pPr>
    </w:p>
    <w:p>
      <w:pPr>
        <w:ind w:right="10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(2), an applicable margin that is based on the ratio of our debt to earnings before interest, taxes, depreciation and amortization (EBITDA). At October 2, 2009, the effective interest rate on our outstanding borrowings under the Credit Facility was 4.59%. We anticipate capitalizing certain amounts of interest expense on our Credit Facility in connection with the construction of ViaSat-1. The Credit Facility is guaranteed by certain of our domestic subsidiaries and collateralized by substantially all of our respective assets. At October 2, 2009, we had $80.0 million in principal amount of outstanding borrowings under the Credit Facility and $6.9 million outstanding under standby letters of credit, leaving borrowing availability under the Credit Facility of $83.1 million.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97" w:lineRule="auto"/>
        <w:rPr>
          <w:sz w:val="20"/>
          <w:szCs w:val="20"/>
          <w:color w:val="auto"/>
        </w:rPr>
      </w:pPr>
      <w:r>
        <w:rPr>
          <w:rFonts w:ascii="Arial" w:cs="Arial" w:eastAsia="Arial" w:hAnsi="Arial"/>
          <w:sz w:val="16"/>
          <w:szCs w:val="16"/>
          <w:color w:val="auto"/>
        </w:rPr>
        <w:t>On September 30, 2009, we entered into the First Amendment to the Fourth Amended and Restated Revolving Loan Agreement (the Amendment) to permit the issuance of unsecured or secured senior indebtedness under an indenture up to an aggregate principal amount of $300.0 million, the issuance of second-lien secured indebtedness up to an aggregate principal amount of $350.0 million (less the principal amount of any unsecured or secured senior indebtedness issued under an indenture), to permit the consummation of our pending acquisition of WildBlue, to insert a new financial covenant regarding maximum senior secured leverage ratio and to amend financial covenants regarding maximum leverage ratio and minimum interest coverage ratio.</w:t>
      </w:r>
    </w:p>
    <w:p>
      <w:pPr>
        <w:spacing w:after="0" w:line="5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On October 6, 2009, we further amended the Credit Facility to increase our revolving line of credit from $170.0 million to $210.0 million. On October 22, 2009, in connection with our issuance of senior notes due 2016 and receipt of the net proceeds therefrom, we repaid all outstanding borrowings under our Credit Facility.</w:t>
      </w:r>
    </w:p>
    <w:p>
      <w:pPr>
        <w:spacing w:after="0" w:line="73"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The Credit Facility contains financial covenants regarding a maximum leverage ratio, a maximum senior secured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5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September 30, 2009, we entered into a second-lien loan agreement (the Bridge Loan Agreement) with WildBlue debt holders in connection with the potential acquisition of WildBlue, pursuant to which the WildBlue debt holders agreed to provide $350.0 million in second-lien bridge financing. In connection with the closing of the Notes offering and our receipt of the net proceeds therefrom, on October 22, 2009, we exercised our right to terminate the Bridge Loan Agreement and the intercreditor agreement relating thereto with immediate effect.</w:t>
      </w:r>
    </w:p>
    <w:p>
      <w:pPr>
        <w:spacing w:after="0" w:line="79"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Additionally under the Amendment, in the event that we entered into the Bridge Loan Agreement, the Credit Facility was deemed to have been amended to include certain modified and additional definitions, terms and covenants contained in an addendum to the Amendment (the Addendum Provisions). The Amendment further provided that, at such time as no loans under (or permitted refinancing of) the Bridge Loan Agreement remain outstanding and any commitment to lend thereunder has been terminated, the Addendum Provisions shall cease to be in effect. On October 22, 2009, we delivered a notice to the lenders under the Loan Agreement advising that the Bridge Loan Agreement was terminated, and that accordingly the Addendum Provisions became of no force and effect as of such date.</w:t>
      </w:r>
    </w:p>
    <w:p>
      <w:pPr>
        <w:spacing w:after="0" w:line="85"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To further enhance our liquidity position, we may obtain additional financing, which could consist of debt, convertible debt or equity financing from public and/or private capital markets. In April 2007, we filed an additional universal shelf registration statement with the SEC for the future sale of up to an additional $200.0 million of debt securities, common stock, preferred stock, depositary shares and warrants, bringing the aggregate available under our universal shelf registration statements to up to $400.0 million. The securities may be offered from time to time, separately or together, directly by us or through underwriters at amounts, prices, interest rates and other terms to be determined at the time of the offering.</w:t>
      </w:r>
    </w:p>
    <w:p>
      <w:pPr>
        <w:spacing w:after="0" w:line="64"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Our future capital requirements will depend upon many factors, including the timing and amount of cash required for the WildBlue acquisition, the timing and amount of cash required for the ViaSat-1 satellite project pursuant to our contractual commitments,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a summary of our obligations at October 2,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For the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remainder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5"/>
              </w:rPr>
              <w:t>For the fiscal years ending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fiscal year</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2011-2012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2013-2014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24,626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377,877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93,943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112,264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27,460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144,210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562,353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101,428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147,649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132,086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181,190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table above does not include contractual obligations relating to the issuance of our 8.875% senior notes due 2016 because they were issued subsequent to the second quarter of fiscal year 2010. Also, due to our inability to accurately predict the likelihood and timing of the closing of our pending WildBlue acquisition, the table above does not include contractual obligations relating to or arising out of the WildBlue acquisition, including our obligation to pay the purchase price of $568.0 million at the closing of the WildBlue acquisition (subject to certain adjustments), of which we expect to pay $443.0 million in cash and $125.0 million in shares of our newly issued common stock.</w:t>
      </w:r>
    </w:p>
    <w:p>
      <w:pPr>
        <w:spacing w:after="0" w:line="8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operation and launch of ViaSat-1.</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we have contracted for an additional launch which can be used as a back-up launch for ViaSat-1 or for a future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3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condensed consolidated balance sheets included $24.4 million and $24.7 million of “other liabilities” as of October 2, 2009 and April 3, 2009, respectively, which primarily consists of our long-term warranty obligations, deferred lease credits and long-term unrecognized tax position liabilities. These remaining liabilities have been excluded from the above table as the timing and/or the amount of any cash payment is uncertain. See Note 10 of the notes to condensed consolidated financial statements for additional information regarding our income taxes and related tax positions and Note 8 for a discussion of our product warranties.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right="400" w:firstLine="225"/>
        <w:spacing w:after="0" w:line="302" w:lineRule="auto"/>
        <w:rPr>
          <w:sz w:val="20"/>
          <w:szCs w:val="20"/>
          <w:color w:val="auto"/>
        </w:rPr>
      </w:pPr>
      <w:r>
        <w:rPr>
          <w:rFonts w:ascii="Arial" w:cs="Arial" w:eastAsia="Arial" w:hAnsi="Arial"/>
          <w:sz w:val="16"/>
          <w:szCs w:val="16"/>
          <w:color w:val="auto"/>
        </w:rPr>
        <w:t>In June 2009, the FASB issued authoritative guidance which amends the consolidation guidance applicable to variable interest entities SFAS 167, “Amendments to FASB Interpretation No. 46R” (SFAS 167). The guidance will significantly affect the overall consolidation analysis under the current authoritative guidance for consolidation of variable interest entities (FIN 46R / ASC 810) and is effective for us as of the beginning of the first quarter of fiscal year 2011. We are currently evaluating the impact that the guidance may have on our consolidated financial statements and disclosures.</w:t>
      </w:r>
    </w:p>
    <w:p>
      <w:pPr>
        <w:spacing w:after="0" w:line="46"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August 2009, the FASB issued amended authoritative guidance, included within ASC 820 for the fair value measurement of liabilities. This amended guidance clarifies that in circumstances in which a quoted price in an active market for the identical liability is not available, the company is required to use the quoted price of the identical liability when traded as an asset, quoted prices for similar liabilities, or quoted prices for similar liabilities when traded as assets. If these quoted prices are not available, the company is required to use another valuation technique, such as an income approach or a market approach. This amended guidance will be effective for us as of the beginning of the third quarter of fiscal year 2010. We are currently evaluating the impact that the guidance may have on our consolidated financial statements and disclosures.</w:t>
      </w:r>
    </w:p>
    <w:p>
      <w:pPr>
        <w:spacing w:after="0" w:line="70"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In October 2009, the FASB issued authoritative guidance for revenue recognition with multiple deliverables (EITF 08-1, “Revenue Arrangements with Multiple Deliverables”).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us beginning in the first quarter of fiscal year 2012, however early adoption is permitted. We are currently evaluating the impact that the guidance may have on our consolidated financial statements and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We had no material off-balance sheet arrangements at October 2, 2009 as defined in Regulation S-K Item 303(a)(4) other than as discussed under Contractual Obligations above or disclosed in the notes to our financial statements included in this Quarterly Report or in our Annual Report on Form 10-K for the year ended April 3, 2009.</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firstLine="225"/>
        <w:spacing w:after="0" w:line="273" w:lineRule="auto"/>
        <w:rPr>
          <w:sz w:val="20"/>
          <w:szCs w:val="20"/>
          <w:color w:val="auto"/>
        </w:rPr>
      </w:pPr>
      <w:r>
        <w:rPr>
          <w:rFonts w:ascii="Arial" w:cs="Arial" w:eastAsia="Arial" w:hAnsi="Arial"/>
          <w:sz w:val="17"/>
          <w:szCs w:val="17"/>
          <w:color w:val="auto"/>
        </w:rPr>
        <w:t>Our financial instruments consist of cash and cash equivalents, short-term investments, trade accounts receivable, accounts payable, and short-term and long-term obligations, including the revolving line of credit. We consider investments in highly liquid instruments purchased with a remaining maturity of 90 days or less at the date of purchase to be cash equivalents. As of October 2, 2009, we had $80.0 million in principal amount of outstanding borrowings under our Credit Facility and we held no short-term investments. Our exposure to market risk for changes in interest rates relates primarily to borrowings under our Credit Facility, cash equivalents, short-term investments and short-term obligations. As a result, we do not expect fluctuations in interest rates to have a material impact on the fair value of these financial instruments.</w:t>
      </w:r>
    </w:p>
    <w:p>
      <w:pPr>
        <w:spacing w:after="0" w:line="70"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59"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As of October 2, 2009, we had $80.0 million in principal amount of outstanding borrowings under our Credit Facility. Our primary interest rate under the Credit Facility is the Eurodollar rate plus an applicable margin that is based on the ratio of our debt to EBITDA. As of October 2, 2009, the effective interest rate on our outstanding borrowings under the Credit Facility was 4.59%. Assuming the outstanding balance remained constant over a year, a 50 basis point increase in the interest rate would decrease interest incurred prior to effects of capitalized interest and cash flow by approximately $0.4 million. As described above, on October 22, 2009, in connection with our issuance of senior notes due 2016 and receipt of the net proceeds therefrom, we repaid all outstanding borrowings under our Credit Facility.</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and we pay some of our vendors in Euros, we are exposed to fluctuations in foreign currency exchange rates. Our objective in managing our exposure to foreign currency exchanges is to reduce earnings and cash flow volatility associated with foreign exchange rate fluctuations. Accordingly, from time to time, we may enter into foreign exchange contracts to mitigate risks associated with foreign currency denominated assets, liabilities, commitments and anticipated foreign currency transactions.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October 2, 2009, we had no foreign currency exchange contracts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management, including our Chief Executive Officer, CEO, and Chief Financial Officer, CFO, as appropriate to allow for timely decision regarding required discloures. We carried out an evaluation, with the participation of our management, including our CEO and CFO, of the effectiveness of our disclosure controls and procedures as of October 2, 2009, the end of the period covered by this Quarterly Report. Based on that evaluation, our CEO and CFO concluded that our disclosure controls and procedures were effective at the reasonable assurance level as of October 2, 2009.</w:t>
      </w:r>
    </w:p>
    <w:p>
      <w:pPr>
        <w:spacing w:after="0" w:line="81"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During the period covered by this Quarterly Report, there have been no changes in our internal control over financial reporting that have materially affected, or are reasonably likely to materially affect, our internal control over financial reporting.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factors discussed in Part I, Item 1A, “Risk Factors” in our Annual Report on Form 10-K for the fiscal year ended April 3, 2009, which could materially affect our business, financial condition, liquidity or future results. There have been no material changes to these risk factors, other than:</w:t>
      </w:r>
    </w:p>
    <w:p>
      <w:pPr>
        <w:spacing w:after="0" w:line="73" w:lineRule="exact"/>
        <w:rPr>
          <w:sz w:val="20"/>
          <w:szCs w:val="20"/>
          <w:color w:val="auto"/>
        </w:rPr>
      </w:pPr>
    </w:p>
    <w:p>
      <w:pPr>
        <w:ind w:left="220" w:right="160" w:hanging="212"/>
        <w:spacing w:after="0" w:line="277"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addition of, and changes to, the risk factors set forth below relating to our indebtedness, which have been updated to reflect the issuance of our senior notes due 2016 in October 2009; and</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addition of the risk factors set forth below relating to our pending acquisition of WildBlue.</w:t>
      </w:r>
    </w:p>
    <w:p>
      <w:pPr>
        <w:spacing w:after="0" w:line="117" w:lineRule="exact"/>
        <w:rPr>
          <w:sz w:val="20"/>
          <w:szCs w:val="20"/>
          <w:color w:val="auto"/>
        </w:rPr>
      </w:pPr>
    </w:p>
    <w:p>
      <w:pPr>
        <w:jc w:val="both"/>
        <w:ind w:right="380" w:firstLine="222"/>
        <w:spacing w:after="0" w:line="342" w:lineRule="auto"/>
        <w:rPr>
          <w:sz w:val="20"/>
          <w:szCs w:val="20"/>
          <w:color w:val="auto"/>
        </w:rPr>
      </w:pPr>
      <w:r>
        <w:rPr>
          <w:rFonts w:ascii="Arial" w:cs="Arial" w:eastAsia="Arial" w:hAnsi="Arial"/>
          <w:sz w:val="16"/>
          <w:szCs w:val="16"/>
          <w:color w:val="auto"/>
        </w:rPr>
        <w:t>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2" w:lineRule="exact"/>
        <w:rPr>
          <w:sz w:val="20"/>
          <w:szCs w:val="20"/>
          <w:color w:val="auto"/>
        </w:rPr>
      </w:pPr>
    </w:p>
    <w:p>
      <w:pPr>
        <w:ind w:right="540"/>
        <w:spacing w:after="0" w:line="313" w:lineRule="auto"/>
        <w:rPr>
          <w:sz w:val="20"/>
          <w:szCs w:val="20"/>
          <w:color w:val="auto"/>
        </w:rPr>
      </w:pPr>
      <w:r>
        <w:rPr>
          <w:rFonts w:ascii="Arial" w:cs="Arial" w:eastAsia="Arial" w:hAnsi="Arial"/>
          <w:sz w:val="17"/>
          <w:szCs w:val="17"/>
          <w:b w:val="1"/>
          <w:bCs w:val="1"/>
          <w:color w:val="auto"/>
        </w:rPr>
        <w:t xml:space="preserve">Our Level of Indebtedness May Adversely Affect Our Ability to </w:t>
      </w:r>
      <w:r>
        <w:rPr>
          <w:rFonts w:ascii="Arial" w:cs="Arial" w:eastAsia="Arial" w:hAnsi="Arial"/>
          <w:sz w:val="17"/>
          <w:szCs w:val="17"/>
          <w:color w:val="auto"/>
        </w:rPr>
        <w:t>O</w:t>
      </w:r>
      <w:r>
        <w:rPr>
          <w:rFonts w:ascii="Arial" w:cs="Arial" w:eastAsia="Arial" w:hAnsi="Arial"/>
          <w:sz w:val="17"/>
          <w:szCs w:val="17"/>
          <w:b w:val="1"/>
          <w:bCs w:val="1"/>
          <w:color w:val="auto"/>
        </w:rPr>
        <w:t xml:space="preserve">perate Our Business, Remain in Compliance with Debt Covenants, React to Changes in </w:t>
      </w:r>
      <w:r>
        <w:rPr>
          <w:rFonts w:ascii="Arial" w:cs="Arial" w:eastAsia="Arial" w:hAnsi="Arial"/>
          <w:sz w:val="17"/>
          <w:szCs w:val="17"/>
          <w:color w:val="auto"/>
        </w:rPr>
        <w:t>O</w:t>
      </w:r>
      <w:r>
        <w:rPr>
          <w:rFonts w:ascii="Arial" w:cs="Arial" w:eastAsia="Arial" w:hAnsi="Arial"/>
          <w:sz w:val="17"/>
          <w:szCs w:val="17"/>
          <w:b w:val="1"/>
          <w:bCs w:val="1"/>
          <w:color w:val="auto"/>
        </w:rPr>
        <w:t>ur Business or the Industry in which we Operate, or Prevent Us from Making Payments on Our Indebtedness</w:t>
      </w:r>
    </w:p>
    <w:p>
      <w:pPr>
        <w:spacing w:after="0" w:line="34" w:lineRule="exact"/>
        <w:rPr>
          <w:sz w:val="20"/>
          <w:szCs w:val="20"/>
          <w:color w:val="auto"/>
        </w:rPr>
      </w:pPr>
    </w:p>
    <w:p>
      <w:pPr>
        <w:jc w:val="both"/>
        <w:ind w:right="160" w:firstLine="215"/>
        <w:spacing w:after="0" w:line="264" w:lineRule="auto"/>
        <w:rPr>
          <w:sz w:val="20"/>
          <w:szCs w:val="20"/>
          <w:color w:val="auto"/>
        </w:rPr>
      </w:pPr>
      <w:r>
        <w:rPr>
          <w:rFonts w:ascii="Arial" w:cs="Arial" w:eastAsia="Arial" w:hAnsi="Arial"/>
          <w:sz w:val="18"/>
          <w:szCs w:val="18"/>
          <w:color w:val="auto"/>
        </w:rPr>
        <w:t>As of October 2, 2009, we had $80.0 million in principal amount of outstanding borrowings under our Credit Facility and $6.9 million outstanding under standby letters of credit. On October 22, 2009, we issued $275.0 million in aggregate principal amount of 8.875% senior notes due 2016, and used a portion of the net proceeds from such issuance to repay all outstanding borrowings under the Credit Facility.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level of indebtedness could have important consequences for you. For example, it could:</w:t>
      </w:r>
    </w:p>
    <w:p>
      <w:pPr>
        <w:spacing w:after="0" w:line="117"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make it more difficult for us to satisfy our debt obligations,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b w:val="1"/>
          <w:bCs w:val="1"/>
          <w:color w:val="auto"/>
        </w:rPr>
      </w:pPr>
    </w:p>
    <w:p>
      <w:pPr>
        <w:ind w:left="220" w:right="560" w:hanging="212"/>
        <w:spacing w:after="0" w:line="277" w:lineRule="auto"/>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75" w:lineRule="exact"/>
        <w:rPr>
          <w:rFonts w:ascii="Arial" w:cs="Arial" w:eastAsia="Arial" w:hAnsi="Arial"/>
          <w:sz w:val="18"/>
          <w:szCs w:val="18"/>
          <w:b w:val="1"/>
          <w:bCs w:val="1"/>
          <w:color w:val="auto"/>
        </w:rPr>
      </w:pPr>
    </w:p>
    <w:p>
      <w:pPr>
        <w:jc w:val="both"/>
        <w:ind w:left="220" w:right="160" w:hanging="212"/>
        <w:spacing w:after="0" w:line="264" w:lineRule="auto"/>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86"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place us at a disadvantage compared to our competitors that have less indebtedness,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limit our ability to adjust to changing market conditions.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500" w:firstLine="215"/>
        <w:spacing w:after="0" w:line="277"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We May Incur Additional </w:t>
      </w:r>
      <w:r>
        <w:rPr>
          <w:rFonts w:ascii="Arial" w:cs="Arial" w:eastAsia="Arial" w:hAnsi="Arial"/>
          <w:sz w:val="18"/>
          <w:szCs w:val="18"/>
          <w:color w:val="auto"/>
        </w:rPr>
        <w:t>I</w:t>
      </w:r>
      <w:r>
        <w:rPr>
          <w:rFonts w:ascii="Arial" w:cs="Arial" w:eastAsia="Arial" w:hAnsi="Arial"/>
          <w:sz w:val="18"/>
          <w:szCs w:val="18"/>
          <w:b w:val="1"/>
          <w:bCs w:val="1"/>
          <w:color w:val="auto"/>
        </w:rPr>
        <w:t>ndebtedness, which Could Further Increase the Risks Associated with Our Leverage</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may incur additional indebtedness in the future, which may include additional secured or unsecured indebtedness to finance the payment of some or all of the balance of the cash consideration for the WildBlue acquisition or for general corporate purposes, which may include financing relating to ViaSat-1, other potential acquisitions, working capital or capital expenditures.</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April 2007, we filed an additional universal shelf registration statement with the SEC for the future sale of up to an additional $200.0 million of debt securities, common stock, preferred stock, depositary shares and warrants, bringing the aggregate available under our universal shelf registration statements to up to $400.0 million. The securities may be offered from time to time, separately or together, directly by us or through underwriters at amounts, prices, interest rates and other terms to be determined at the time of the offering.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new indebtedness is added to our current level of indebtedness, the related risks that we now face could intensify.</w:t>
      </w:r>
    </w:p>
    <w:p>
      <w:pPr>
        <w:spacing w:after="0" w:line="113"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34"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Our ability to make scheduled payments on our indebtedness will depend upon our future operating performance and on our ability to generate cash flow in the future, which is subject to general economic, financial, business, competitive, legislative, regulatory and other factors that are beyond our control. We cannot assure you that our business will generate sufficient cash flow from operations, or that future borrowings, including borrowings under our Credit Facility, will be available to us in an amount sufficient to enable us to pay our indebtedness or to fund our other liquidity needs.</w:t>
      </w:r>
    </w:p>
    <w:p>
      <w:pPr>
        <w:spacing w:after="0" w:line="63"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could be forced to reduce or delay investment and capital expenditures or to dispose of material assets or operations, seek additional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Facility and the indenture governing our senior notes restrict our ability to dispose of assets and use the proceeds from the disposition.</w:t>
      </w:r>
    </w:p>
    <w:p>
      <w:pPr>
        <w:spacing w:after="0" w:line="64"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If we cannot make scheduled payments on our debt, we will be in default and, as a result, the holders of our senior notes due 2016 and the lenders under our Credit Facility could declare all outstanding principal and interest to be due and payable, the lenders under our Credit Facility could terminate their commitments to loan money and foreclose against the assets securing the borrowings under the Credit Facility, and we could be forced into bankruptcy or liquidation.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Refinance Our Indebtedness</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may need to refinance all or a portion of our indebtedness before maturity, including indebtedness under the indenture governing our senior notes due 2016 and any indebtedness under our Credit Facility. There can be no assurance that we will be able to obtain sufficient funds to enable us to repay or refinance our debt obligations on commercially reasonable terms, or at all.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Covenants in Our Debt Agreements Restrict Our Business and Could Limit Our Ability to </w:t>
      </w:r>
      <w:r>
        <w:rPr>
          <w:rFonts w:ascii="Arial" w:cs="Arial" w:eastAsia="Arial" w:hAnsi="Arial"/>
          <w:sz w:val="18"/>
          <w:szCs w:val="18"/>
          <w:color w:val="auto"/>
        </w:rPr>
        <w:t>I</w:t>
      </w:r>
      <w:r>
        <w:rPr>
          <w:rFonts w:ascii="Arial" w:cs="Arial" w:eastAsia="Arial" w:hAnsi="Arial"/>
          <w:sz w:val="18"/>
          <w:szCs w:val="18"/>
          <w:b w:val="1"/>
          <w:bCs w:val="1"/>
          <w:color w:val="auto"/>
        </w:rPr>
        <w:t>mplement Our Business Plan</w:t>
      </w:r>
    </w:p>
    <w:p>
      <w:pPr>
        <w:spacing w:after="0" w:line="121"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Credit Facility and the indenture governing our senior notes due 2016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our Credit Facility, our ability to borrow under our Credit Facility may be restricted. The Credit Facility and the indenture governing our senior notes due 2016 include covenants restricting, among other things, our ability to do the following:</w:t>
      </w:r>
    </w:p>
    <w:p>
      <w:pPr>
        <w:spacing w:after="0" w:line="80"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incur, assume or guarantee additional indebtedness,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issue redeemable stock and preferred stock,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grant or incur liens,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sell or otherwise dispose of assets, including capital stock of subsidiaries,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make loans and investments,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pay dividends, make distributions or redeem or repurchase capital stock,</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reduce our satellite insurance,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consolidate or merge with or into, or sell substantially all of our assets to, another person.</w:t>
      </w:r>
    </w:p>
    <w:p>
      <w:pPr>
        <w:spacing w:after="0" w:line="117"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The covenants in our Credit Facility are generally more restrictive than the indenture governing our senior notes due 2016. In addition, our Credit Facility requires us to comply with certain financial covenants, including a maximum senior secured leverage ratio, a maximum leverage ratio and minimum interest coverage ratio.</w:t>
      </w:r>
    </w:p>
    <w:p>
      <w:pPr>
        <w:spacing w:after="0" w:line="7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If we default under our Credit Facility or the indenture governing our senior notes due 2016 because of a covenant breach or otherwise, all outstanding amounts thereunder could become immediately due and payable. In the past we have violated our Credit Facility covenants and received waivers for these violations. We cannot assure you that we will be able to comply with our financial or other covenants under our Credit Facility or the indenture governing our senior notes due 2016 or that any covenant violations will be waived in the future. Any violation that is not waived could result in an event of default, permitting our lenders to declare outstanding indebtedness and interest thereon due and payable, and permitting the lenders under our Credit Facility to suspend commitments to make any advance or to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Facility or the indenture governing our senior notes due 2016, we may need additional financing in order to service or extinguish our indebtedness. We may not be able to obtain financing or refinancing on terms acceptable to us, if at all. We cannot assure you that we would have sufficient funds to repay all the outstanding amounts under our Credit Facility or the indenture governing our senior notes due 2016, and any acceleration of amounts due would have a material adverse effect on our liquidity and financial condition.</w:t>
      </w:r>
    </w:p>
    <w:p>
      <w:pPr>
        <w:spacing w:after="0" w:line="7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We May Experience Difficulties in Integrating WildBlue’s Business and the Anticipated </w:t>
      </w:r>
      <w:r>
        <w:rPr>
          <w:rFonts w:ascii="Arial" w:cs="Arial" w:eastAsia="Arial" w:hAnsi="Arial"/>
          <w:sz w:val="18"/>
          <w:szCs w:val="18"/>
          <w:color w:val="auto"/>
        </w:rPr>
        <w:t>B</w:t>
      </w:r>
      <w:r>
        <w:rPr>
          <w:rFonts w:ascii="Arial" w:cs="Arial" w:eastAsia="Arial" w:hAnsi="Arial"/>
          <w:sz w:val="18"/>
          <w:szCs w:val="18"/>
          <w:b w:val="1"/>
          <w:bCs w:val="1"/>
          <w:color w:val="auto"/>
        </w:rPr>
        <w:t xml:space="preserve">enefits of the WildBlue Acquisition May Not Be Realized Fully (or at All) and May </w:t>
      </w:r>
      <w:r>
        <w:rPr>
          <w:rFonts w:ascii="Arial" w:cs="Arial" w:eastAsia="Arial" w:hAnsi="Arial"/>
          <w:sz w:val="18"/>
          <w:szCs w:val="18"/>
          <w:color w:val="auto"/>
        </w:rPr>
        <w:t>T</w:t>
      </w:r>
      <w:r>
        <w:rPr>
          <w:rFonts w:ascii="Arial" w:cs="Arial" w:eastAsia="Arial" w:hAnsi="Arial"/>
          <w:sz w:val="18"/>
          <w:szCs w:val="18"/>
          <w:b w:val="1"/>
          <w:bCs w:val="1"/>
          <w:color w:val="auto"/>
        </w:rPr>
        <w:t>ake Longer to Realize than Expected</w:t>
      </w:r>
    </w:p>
    <w:p>
      <w:pPr>
        <w:spacing w:after="0" w:line="58"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If our pending acquisition of WildBlue is consummated, our future performance will depend in part on whether we can successfully integrate the WildBlue business with our satellite services segment in an effective and efficient manner. Integrating our satellite services segment with the WildBlue business will be a complex, time-consuming and expensive process and involve a number of risks, including:</w:t>
      </w:r>
    </w:p>
    <w:p>
      <w:pPr>
        <w:spacing w:after="0" w:line="7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diversion of management’s attention from the management of our daily operations to the integration of the WildBlue business,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additional demands on management related to the increase in the size and scope of our company following the acquisition,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difficulties in combining corporate cultures,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difficulties in the assimilation and retention of key employees,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difficulties in maintaining relationships with present and potential customers, distributors and suppliers of the WildBlue business,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difficulties in converting the WildBlue business’ current business information systems to our systems,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challenges in achieving strategic objectives, cost savings, operational efficiencies, synergies and other benefits expected from the WildBlue acquisition,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right="60" w:hanging="212"/>
        <w:spacing w:after="0" w:line="308" w:lineRule="auto"/>
        <w:tabs>
          <w:tab w:leader="none" w:pos="22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difficulties in the integration, assimilation, implementation or modification of platforms, systems, functions, technologies and infrastructure to support the combined business, as well as maintaining uniform standards, controls (including internal accounting controls), procedures and policies, and</w:t>
      </w:r>
    </w:p>
    <w:p>
      <w:pPr>
        <w:spacing w:after="0" w:line="51" w:lineRule="exact"/>
        <w:rPr>
          <w:rFonts w:ascii="Arial" w:cs="Arial" w:eastAsia="Arial" w:hAnsi="Arial"/>
          <w:sz w:val="17"/>
          <w:szCs w:val="17"/>
          <w:b w:val="1"/>
          <w:bCs w:val="1"/>
          <w:color w:val="auto"/>
        </w:rPr>
      </w:pPr>
    </w:p>
    <w:p>
      <w:pPr>
        <w:ind w:left="220" w:hanging="212"/>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costs and expenses associated with any undisclosed or potential liabilities of the WildBlue business.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Delays or unexpected difficulties or additional costs in the integration process could have a material adverse effect on our business, financial condition and results of operations. Even if we are able to integrate the WildBlue business successfully, this integration may not result in the realization of the full benefits of synergies, cost savings, revenue enhancements, growth, operational efficiencies and other benefits that we expect. We cannot assure you that we will successfully integrate the WildBlue business with our business or achieve the desired benefits from the WildBlue acquisition within a reasonable period of time or at all.</w:t>
      </w:r>
    </w:p>
    <w:p>
      <w:pPr>
        <w:spacing w:after="0" w:line="76"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The WildBlue Business Is Subject to its Own Risks, Which We May Not Be Able to Manage </w:t>
      </w:r>
      <w:r>
        <w:rPr>
          <w:rFonts w:ascii="Arial" w:cs="Arial" w:eastAsia="Arial" w:hAnsi="Arial"/>
          <w:sz w:val="18"/>
          <w:szCs w:val="18"/>
          <w:color w:val="auto"/>
        </w:rPr>
        <w:t>S</w:t>
      </w:r>
      <w:r>
        <w:rPr>
          <w:rFonts w:ascii="Arial" w:cs="Arial" w:eastAsia="Arial" w:hAnsi="Arial"/>
          <w:sz w:val="18"/>
          <w:szCs w:val="18"/>
          <w:b w:val="1"/>
          <w:bCs w:val="1"/>
          <w:color w:val="auto"/>
        </w:rPr>
        <w:t>uccessfully. There May Be Additional Risks Resulting from the WildBlue Acquisition that Are Not Presently Known to Us and We Generally Have No Right to Indemnification under the Agreement and Plan of Merger for the Acquisition</w:t>
      </w:r>
    </w:p>
    <w:p>
      <w:pPr>
        <w:spacing w:after="0" w:line="72"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results of operations of the WildBlue business are subject to many of the same risks that affect our business, financial condition and results of operation, as well as additional risks relating to the ownership of its in-orbit satellite, WildBlue-1, and its lease of capacity on Telesat’s Anik F2 satellite. Risks relating to the WildBlue business include:</w:t>
      </w:r>
    </w:p>
    <w:p>
      <w:pPr>
        <w:spacing w:after="0" w:line="73"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rapid technological and industry changes making its service obsolete or outdated,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inherent limitations in its satellite technology,</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demand and pricing pressure on its products and services,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satellite failures, anomalies, malfunctions or degradation in satellite performance,</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limited useful lives of, and the expense related to replacing, its existing satellites,</w:t>
      </w:r>
    </w:p>
    <w:p>
      <w:pPr>
        <w:spacing w:after="0" w:line="130" w:lineRule="exact"/>
        <w:rPr>
          <w:rFonts w:ascii="Arial" w:cs="Arial" w:eastAsia="Arial" w:hAnsi="Arial"/>
          <w:sz w:val="18"/>
          <w:szCs w:val="18"/>
          <w:b w:val="1"/>
          <w:bCs w:val="1"/>
          <w:color w:val="auto"/>
        </w:rPr>
      </w:pPr>
    </w:p>
    <w:p>
      <w:pPr>
        <w:jc w:val="both"/>
        <w:ind w:left="220" w:right="180" w:hanging="212"/>
        <w:spacing w:after="0" w:line="264" w:lineRule="auto"/>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WildBlue’s reliance on orbital licenses issued by the International Telecommunication Union (the ITU), some of which are held by third parties, and the FCC, and on frequency coordination and orbital co-location agreements in support of both WildBlue-1 and Anik F2, which may be terminated in certain circumstances, and</w:t>
      </w:r>
    </w:p>
    <w:p>
      <w:pPr>
        <w:spacing w:after="0" w:line="86"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WildBlue’s reliance on third party suppliers, distributors and customer support vendors.</w:t>
      </w:r>
    </w:p>
    <w:p>
      <w:pPr>
        <w:spacing w:after="0" w:line="117"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Any of the above risks could have a material adverse affect on WildBlue’s business, financial condition and results of operation. There may be additional risks relating to the WildBlue business that are not presently known to us. Any discovery of adverse information concerning the WildBlue business after the closing of the acquisition, if consummated, could be material. The representations and warranties in the Agreement and Plan of Merger do not survive the closing of the WildBlue acquisition, and we generally have no right to indemnification with respect to any losses that we may incur resulting from the WildBlue acquisition or the prior operations of the WildBlue business. Accordingly, a material loss associated with the WildBlue acquisition could have a material adverse affect on our business, financial condition, results of operation or reputation, and materially reduce the anticipated benefits of the WildBlue acquisition.</w:t>
      </w:r>
    </w:p>
    <w:p>
      <w:pPr>
        <w:spacing w:after="0" w:line="77"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Uncertainty Regarding the WildBlue Acquisition May Cause Actual or Potential </w:t>
      </w:r>
      <w:r>
        <w:rPr>
          <w:rFonts w:ascii="Arial" w:cs="Arial" w:eastAsia="Arial" w:hAnsi="Arial"/>
          <w:sz w:val="18"/>
          <w:szCs w:val="18"/>
          <w:color w:val="auto"/>
        </w:rPr>
        <w:t>C</w:t>
      </w:r>
      <w:r>
        <w:rPr>
          <w:rFonts w:ascii="Arial" w:cs="Arial" w:eastAsia="Arial" w:hAnsi="Arial"/>
          <w:sz w:val="18"/>
          <w:szCs w:val="18"/>
          <w:b w:val="1"/>
          <w:bCs w:val="1"/>
          <w:color w:val="auto"/>
        </w:rPr>
        <w:t xml:space="preserve">ustomers, Suppliers, Distributors, Resellers and Others to Delay or Defer Decisions </w:t>
      </w:r>
      <w:r>
        <w:rPr>
          <w:rFonts w:ascii="Arial" w:cs="Arial" w:eastAsia="Arial" w:hAnsi="Arial"/>
          <w:sz w:val="18"/>
          <w:szCs w:val="18"/>
          <w:color w:val="auto"/>
        </w:rPr>
        <w:t>C</w:t>
      </w:r>
      <w:r>
        <w:rPr>
          <w:rFonts w:ascii="Arial" w:cs="Arial" w:eastAsia="Arial" w:hAnsi="Arial"/>
          <w:sz w:val="18"/>
          <w:szCs w:val="18"/>
          <w:b w:val="1"/>
          <w:bCs w:val="1"/>
          <w:color w:val="auto"/>
        </w:rPr>
        <w:t>oncerning WildBlue or Us, Which May Have a Material Adverse Effect on Our or WildBlue’s Business, Financial Condition or Results of Operation</w:t>
      </w:r>
    </w:p>
    <w:p>
      <w:pPr>
        <w:spacing w:after="0" w:line="72"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response to the announcement or completion of the WildBlue acquisition, actual or potential customers, suppliers, distributors, resellers and others may delay or defer purchasing, supply or distribution decisions or otherwise alter existing relationships with us or WildBlue. Prospective customers could be reluctant to purchase our and WildBlue’s products and services due to uncertainty about the direction of the combined company’s products and services and willingness to support and service existing products and services. In addition, customers, suppliers, distributors, resellers and others may seek to change existing agreements with us or WildBlue as a result of the WildBlue acquisition. These and other actions by customers, suppliers, distributors, resellers or others could negatively affect the business of the combined company.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WildBlue Business Has a History of Losses and May Continue to Experience Losses in the Future.</w:t>
      </w:r>
    </w:p>
    <w:p>
      <w:pPr>
        <w:spacing w:after="0" w:line="121" w:lineRule="exact"/>
        <w:rPr>
          <w:sz w:val="20"/>
          <w:szCs w:val="20"/>
          <w:color w:val="auto"/>
        </w:rPr>
      </w:pPr>
    </w:p>
    <w:p>
      <w:pPr>
        <w:ind w:right="360" w:firstLine="222"/>
        <w:spacing w:after="0" w:line="276" w:lineRule="auto"/>
        <w:rPr>
          <w:sz w:val="20"/>
          <w:szCs w:val="20"/>
          <w:color w:val="auto"/>
        </w:rPr>
      </w:pPr>
      <w:r>
        <w:rPr>
          <w:rFonts w:ascii="Arial" w:cs="Arial" w:eastAsia="Arial" w:hAnsi="Arial"/>
          <w:sz w:val="17"/>
          <w:szCs w:val="17"/>
          <w:color w:val="auto"/>
        </w:rPr>
        <w:t>WildBlue experienced net losses of $15.8 million for the six months ended June 30, 2009 and $80.6 million, $126.9 million and $115.5 million for the years ended December 31, 2008, 2007 and 2006, respectively. If our pending acquisition of WildBlue is consummated, we cannot assure you that the WildBlue business will generate net income in the future on a consistent basis or at all. We cannot estimate with any certainty whether demand for our broadband satellite services will be sufficient for us to maintain or increase the number of WildBlue subscribers. If the WildBlue business fails to achieve profitability, that failure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580" w:firstLine="215"/>
        <w:spacing w:after="0" w:line="277" w:lineRule="auto"/>
        <w:rPr>
          <w:sz w:val="20"/>
          <w:szCs w:val="20"/>
          <w:color w:val="auto"/>
        </w:rPr>
      </w:pPr>
      <w:r>
        <w:rPr>
          <w:rFonts w:ascii="Arial" w:cs="Arial" w:eastAsia="Arial" w:hAnsi="Arial"/>
          <w:sz w:val="18"/>
          <w:szCs w:val="18"/>
          <w:color w:val="auto"/>
        </w:rPr>
        <w:t>At our 2009 annual meeting of stockholders held on October 1, 2009 the stockholders voted on the following three proposals and cast their votes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Proposal 1: To elect Robert W. Johnson and John P. Stenbit to serve as Class I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Nominee</w:t>
            </w:r>
          </w:p>
        </w:tc>
        <w:tc>
          <w:tcPr>
            <w:tcW w:w="5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00" w:type="dxa"/>
            <w:vAlign w:val="bottom"/>
          </w:tcPr>
          <w:p>
            <w:pPr>
              <w:spacing w:after="0"/>
              <w:rPr>
                <w:sz w:val="14"/>
                <w:szCs w:val="14"/>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Withheld</w:t>
            </w:r>
          </w:p>
        </w:tc>
      </w:tr>
      <w:tr>
        <w:trPr>
          <w:trHeight w:val="195"/>
        </w:trPr>
        <w:tc>
          <w:tcPr>
            <w:tcW w:w="7740" w:type="dxa"/>
            <w:vAlign w:val="bottom"/>
          </w:tcPr>
          <w:p>
            <w:pPr>
              <w:spacing w:after="0" w:line="195" w:lineRule="exact"/>
              <w:rPr>
                <w:sz w:val="20"/>
                <w:szCs w:val="20"/>
                <w:color w:val="auto"/>
              </w:rPr>
            </w:pPr>
            <w:r>
              <w:rPr>
                <w:rFonts w:ascii="Arial" w:cs="Arial" w:eastAsia="Arial" w:hAnsi="Arial"/>
                <w:sz w:val="18"/>
                <w:szCs w:val="18"/>
                <w:color w:val="auto"/>
              </w:rPr>
              <w:t>Robert W. Johnson</w:t>
            </w:r>
          </w:p>
        </w:tc>
        <w:tc>
          <w:tcPr>
            <w:tcW w:w="520" w:type="dxa"/>
            <w:vAlign w:val="bottom"/>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88"/>
              </w:rPr>
              <w:t>26,877,722</w:t>
            </w:r>
          </w:p>
        </w:tc>
        <w:tc>
          <w:tcPr>
            <w:tcW w:w="500" w:type="dxa"/>
            <w:vAlign w:val="bottom"/>
          </w:tcPr>
          <w:p>
            <w:pPr>
              <w:spacing w:after="0"/>
              <w:rPr>
                <w:sz w:val="16"/>
                <w:szCs w:val="16"/>
                <w:color w:val="auto"/>
              </w:rPr>
            </w:pPr>
          </w:p>
        </w:tc>
        <w:tc>
          <w:tcPr>
            <w:tcW w:w="1220" w:type="dxa"/>
            <w:vAlign w:val="bottom"/>
          </w:tcPr>
          <w:p>
            <w:pPr>
              <w:ind w:left="320"/>
              <w:spacing w:after="0" w:line="195" w:lineRule="exact"/>
              <w:rPr>
                <w:sz w:val="20"/>
                <w:szCs w:val="20"/>
                <w:color w:val="auto"/>
              </w:rPr>
            </w:pPr>
            <w:r>
              <w:rPr>
                <w:rFonts w:ascii="Arial" w:cs="Arial" w:eastAsia="Arial" w:hAnsi="Arial"/>
                <w:sz w:val="18"/>
                <w:szCs w:val="18"/>
                <w:color w:val="auto"/>
              </w:rPr>
              <w:t>902,714</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John P. Stenbit</w:t>
            </w:r>
          </w:p>
        </w:tc>
        <w:tc>
          <w:tcPr>
            <w:tcW w:w="1960" w:type="dxa"/>
            <w:vAlign w:val="bottom"/>
            <w:gridSpan w:val="2"/>
          </w:tcPr>
          <w:p>
            <w:pPr>
              <w:jc w:val="center"/>
              <w:ind w:left="430"/>
              <w:spacing w:after="0"/>
              <w:rPr>
                <w:sz w:val="20"/>
                <w:szCs w:val="20"/>
                <w:color w:val="auto"/>
              </w:rPr>
            </w:pPr>
            <w:r>
              <w:rPr>
                <w:rFonts w:ascii="Arial" w:cs="Arial" w:eastAsia="Arial" w:hAnsi="Arial"/>
                <w:sz w:val="18"/>
                <w:szCs w:val="18"/>
                <w:color w:val="auto"/>
                <w:w w:val="88"/>
              </w:rPr>
              <w:t>26,900,096</w:t>
            </w: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880,340</w:t>
            </w: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Proposal 2: To ratify the appointment of PricewaterhouseCoopers LLP as our independent registered public accounting firm for the fiscal year ending April 2,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58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Voted</w:t>
            </w:r>
          </w:p>
        </w:tc>
      </w:tr>
      <w:tr>
        <w:trPr>
          <w:trHeight w:val="224"/>
        </w:trPr>
        <w:tc>
          <w:tcPr>
            <w:tcW w:w="2420" w:type="dxa"/>
            <w:vAlign w:val="bottom"/>
          </w:tcPr>
          <w:p>
            <w:pPr>
              <w:jc w:val="right"/>
              <w:ind w:right="719"/>
              <w:spacing w:after="0"/>
              <w:rPr>
                <w:sz w:val="20"/>
                <w:szCs w:val="20"/>
                <w:color w:val="auto"/>
              </w:rPr>
            </w:pPr>
            <w:r>
              <w:rPr>
                <w:rFonts w:ascii="Arial" w:cs="Arial" w:eastAsia="Arial" w:hAnsi="Arial"/>
                <w:sz w:val="18"/>
                <w:szCs w:val="18"/>
                <w:color w:val="auto"/>
              </w:rPr>
              <w:t>27,627,058</w:t>
            </w:r>
          </w:p>
        </w:tc>
        <w:tc>
          <w:tcPr>
            <w:tcW w:w="580" w:type="dxa"/>
            <w:vAlign w:val="bottom"/>
          </w:tcPr>
          <w:p>
            <w:pPr>
              <w:spacing w:after="0"/>
              <w:rPr>
                <w:sz w:val="19"/>
                <w:szCs w:val="19"/>
                <w:color w:val="auto"/>
              </w:rPr>
            </w:pPr>
          </w:p>
        </w:tc>
        <w:tc>
          <w:tcPr>
            <w:tcW w:w="2420" w:type="dxa"/>
            <w:vAlign w:val="bottom"/>
          </w:tcPr>
          <w:p>
            <w:pPr>
              <w:jc w:val="right"/>
              <w:ind w:right="839"/>
              <w:spacing w:after="0"/>
              <w:rPr>
                <w:sz w:val="20"/>
                <w:szCs w:val="20"/>
                <w:color w:val="auto"/>
              </w:rPr>
            </w:pPr>
            <w:r>
              <w:rPr>
                <w:rFonts w:ascii="Arial" w:cs="Arial" w:eastAsia="Arial" w:hAnsi="Arial"/>
                <w:sz w:val="18"/>
                <w:szCs w:val="18"/>
                <w:color w:val="auto"/>
              </w:rPr>
              <w:t>140,868</w:t>
            </w:r>
          </w:p>
        </w:tc>
        <w:tc>
          <w:tcPr>
            <w:tcW w:w="560" w:type="dxa"/>
            <w:vAlign w:val="bottom"/>
          </w:tcPr>
          <w:p>
            <w:pPr>
              <w:spacing w:after="0"/>
              <w:rPr>
                <w:sz w:val="19"/>
                <w:szCs w:val="19"/>
                <w:color w:val="auto"/>
              </w:rPr>
            </w:pPr>
          </w:p>
        </w:tc>
        <w:tc>
          <w:tcPr>
            <w:tcW w:w="2420" w:type="dxa"/>
            <w:vAlign w:val="bottom"/>
          </w:tcPr>
          <w:p>
            <w:pPr>
              <w:jc w:val="right"/>
              <w:ind w:right="879"/>
              <w:spacing w:after="0"/>
              <w:rPr>
                <w:sz w:val="20"/>
                <w:szCs w:val="20"/>
                <w:color w:val="auto"/>
              </w:rPr>
            </w:pPr>
            <w:r>
              <w:rPr>
                <w:rFonts w:ascii="Arial" w:cs="Arial" w:eastAsia="Arial" w:hAnsi="Arial"/>
                <w:sz w:val="18"/>
                <w:szCs w:val="18"/>
                <w:color w:val="auto"/>
              </w:rPr>
              <w:t>12,510</w:t>
            </w:r>
          </w:p>
        </w:tc>
        <w:tc>
          <w:tcPr>
            <w:tcW w:w="580" w:type="dxa"/>
            <w:vAlign w:val="bottom"/>
          </w:tcPr>
          <w:p>
            <w:pPr>
              <w:spacing w:after="0"/>
              <w:rPr>
                <w:sz w:val="19"/>
                <w:szCs w:val="19"/>
                <w:color w:val="auto"/>
              </w:rPr>
            </w:pPr>
          </w:p>
        </w:tc>
        <w:tc>
          <w:tcPr>
            <w:tcW w:w="2440" w:type="dxa"/>
            <w:vAlign w:val="bottom"/>
          </w:tcPr>
          <w:p>
            <w:pPr>
              <w:jc w:val="right"/>
              <w:ind w:right="1099"/>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Proposal 3: To approve an amendment to the Employee Stock Purchase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58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Voted</w:t>
            </w:r>
          </w:p>
        </w:tc>
      </w:tr>
      <w:tr>
        <w:trPr>
          <w:trHeight w:val="224"/>
        </w:trPr>
        <w:tc>
          <w:tcPr>
            <w:tcW w:w="2420" w:type="dxa"/>
            <w:vAlign w:val="bottom"/>
          </w:tcPr>
          <w:p>
            <w:pPr>
              <w:jc w:val="right"/>
              <w:ind w:right="719"/>
              <w:spacing w:after="0"/>
              <w:rPr>
                <w:sz w:val="20"/>
                <w:szCs w:val="20"/>
                <w:color w:val="auto"/>
              </w:rPr>
            </w:pPr>
            <w:r>
              <w:rPr>
                <w:rFonts w:ascii="Arial" w:cs="Arial" w:eastAsia="Arial" w:hAnsi="Arial"/>
                <w:sz w:val="18"/>
                <w:szCs w:val="18"/>
                <w:color w:val="auto"/>
              </w:rPr>
              <w:t>17,781,701</w:t>
            </w:r>
          </w:p>
        </w:tc>
        <w:tc>
          <w:tcPr>
            <w:tcW w:w="580" w:type="dxa"/>
            <w:vAlign w:val="bottom"/>
          </w:tcPr>
          <w:p>
            <w:pPr>
              <w:spacing w:after="0"/>
              <w:rPr>
                <w:sz w:val="19"/>
                <w:szCs w:val="19"/>
                <w:color w:val="auto"/>
              </w:rPr>
            </w:pPr>
          </w:p>
        </w:tc>
        <w:tc>
          <w:tcPr>
            <w:tcW w:w="2420" w:type="dxa"/>
            <w:vAlign w:val="bottom"/>
          </w:tcPr>
          <w:p>
            <w:pPr>
              <w:jc w:val="right"/>
              <w:ind w:right="779"/>
              <w:spacing w:after="0"/>
              <w:rPr>
                <w:sz w:val="20"/>
                <w:szCs w:val="20"/>
                <w:color w:val="auto"/>
              </w:rPr>
            </w:pPr>
            <w:r>
              <w:rPr>
                <w:rFonts w:ascii="Arial" w:cs="Arial" w:eastAsia="Arial" w:hAnsi="Arial"/>
                <w:sz w:val="18"/>
                <w:szCs w:val="18"/>
                <w:color w:val="auto"/>
              </w:rPr>
              <w:t>4,514,024</w:t>
            </w:r>
          </w:p>
        </w:tc>
        <w:tc>
          <w:tcPr>
            <w:tcW w:w="560" w:type="dxa"/>
            <w:vAlign w:val="bottom"/>
          </w:tcPr>
          <w:p>
            <w:pPr>
              <w:spacing w:after="0"/>
              <w:rPr>
                <w:sz w:val="19"/>
                <w:szCs w:val="19"/>
                <w:color w:val="auto"/>
              </w:rPr>
            </w:pPr>
          </w:p>
        </w:tc>
        <w:tc>
          <w:tcPr>
            <w:tcW w:w="2420" w:type="dxa"/>
            <w:vAlign w:val="bottom"/>
          </w:tcPr>
          <w:p>
            <w:pPr>
              <w:jc w:val="right"/>
              <w:ind w:right="879"/>
              <w:spacing w:after="0"/>
              <w:rPr>
                <w:sz w:val="20"/>
                <w:szCs w:val="20"/>
                <w:color w:val="auto"/>
              </w:rPr>
            </w:pPr>
            <w:r>
              <w:rPr>
                <w:rFonts w:ascii="Arial" w:cs="Arial" w:eastAsia="Arial" w:hAnsi="Arial"/>
                <w:sz w:val="18"/>
                <w:szCs w:val="18"/>
                <w:color w:val="auto"/>
              </w:rPr>
              <w:t>80,741</w:t>
            </w:r>
          </w:p>
        </w:tc>
        <w:tc>
          <w:tcPr>
            <w:tcW w:w="580" w:type="dxa"/>
            <w:vAlign w:val="bottom"/>
          </w:tcPr>
          <w:p>
            <w:pPr>
              <w:spacing w:after="0"/>
              <w:rPr>
                <w:sz w:val="19"/>
                <w:szCs w:val="19"/>
                <w:color w:val="auto"/>
              </w:rPr>
            </w:pPr>
          </w:p>
        </w:tc>
        <w:tc>
          <w:tcPr>
            <w:tcW w:w="2440" w:type="dxa"/>
            <w:vAlign w:val="bottom"/>
          </w:tcPr>
          <w:p>
            <w:pPr>
              <w:jc w:val="right"/>
              <w:ind w:right="779"/>
              <w:spacing w:after="0"/>
              <w:rPr>
                <w:sz w:val="20"/>
                <w:szCs w:val="20"/>
                <w:color w:val="auto"/>
              </w:rPr>
            </w:pPr>
            <w:r>
              <w:rPr>
                <w:rFonts w:ascii="Arial" w:cs="Arial" w:eastAsia="Arial" w:hAnsi="Arial"/>
                <w:sz w:val="18"/>
                <w:szCs w:val="18"/>
                <w:color w:val="auto"/>
              </w:rPr>
              <w:t>5,313,970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47 is incorporated herein by reference as the list of exhibits required as part of this Quarterly Report.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November 10, 2009</w:t>
      </w:r>
      <w:r>
        <w:rPr>
          <w:sz w:val="20"/>
          <w:szCs w:val="20"/>
          <w:color w:val="auto"/>
        </w:rPr>
        <w:tab/>
      </w:r>
      <w:r>
        <w:rPr>
          <w:rFonts w:ascii="Arial" w:cs="Arial" w:eastAsia="Arial" w:hAnsi="Arial"/>
          <w:sz w:val="17"/>
          <w:szCs w:val="17"/>
          <w:color w:val="auto"/>
        </w:rPr>
        <w:t>VIASAT,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60" w:type="dxa"/>
            <w:vAlign w:val="bottom"/>
            <w:gridSpan w:val="2"/>
          </w:tcPr>
          <w:p>
            <w:pPr>
              <w:jc w:val="center"/>
              <w:ind w:left="3879"/>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760" w:type="dxa"/>
            <w:vAlign w:val="bottom"/>
          </w:tcPr>
          <w:p>
            <w:pPr>
              <w:jc w:val="right"/>
              <w:ind w:right="73"/>
              <w:spacing w:after="0"/>
              <w:rPr>
                <w:sz w:val="20"/>
                <w:szCs w:val="20"/>
                <w:color w:val="auto"/>
              </w:rPr>
            </w:pPr>
            <w:r>
              <w:rPr>
                <w:rFonts w:ascii="Arial" w:cs="Arial" w:eastAsia="Arial" w:hAnsi="Arial"/>
                <w:sz w:val="14"/>
                <w:szCs w:val="14"/>
                <w:b w:val="1"/>
                <w:bCs w:val="1"/>
                <w:color w:val="auto"/>
              </w:rPr>
              <w:t>Exhibit</w:t>
            </w:r>
          </w:p>
        </w:tc>
        <w:tc>
          <w:tcPr>
            <w:tcW w:w="300" w:type="dxa"/>
            <w:vAlign w:val="bottom"/>
            <w:vMerge w:val="restart"/>
          </w:tcPr>
          <w:p>
            <w:pPr>
              <w:spacing w:after="0"/>
              <w:rPr>
                <w:sz w:val="24"/>
                <w:szCs w:val="24"/>
                <w:color w:val="auto"/>
              </w:rPr>
            </w:pPr>
          </w:p>
        </w:tc>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Number</w:t>
            </w:r>
          </w:p>
        </w:tc>
        <w:tc>
          <w:tcPr>
            <w:tcW w:w="300" w:type="dxa"/>
            <w:vAlign w:val="bottom"/>
            <w:vMerge w:val="continue"/>
          </w:tcPr>
          <w:p>
            <w:pPr>
              <w:spacing w:after="0"/>
              <w:rPr>
                <w:sz w:val="14"/>
                <w:szCs w:val="14"/>
                <w:color w:val="auto"/>
              </w:rPr>
            </w:pPr>
          </w:p>
        </w:tc>
        <w:tc>
          <w:tcPr>
            <w:tcW w:w="532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2"/>
              </w:rPr>
              <w:t>Agreement and Plan of Merger, dated as of September 30, 2009, by and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4"/>
              </w:rPr>
              <w:t>among ViaSat, Inc., WildBlue Holding, Inc. and Aloha Merger Sub, Inc.</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4.1</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8"/>
              </w:rPr>
              <w:t>Indenture, dated as of October 22, 2009, among ViaSat, Inc., ViaSat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7"/>
              </w:rPr>
              <w:t>Credit Corp., Enerdyne Technologies, Inc., ViaSat Satellite Ventures,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LLC, VSV I Holdings, LLC, VSV II Holdings, LLC, ViaSat Satellite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Ventures U.S. I, LLC, ViaSat Satellite Ventures U.S. II, LLC and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Wilmington Trust FSB, as trustee</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Form of 8.875% Senior Note of ViaSat, Inc. due 2016 (attached as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Exhibit A to the Indenture filed as Exhibit 4.1 hereto)</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4.3</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6"/>
              </w:rPr>
              <w:t>Registration Rights Agreement, dated as of October 22, 2009, among</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5"/>
              </w:rPr>
              <w:t>ViaSat, Inc., ViaSat Credit Corp., Enerdyne Technologies, Inc., ViaSat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8"/>
              </w:rPr>
              <w:t>Satellite Ventures, LLC, VSV I Holdings, LLC, VSV II Holdings, LLC,</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5"/>
              </w:rPr>
              <w:t>ViaSat Satellite Ventures U.S. I, LLC, ViaSat Satellite Ventures U.S. II,</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2"/>
              </w:rPr>
              <w:t>LLC, J.P. Morgan Securities Inc., Banc of America Securities LLC, Wells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Fargo Securities, LLC, Oppenheimer &amp; Co. Inc. and Stephens Inc.</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10.1</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9"/>
              </w:rPr>
              <w:t>First Amendment to Fourth Amended and Restated Revolving Loan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1"/>
              </w:rPr>
              <w:t>Agreement, dated as of September 30, 2009, by and among ViaSat, Inc.,</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Banc of America Securities LLC, Bank of America, N.A., JPMorgan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7"/>
              </w:rPr>
              <w:t>Chase Bank, N.A., Union Bank, N.A., and other lenders party thereto</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10.2</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4"/>
              </w:rPr>
              <w:t>Second Amendment to Fourth Amended and Restated Revolving Loan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7"/>
              </w:rPr>
              <w:t>Agreement, dated as of October 6, 2009, by and among ViaSat, Inc.,</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Banc of America Securities LLC, Bank of America, N.A., JPMorgan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Chase Bank, N.A., Union Bank, N.A., Wells Fargo Bank, National</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Association and other lenders party thereto</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10.3</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2"/>
              </w:rPr>
              <w:t>ViaSat, Inc. Employee Stock Purchase Plan (As Amended and Restated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Effective July 1, 2009</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10.4</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1"/>
              </w:rPr>
              <w:t>1996 Equity Participation Plan of ViaSat, Inc. (As Amended and Restated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Effective September 29, 2009</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10.5</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Form of Non-Employee Director Restricted Stock Unit Award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Agreement for the ViaSat, Inc. 1996 Equity Participation Plan</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31.1</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7"/>
              </w:rPr>
              <w:t>Certification of Chief Executive Officer Pursuant to Section 302 of the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31.2</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8"/>
              </w:rPr>
              <w:t>Certification of Chief Financial Officer Pursuant to Section 302 of the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760" w:type="dxa"/>
            <w:vAlign w:val="bottom"/>
          </w:tcPr>
          <w:p>
            <w:pPr>
              <w:jc w:val="right"/>
              <w:ind w:right="133"/>
              <w:spacing w:after="0"/>
              <w:rPr>
                <w:sz w:val="20"/>
                <w:szCs w:val="20"/>
                <w:color w:val="auto"/>
              </w:rPr>
            </w:pPr>
            <w:r>
              <w:rPr>
                <w:rFonts w:ascii="Arial" w:cs="Arial" w:eastAsia="Arial" w:hAnsi="Arial"/>
                <w:sz w:val="18"/>
                <w:szCs w:val="18"/>
                <w:color w:val="auto"/>
              </w:rPr>
              <w:t>32.1</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93"/>
              </w:rPr>
              <w:t>Certifications Pursuant to 18 U.S.C. Section 1350, as Adopted Pursuant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to Section 906 of the Sarbanes-Oxley Act of 2002</w:t>
            </w: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5620" w:type="dxa"/>
            <w:vAlign w:val="bottom"/>
            <w:gridSpan w:val="2"/>
          </w:tcPr>
          <w:p>
            <w:pPr>
              <w:jc w:val="right"/>
              <w:ind w:right="499"/>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32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300" w:type="dxa"/>
            <w:vAlign w:val="bottom"/>
            <w:vMerge w:val="restart"/>
          </w:tcPr>
          <w:p>
            <w:pPr>
              <w:spacing w:after="0"/>
              <w:rPr>
                <w:sz w:val="10"/>
                <w:szCs w:val="10"/>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4"/>
              </w:rPr>
              <w:t>File No.</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Filing Date</w:t>
            </w: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820" w:val="left"/>
          <w:tab w:leader="none" w:pos="2240" w:val="left"/>
          <w:tab w:leader="none" w:pos="3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10/2/2009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000-21767</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1080" w:type="dxa"/>
            <w:vAlign w:val="bottom"/>
          </w:tcPr>
          <w:p>
            <w:pPr>
              <w:jc w:val="right"/>
              <w:spacing w:after="0"/>
              <w:rPr>
                <w:sz w:val="20"/>
                <w:szCs w:val="20"/>
                <w:color w:val="auto"/>
              </w:rPr>
            </w:pPr>
            <w:r>
              <w:rPr>
                <w:rFonts w:ascii="Arial" w:cs="Arial" w:eastAsia="Arial" w:hAnsi="Arial"/>
                <w:sz w:val="18"/>
                <w:szCs w:val="18"/>
                <w:color w:val="auto"/>
              </w:rPr>
              <w:t>10/22/2009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000-21767</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1080" w:type="dxa"/>
            <w:vAlign w:val="bottom"/>
          </w:tcPr>
          <w:p>
            <w:pPr>
              <w:jc w:val="right"/>
              <w:spacing w:after="0"/>
              <w:rPr>
                <w:sz w:val="20"/>
                <w:szCs w:val="20"/>
                <w:color w:val="auto"/>
              </w:rPr>
            </w:pPr>
            <w:r>
              <w:rPr>
                <w:rFonts w:ascii="Arial" w:cs="Arial" w:eastAsia="Arial" w:hAnsi="Arial"/>
                <w:sz w:val="18"/>
                <w:szCs w:val="18"/>
                <w:color w:val="auto"/>
              </w:rPr>
              <w:t>10/22/2009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tabs>
          <w:tab w:leader="none" w:pos="820" w:val="left"/>
          <w:tab w:leader="none" w:pos="2240" w:val="left"/>
          <w:tab w:leader="none" w:pos="29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10/22/2009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820" w:val="left"/>
          <w:tab w:leader="none" w:pos="2140" w:val="left"/>
          <w:tab w:leader="none" w:pos="3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10/2/2009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000-21767</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10/9/2009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000-21767</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10/5/2009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000-21767</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1020" w:type="dxa"/>
            <w:vAlign w:val="bottom"/>
          </w:tcPr>
          <w:p>
            <w:pPr>
              <w:jc w:val="right"/>
              <w:spacing w:after="0"/>
              <w:rPr>
                <w:sz w:val="20"/>
                <w:szCs w:val="20"/>
                <w:color w:val="auto"/>
              </w:rPr>
            </w:pPr>
            <w:r>
              <w:rPr>
                <w:rFonts w:ascii="Arial" w:cs="Arial" w:eastAsia="Arial" w:hAnsi="Arial"/>
                <w:sz w:val="18"/>
                <w:szCs w:val="18"/>
                <w:color w:val="auto"/>
              </w:rPr>
              <w:t>10/5/2009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8-K</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000-21767</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10.3</w:t>
            </w:r>
          </w:p>
        </w:tc>
        <w:tc>
          <w:tcPr>
            <w:tcW w:w="1020" w:type="dxa"/>
            <w:vAlign w:val="bottom"/>
          </w:tcPr>
          <w:p>
            <w:pPr>
              <w:jc w:val="right"/>
              <w:spacing w:after="0"/>
              <w:rPr>
                <w:sz w:val="20"/>
                <w:szCs w:val="20"/>
                <w:color w:val="auto"/>
              </w:rPr>
            </w:pPr>
            <w:r>
              <w:rPr>
                <w:rFonts w:ascii="Arial" w:cs="Arial" w:eastAsia="Arial" w:hAnsi="Arial"/>
                <w:sz w:val="18"/>
                <w:szCs w:val="18"/>
                <w:color w:val="auto"/>
              </w:rPr>
              <w:t>10/5/2009</w:t>
            </w:r>
          </w:p>
        </w:tc>
      </w:tr>
    </w:tbl>
    <w:p>
      <w:pPr>
        <w:spacing w:after="0" w:line="202"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420" w:space="280"/>
            <w:col w:w="4720"/>
          </w:cols>
          <w:pgMar w:left="240" w:top="419"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20" w:firstLine="221"/>
        <w:spacing w:after="0" w:line="277" w:lineRule="auto"/>
        <w:tabs>
          <w:tab w:leader="none" w:pos="7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2, 2009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20" w:firstLine="221"/>
        <w:spacing w:after="0" w:line="277" w:lineRule="auto"/>
        <w:tabs>
          <w:tab w:leader="none" w:pos="7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2, 2009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2019-12-10T06:42:47Z</dcterms:created>
  <dcterms:modified xsi:type="dcterms:W3CDTF">2019-12-10T06:42:47Z</dcterms:modified>
</cp:coreProperties>
</file>