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460" w:right="460" w:hanging="452"/>
        <w:spacing w:after="0" w:line="24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3,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40" w:val="left"/>
          <w:tab w:leader="none" w:pos="74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33-0174996</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registrant’s common stock, $0.0001 par value, as of October 31, 2014 was 46,922,317.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040" w:type="dxa"/>
            <w:vAlign w:val="bottom"/>
            <w:gridSpan w:val="8"/>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000" w:type="dxa"/>
            <w:vAlign w:val="bottom"/>
            <w:tcBorders>
              <w:bottom w:val="single" w:sz="8" w:color="0000EE"/>
            </w:tcBorders>
            <w:gridSpan w:val="10"/>
            <w:vMerge w:val="continue"/>
          </w:tcPr>
          <w:p>
            <w:pPr>
              <w:spacing w:after="0"/>
              <w:rPr>
                <w:sz w:val="13"/>
                <w:szCs w:val="13"/>
                <w:color w:val="auto"/>
              </w:rPr>
            </w:pPr>
          </w:p>
        </w:tc>
        <w:tc>
          <w:tcPr>
            <w:tcW w:w="804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Income (Loss)</w:t>
              </w:r>
            </w:hyperlink>
          </w:p>
        </w:tc>
        <w:tc>
          <w:tcPr>
            <w:tcW w:w="45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69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the Condensed Consolidated Financial Statements</w:t>
              </w:r>
            </w:hyperlink>
          </w:p>
        </w:tc>
        <w:tc>
          <w:tcPr>
            <w:tcW w:w="64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3.</w:t>
              </w:r>
            </w:hyperlink>
          </w:p>
        </w:tc>
        <w:tc>
          <w:tcPr>
            <w:tcW w:w="632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6"/>
              </w:rPr>
            </w:pPr>
            <w:hyperlink w:anchor="page43">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8"/>
          </w:tcPr>
          <w:p>
            <w:pPr>
              <w:spacing w:after="0"/>
              <w:rPr>
                <w:sz w:val="17"/>
                <w:szCs w:val="17"/>
                <w:color w:val="auto"/>
              </w:rPr>
            </w:pPr>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1.</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Legal Proceedings</w:t>
              </w:r>
            </w:hyperlink>
          </w:p>
        </w:tc>
        <w:tc>
          <w:tcPr>
            <w:tcW w:w="840" w:type="dxa"/>
            <w:vAlign w:val="bottom"/>
            <w:tcBorders>
              <w:top w:val="single" w:sz="8" w:color="0000EE"/>
            </w:tcBorders>
            <w:gridSpan w:val="2"/>
          </w:tcPr>
          <w:p>
            <w:pPr>
              <w:spacing w:after="0"/>
              <w:rPr>
                <w:sz w:val="17"/>
                <w:szCs w:val="17"/>
                <w:color w:val="auto"/>
              </w:rPr>
            </w:pPr>
          </w:p>
        </w:tc>
        <w:tc>
          <w:tcPr>
            <w:tcW w:w="83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Item 1A. Risk Factors</w:t>
              </w:r>
            </w:hyperlink>
          </w:p>
        </w:tc>
        <w:tc>
          <w:tcPr>
            <w:tcW w:w="94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Exhibits</w:t>
              </w:r>
            </w:hyperlink>
          </w:p>
        </w:tc>
        <w:tc>
          <w:tcPr>
            <w:tcW w:w="9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October 3, 2014</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right"/>
              <w:ind w:right="57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41,929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279,732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126,817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38,271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38,993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525,742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531,621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654,181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410,797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51,270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117,617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255,157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2,014,764</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1,960,115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328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74,436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170,830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175,974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245,266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274,826</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16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583,268</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583,861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140,843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43,586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48,893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1,012,963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1,013,480</w:t>
            </w:r>
          </w:p>
        </w:tc>
        <w:tc>
          <w:tcPr>
            <w:tcW w:w="0" w:type="dxa"/>
            <w:vAlign w:val="bottom"/>
          </w:tcPr>
          <w:p>
            <w:pPr>
              <w:spacing w:after="0"/>
              <w:rPr>
                <w:sz w:val="1"/>
                <w:szCs w:val="1"/>
                <w:color w:val="auto"/>
              </w:rPr>
            </w:pP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765,664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229,603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Common stock held in treasury</w:t>
            </w: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420"/>
              <w:spacing w:after="0"/>
              <w:rPr>
                <w:sz w:val="20"/>
                <w:szCs w:val="20"/>
                <w:color w:val="auto"/>
              </w:rPr>
            </w:pPr>
            <w:r>
              <w:rPr>
                <w:rFonts w:ascii="Arial" w:cs="Arial" w:eastAsia="Arial" w:hAnsi="Arial"/>
                <w:sz w:val="18"/>
                <w:szCs w:val="18"/>
                <w:color w:val="auto"/>
              </w:rPr>
              <w:t>Total ViaSat, Inc. stockholders’ equity</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996,510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941,012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860"/>
              <w:spacing w:after="0"/>
              <w:rPr>
                <w:sz w:val="20"/>
                <w:szCs w:val="20"/>
                <w:color w:val="auto"/>
              </w:rPr>
            </w:pPr>
            <w:r>
              <w:rPr>
                <w:rFonts w:ascii="Arial" w:cs="Arial" w:eastAsia="Arial" w:hAnsi="Arial"/>
                <w:sz w:val="18"/>
                <w:szCs w:val="18"/>
                <w:color w:val="auto"/>
              </w:rPr>
              <w:t>Total equity</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1,001,801</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946,635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2,014,764</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1,960,115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ind w:left="460"/>
              <w:spacing w:after="0"/>
              <w:rPr>
                <w:sz w:val="20"/>
                <w:szCs w:val="20"/>
                <w:color w:val="auto"/>
              </w:rPr>
            </w:pPr>
            <w:r>
              <w:rPr>
                <w:rFonts w:ascii="Arial" w:cs="Arial" w:eastAsia="Arial" w:hAnsi="Arial"/>
                <w:sz w:val="14"/>
                <w:szCs w:val="14"/>
                <w:b w:val="1"/>
                <w:bCs w:val="1"/>
                <w:color w:val="auto"/>
                <w:w w:val="88"/>
              </w:rPr>
              <w:t>Six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5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 2014</w:t>
            </w: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October 4, 2013</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 2014</w:t>
            </w: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October 4,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6"/>
          </w:tcPr>
          <w:p>
            <w:pPr>
              <w:jc w:val="right"/>
              <w:ind w:right="72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193,924</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210,391</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362,053</w:t>
            </w:r>
          </w:p>
        </w:tc>
        <w:tc>
          <w:tcPr>
            <w:tcW w:w="5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164,834</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316,176</w:t>
            </w:r>
          </w:p>
        </w:tc>
        <w:tc>
          <w:tcPr>
            <w:tcW w:w="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282,431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358,758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353,881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678,229</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674,983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130,088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157,573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259,082</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111,605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104,511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220,346</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210,404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54,404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73,593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123,500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11,547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(8,337)</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(9,869)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(16,966)</w:t>
            </w: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(20,032)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28,693</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14,473</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(12,656)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11,022</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23,992</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17,671</w:t>
            </w:r>
          </w:p>
        </w:tc>
        <w:tc>
          <w:tcPr>
            <w:tcW w:w="5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8"/>
              </w:rPr>
              <w:t>Less: Net income (loss) attributable to the noncontrolling interest, net of tax</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18,003</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9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900" w:type="dxa"/>
            <w:vAlign w:val="bottom"/>
            <w:gridSpan w:val="2"/>
          </w:tcPr>
          <w:p>
            <w:pPr>
              <w:spacing w:after="0"/>
              <w:rPr>
                <w:sz w:val="20"/>
                <w:szCs w:val="20"/>
                <w:color w:val="auto"/>
              </w:rPr>
            </w:pPr>
            <w:r>
              <w:rPr>
                <w:rFonts w:ascii="Arial" w:cs="Arial" w:eastAsia="Arial" w:hAnsi="Arial"/>
                <w:sz w:val="18"/>
                <w:szCs w:val="18"/>
                <w:color w:val="auto"/>
                <w:w w:val="96"/>
              </w:rPr>
              <w:t>Basic net income per share attributable to ViaSat, Inc. common stockholders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0.51</w:t>
            </w:r>
          </w:p>
        </w:tc>
        <w:tc>
          <w:tcPr>
            <w:tcW w:w="5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0.39</w:t>
            </w:r>
          </w:p>
        </w:tc>
        <w:tc>
          <w:tcPr>
            <w:tcW w:w="58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ViaSat, Inc. common</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Shares used in computing basic net income per share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46,863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45,484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46,694</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47,067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46,898</w:t>
            </w:r>
          </w:p>
        </w:tc>
        <w:tc>
          <w:tcPr>
            <w:tcW w:w="0" w:type="dxa"/>
            <w:vAlign w:val="bottom"/>
          </w:tcPr>
          <w:p>
            <w:pPr>
              <w:spacing w:after="0"/>
              <w:rPr>
                <w:sz w:val="1"/>
                <w:szCs w:val="1"/>
                <w:color w:val="auto"/>
              </w:rPr>
            </w:pPr>
          </w:p>
        </w:tc>
      </w:tr>
      <w:tr>
        <w:trPr>
          <w:trHeight w:val="390"/>
        </w:trPr>
        <w:tc>
          <w:tcPr>
            <w:tcW w:w="59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2,281</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gain on hedging, net of tax</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2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(620)</w:t>
            </w: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22,733</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3,589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17,011</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the noncontrolling</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attributable to ViaSat, Inc.</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22,688</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3,205</w:t>
            </w:r>
          </w:p>
        </w:tc>
        <w:tc>
          <w:tcPr>
            <w:tcW w:w="32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17,343</w:t>
            </w:r>
          </w:p>
        </w:tc>
        <w:tc>
          <w:tcPr>
            <w:tcW w:w="5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87"/>
              </w:rPr>
              <w:t>Six Months Ended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 2014</w:t>
            </w: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October 4,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left="433"/>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17,671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87,366</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18,503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11,302</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17,962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Loss on disposition of fixed assets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18,104</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adjustments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2,285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w w:val="95"/>
              </w:rPr>
              <w:t>Increase (decrease) in cash resulting from changes in operating assets and liabilities, net of effects of</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640"/>
              <w:spacing w:after="0"/>
              <w:rPr>
                <w:sz w:val="20"/>
                <w:szCs w:val="20"/>
                <w:color w:val="auto"/>
              </w:rPr>
            </w:pPr>
            <w:r>
              <w:rPr>
                <w:rFonts w:ascii="Arial" w:cs="Arial" w:eastAsia="Arial" w:hAnsi="Arial"/>
                <w:sz w:val="18"/>
                <w:szCs w:val="18"/>
                <w:color w:val="auto"/>
              </w:rPr>
              <w:t>acquisitions: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(7,318)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(7,059)</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6,152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(2,215)</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(4,325)</w:t>
            </w: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158,494</w:t>
            </w:r>
          </w:p>
        </w:tc>
        <w:tc>
          <w:tcPr>
            <w:tcW w:w="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equipment and satellites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(137,618)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(160,782)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(23,743)</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(56,545)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1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(217,906)</w:t>
            </w: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(184,740)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Proceeds from revolving credit facility borrowings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160,000</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revolving credit facility borrowings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under equity plans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10,326</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 in treasury related to tax withholdings for stock-based compensation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(1,405)</w:t>
            </w: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43,131</w:t>
            </w:r>
          </w:p>
        </w:tc>
        <w:tc>
          <w:tcPr>
            <w:tcW w:w="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(16,418)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58,347</w:t>
            </w:r>
          </w:p>
        </w:tc>
        <w:tc>
          <w:tcPr>
            <w:tcW w:w="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41,929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67,103</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10,194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 expenditures not paid for</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6,567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23,977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w w:val="87"/>
              </w:rPr>
              <w:t>ViaSat, Inc. Stockholders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00" w:type="dxa"/>
            <w:vAlign w:val="bottom"/>
            <w:tcBorders>
              <w:bottom w:val="single" w:sz="8" w:color="auto"/>
            </w:tcBorders>
            <w:gridSpan w:val="4"/>
          </w:tcPr>
          <w:p>
            <w:pPr>
              <w:ind w:left="360"/>
              <w:spacing w:after="0" w:line="129" w:lineRule="exact"/>
              <w:rPr>
                <w:sz w:val="20"/>
                <w:szCs w:val="20"/>
                <w:color w:val="auto"/>
              </w:rPr>
            </w:pPr>
            <w:r>
              <w:rPr>
                <w:rFonts w:ascii="Arial" w:cs="Arial" w:eastAsia="Arial" w:hAnsi="Arial"/>
                <w:sz w:val="14"/>
                <w:szCs w:val="14"/>
                <w:b w:val="1"/>
                <w:bCs w:val="1"/>
                <w:color w:val="auto"/>
                <w:w w:val="89"/>
              </w:rPr>
              <w:t>Common Stock</w:t>
            </w:r>
          </w:p>
        </w:tc>
        <w:tc>
          <w:tcPr>
            <w:tcW w:w="3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6"/>
          </w:tcPr>
          <w:p>
            <w:pPr>
              <w:jc w:val="right"/>
              <w:ind w:right="420"/>
              <w:spacing w:after="0" w:line="129" w:lineRule="exact"/>
              <w:rPr>
                <w:sz w:val="20"/>
                <w:szCs w:val="20"/>
                <w:color w:val="auto"/>
              </w:rPr>
            </w:pPr>
            <w:r>
              <w:rPr>
                <w:rFonts w:ascii="Arial" w:cs="Arial" w:eastAsia="Arial" w:hAnsi="Arial"/>
                <w:sz w:val="14"/>
                <w:szCs w:val="14"/>
                <w:b w:val="1"/>
                <w:bCs w:val="1"/>
                <w:color w:val="auto"/>
              </w:rPr>
              <w:t>Common Stock Held</w:t>
            </w:r>
          </w:p>
        </w:tc>
        <w:tc>
          <w:tcPr>
            <w:tcW w:w="120" w:type="dxa"/>
            <w:vAlign w:val="bottom"/>
          </w:tcPr>
          <w:p>
            <w:pPr>
              <w:spacing w:after="0"/>
              <w:rPr>
                <w:sz w:val="12"/>
                <w:szCs w:val="12"/>
                <w:color w:val="auto"/>
              </w:rPr>
            </w:pPr>
          </w:p>
        </w:tc>
        <w:tc>
          <w:tcPr>
            <w:tcW w:w="116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0"/>
              </w:rPr>
              <w:t>Other</w:t>
            </w: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8"/>
              </w:rPr>
              <w:t>Retained</w:t>
            </w:r>
          </w:p>
        </w:tc>
        <w:tc>
          <w:tcPr>
            <w:tcW w:w="28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9"/>
              </w:rPr>
              <w:t>Number of</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1"/>
                <w:szCs w:val="11"/>
                <w:color w:val="auto"/>
              </w:rPr>
            </w:pPr>
          </w:p>
        </w:tc>
        <w:tc>
          <w:tcPr>
            <w:tcW w:w="104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9"/>
              </w:rPr>
              <w:t>Interest in</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Issued</w:t>
            </w:r>
          </w:p>
        </w:tc>
        <w:tc>
          <w:tcPr>
            <w:tcW w:w="1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2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Subsidiary</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7"/>
          </w:tcPr>
          <w:p>
            <w:pPr>
              <w:jc w:val="right"/>
              <w:ind w:right="260"/>
              <w:spacing w:after="0" w:line="142" w:lineRule="exact"/>
              <w:rPr>
                <w:sz w:val="20"/>
                <w:szCs w:val="20"/>
                <w:color w:val="auto"/>
              </w:rPr>
            </w:pPr>
            <w:r>
              <w:rPr>
                <w:rFonts w:ascii="Arial" w:cs="Arial" w:eastAsia="Arial" w:hAnsi="Arial"/>
                <w:sz w:val="14"/>
                <w:szCs w:val="14"/>
                <w:b w:val="1"/>
                <w:bCs w:val="1"/>
                <w:color w:val="auto"/>
                <w:w w:val="85"/>
              </w:rPr>
              <w:t>(In thousands, except share data)</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4, 2014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47,419,831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$776,452</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$ 211,600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(1,190,572)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(49,358)</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329,818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6,798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Purchase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18,425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issued in settlement of</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accrued employee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liabilities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RSU awards vesting</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48,980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pursuant to vesting of</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RSU agreements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(14,019)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held in treasury</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(1,197,363)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(49,733)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1,197,363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49,733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7"/>
              </w:rPr>
              <w:t>Other comprehensive loss, net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of tax</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 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46,853,402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5</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765,664</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229,603</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1,001,801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accompanying condensed consolidated balance sheet at October 3, 2014, the condensed consolidated statements of operations and comprehensive income (loss) for the three and six months ended October 3, 2014 and October 4, 2013, the condensed consolidated statements of cash flows for the six months ended October 3, 2014 and October 4, 2013 and the condensed consolidated statement of equity for the six months ended October 3, 2014 have been prepared by the management of ViaSat, Inc. (also referred to hereafter as the Company or ViaSat), and have not been audited. These financial statements have been prepared on the same basis as the audited consolidated financial statements for the fiscal year ended April 4, 2014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April 4, 2014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The Company’s fiscal year is the 52 or 53 weeks ending on the Friday closest to March 31 of the specified year. For example, references to fiscal year 2015 refer to the fiscal year ending on April 3, 2015. The Company’s quarters for fiscal year 2015 end on July 4, 2014, October 3, 2014, January 2, 2015 and April 3, 2015. This results in a 53 week fiscal year approximately every four to five years. Fiscal year 2015 is a 52 week year, compared with a 53 week year in fiscal year</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2014. As a result of the shift in the fiscal calendar, the second quarter of fiscal year 2014 included an additional week. The Company does not believe that the extra week results in any material impact on its financial results.</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first quarter of fiscal year 2015, the Company completed the acquisition of NetNearU Corp. (NetNearU), a privately held Delaware corporation. During the first quarter of fiscal year 2014, the Company completed the acquisition of LonoCloud, Inc. (LonoCloud), an early-stage privately held company. These acquisitions were accounted for as purchases and, accordingly, the condensed consolidated financial statements include the operating results of NetNearU and LonoCloud from the dates of acquisition (see Note 10).</w:t>
      </w:r>
    </w:p>
    <w:p>
      <w:pPr>
        <w:spacing w:after="0" w:line="14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October 3, 2014 and October 4, 2013, the Company recorded no losses and losses of approximately $0.6 million, respectively, related to loss contracts. During the six months ended October 3, 2014 and October 4, 2013, the Company recorded losses of approximately $0.1 million and $1.0 million, respectively, related to loss contracts.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2011 and subsequent fiscal years. During the second quarter of fiscal year 2015, the DCAA completed its incurred cost audit for fiscal year 2004 and approved the Company’s incurred cost claims for fiscal years 2005 through 2010 without further audit. Although the Company has recorded contract revenues subsequent to fiscal year 2010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October 3, 2014 and April 4, 2014, the Company had $5.2 million and $6.7 million, respectively, in contract-related reserves for its estimate of potential refunds to customers for potential cost adjustments on several multi-year U.S. government cost reimbursable contracts (see Note 8). The decrease in contract-related reserves reflects the conclusion of the DCAA’s incurred cost audit for fiscal year 2004 and the DCAA’s approval of the Company’s incurred cost claims for fiscal years 2005 through 2010.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accordance with the authoritative guidance for advertising costs (ASC 720-35), advertising costs are expensed as incurred and included in selling, general and administrative (SG&amp;A) expenses. Advertising expenses for the three months ended October 3, 2014 and October 4, 2013 were $5.0 million and $6.2 million, respectively, and for the six months ended October 3, 2014 and October 4, 2013 were $7.3 million and $9.1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relates to losses incurred for unreturned customer premise equipment (CPE).</w:t>
      </w:r>
    </w:p>
    <w:p>
      <w:pPr>
        <w:spacing w:after="0" w:line="12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Interest expense is capitalized on the carrying value of assets under construction, in accordance with the authoritative guidance for the capitalization of interest (ASC 835-20). With respect to assets under construction, including the ViaSat-2 satellite which commenced construction during the first quarter of fiscal year 2014, the Company capitalized $3.6 million and $2.0 million of interest expense for the three months ended October 3, 2014 and October 4, 2013, respectively, and capitalized $6.7 million and $2.9 million of interest expense for the six months ended October 3, 2014 and October 4, 2013,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owns two satellites: ViaSat-1 (its first high-capacity Ka-band spot-beam satellite, which was placed into service in January 2012) and WildBlue-1 (which was placed into service in March 2007). In May 2013, the Company entered into a satellite construction contract for ViaSat-2, its second high-capacity Ka-band satellite. In addition, the Company has an exclusive prepaid lifetime capital lease of Ka-band capacity over the contiguous United States on Telesat Canada’s Anik F2 satellite (which was placed into service in April 2005) and owns related gateway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gateway and networking equipment, CPE units and related installation costs over their estimated useful lives. The total cost and accumulated depreciation of CPE units included in property and equipment, net, as of October 3, 2014 were $227.6 million and $92.9 million, respectively. The total cost and accumulated depreciation of CPE units included in property and equipment, net, as of April 4, 2014 were $221.0 million and $79.8 million, respectively.</w:t>
      </w:r>
    </w:p>
    <w:p>
      <w:pPr>
        <w:spacing w:after="0" w:line="12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October 3, 2014 and April 4, 2014. The Company had capitalized costs of $15.0 million and $13.5 million related to acquiring and obtaining orbital slots and other licenses included in other assets as of October 3, 2014 and April 4, 2014, respectively. Accumulated amortization related to these assets was approximately $1.2 million and $1.0 million as of October 3, 2014 and April 4, 2014, respectively. Amortization expense related to these assets was an insignificant amount for the three and six months ended October 3, 2014 and October 4, 2013. If a patent, orbital slot or orbital license is rejected, abandoned or otherwise invalidated, the unamortized cost is expensed in that period. During the three and six months ended October 3, 2014 and October 4, 2013, the Company did not write off any significant costs due to abandonment or impairment.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Debt issuance costs are amortized and recognized as interest expense on a straight-line basis over the expected term of the related debt, the results of which are not materially different from the effective interest rate basis. During the three and six months ended October 3, 2014 and October 4, 2013, no amounts were paid and capitalized for debt issuance costs. Unamortized debt issuance costs related to extinguished debt are expensed at the time the debt is extinguished and recorded in loss on extinguishment of debt in the consolidated statements of operations and comprehensive income (loss).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$104.1 million and $91.0 million related to software developed for resale were included in other assets as of October 3, 2014 and April 4, 2014, respectively. The Company capitalized $12.0 million and $22.7 million of costs related to software developed for resale for the three and six months ended October 3, 2014, respectively. The Company capitalized $10.5 million and $16.9 million of costs related to software developed for resale for the three and six months ended October 4, 2013, respectively. Amortization expense for software development costs was $5.2 million and $9.6 million for the three and six months ended October 3, 2014, respectively, and $2.2 million and $4.6 million for the three and six months ended October 4, 2013, respectively.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$3.7 million and $3.5 million as of October 3,</w:t>
      </w:r>
    </w:p>
    <w:p>
      <w:pPr>
        <w:spacing w:after="0" w:line="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2014 and April 4, 2014,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October 3, 2014 and April 4, 2014, no such amounts were accrued related to the aforementioned provisions.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the first six months of fiscal years 2015 and 2014, the Company issued 48,980 and 33,222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14,019 and 9,726 shares of common stock with a total value of $0.8 million and $0.7 million during the first six months of fiscal years 2015 and 2014,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first quarter of fiscal year 2015, the Company retired 1,197,363 shares of treasury stock with a total value of $49.7 million. These shares remain as authorized stock; however they are now considered to be unissued. This treasury stock retirement resulted in a decrease in common stock held in treasury and in paid-in capital of $49.7 million in the Company’s condensed consolidated balance sheet. The retirement of treasury stock had no impact on the Company’s total consolidated stockholders’ equity.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Repurchased shares of common stock of 7,228 and 1,190,572 were held in treasury as of October 3, 2014 and April 4, 2014,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each of the three and six months ended October 3, 2014 and October 4, 2013, the Company settled certain foreign exchange contracts and in connection therewith recognized a loss of less than $0.1 million, recorded in cost of revenues based on the nature of the underlying transactions. The fair value of the Company’s foreign currency forward contracts was an accrued liability of less than $0.1 million and an other current asset of less than $0.1 million at October 3, 2014 and April 4, 2014, respectively. The notional value of foreign currency forward contracts outstanding as of October 3, 2014 and April 4, 2014 was $0.6 million and $3.3 million, respectively.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October 3, 2014, the estimated net amount of unrealized gains or losses related to foreign currency forward contracts that was expected to be reclassified to earnings within the next twelve months was less than $0.1 million. The Company’s foreign currency forward contracts outstanding as of October 3, 2014 will mature within sixteen to eighteen months from their inception. There were no gains or losses from ineffectiveness of these derivative instruments recorded for the three and six months ended October 3, 2014 and October 4,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(loss) for the three and six months ended October 3, 2014 and October 4, 2013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$9.1 million and $18.0 million of stock-based compensation expense for the three and six months ended October 3, 2014, respectively. The Company recognized $8.2 million and $15.7 million of stock-based compensation expense for the three and six months ended October 4, 2013, respectively.</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the six months ended October 3, 2014 and October 4, 2013,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analysis of the need for a valuation allowance on deferred tax assets considered the losses incurred during the fiscal years ended April 4, 2014 and March 29, 2013 and the income generated during the six months ended October 3, 2014. In fiscal year 2013, the Company recorded a significant loss, a substantial portion of which resulted from an extinguishment of debt charge that was recorded upon the refinancing of the Company’s former 8.875% Senior Notes due 2016 (2016 Notes) with the proceeds from the issuance of additional 6.875% Senior Notes due 2020 (2020 Notes), which provides a benefit to net income due to the lower interest rate of the 2020 Notes. The loss from fiscal year 2014 was less significant and a substantial portion of that loss related to legal expense focused on protecting and extending the Company’s technology advantages in the litigation against Space Systems/Loral, Inc. (SS/L) and its former parent company Loral Space &amp; Communications, Inc. (Loral), which was resolved in the Company’s favor during the second quarter of fiscal year 2015 (see Note 8).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March 2013, the FASB issued ASU 2013-05, Foreign Currency Matters (ASC 830): Parent’s Accounting for the Cumulative Translation Adjustment upon Derecognition of Certain Subsidiaries or Groups of Assets within a Foreign Entity or of an Investment in a Foreign Entity. ASU 2013-05 clarifies that the cumulative translation adjustment should be released into net income only when a reporting entity ceases to have a controlling financial interest in a subsidiary or a business within a foreign entity. Further, for an equity method investment that is a foreign entity, a pro rata portion of the cumulative translation adjustment should be released into net income upon a partial sale of such an equity method investment. These amendments are to be applied prospectively to derecognition events occurring after the effective date. This guidance became effective for the Company beginning in the first quarter of fiscal year 2015 and the authoritative guidance did not have a material impact on the Company’s consolidated financial statements and disclosures.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2013, the FASB issued ASU 2013-11, Income Taxes (ASC 740): Presentation of an Unrecognized Tax Benefit When a Net Operating Loss Carryforward, a Similar Tax Loss, or a Tax Credit Carryforward Exists</w:t>
      </w:r>
      <w:r>
        <w:rPr>
          <w:rFonts w:ascii="Arial" w:cs="Arial" w:eastAsia="Arial" w:hAnsi="Arial"/>
          <w:sz w:val="16"/>
          <w:szCs w:val="16"/>
          <w:i w:val="1"/>
          <w:iCs w:val="1"/>
          <w:color w:val="auto"/>
        </w:rPr>
        <w:t>.</w:t>
      </w:r>
      <w:r>
        <w:rPr>
          <w:rFonts w:ascii="Arial" w:cs="Arial" w:eastAsia="Arial" w:hAnsi="Arial"/>
          <w:sz w:val="16"/>
          <w:szCs w:val="16"/>
          <w:color w:val="auto"/>
        </w:rPr>
        <w:t xml:space="preserve"> ASU 2013-11 requires the netting of unrecognized tax benefits against available deferred tax assets for losses and other carryforward benefits that would be available to offset the liability for uncertain tax positions rather than presenting the unrecognized tax benefits on a gross basis. This guidance became effective for the Company beginning in the first quarter of fiscal year 2015 and the authoritative guidance did not have a material impact on the Company’s consolidated financial statements and disclosures.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April 2014, the FASB issued ASU 2014-08, Presentation of Financial Statements and Property, Plant, and Equipment: Reporting Discontinued Operations and Disclosures of Disposals of Components of an Entity.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These amendments will become effective prospectively for the Company beginning in fiscal year 2016, including interim periods within that reporting period, with early adoption permitted. The adoption of this standard is not expected to have a material impact on the Company’s consolidated financial statements and disclosures.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2018, including interim periods within that reporting period. Early application is not permitted, but the guidance permits the use of either the retrospective or cumulative effect transition method. The Company has not selected a transition method and the Company is currently evaluating the impact this guidance will have on its consolidated financial statements and disclosures.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80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 2014</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Billed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124,148</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143,651</w:t>
            </w:r>
          </w:p>
        </w:tc>
        <w:tc>
          <w:tcPr>
            <w:tcW w:w="0" w:type="dxa"/>
            <w:vAlign w:val="bottom"/>
          </w:tcPr>
          <w:p>
            <w:pPr>
              <w:spacing w:after="0"/>
              <w:rPr>
                <w:sz w:val="1"/>
                <w:szCs w:val="1"/>
                <w:color w:val="auto"/>
              </w:rPr>
            </w:pPr>
          </w:p>
        </w:tc>
      </w:tr>
      <w:tr>
        <w:trPr>
          <w:trHeight w:val="223"/>
        </w:trPr>
        <w:tc>
          <w:tcPr>
            <w:tcW w:w="802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279,732</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271,891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42,786</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24,140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22,279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56,003</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126,817</w:t>
            </w: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119,601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34,430</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41,341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38,993</w:t>
            </w: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44,070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Satellite — WildBlue-1 (estimated useful life of 10 years)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195,890</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195,890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Satellite — ViaSat-1 (estimated useful life of 17 years)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363,204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363,204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 ViaSat-2 (under construction)</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195,385</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853,569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804,794</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(199,388)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(173,958)</w:t>
            </w:r>
          </w:p>
        </w:tc>
        <w:tc>
          <w:tcPr>
            <w:tcW w:w="0" w:type="dxa"/>
            <w:vAlign w:val="bottom"/>
          </w:tcPr>
          <w:p>
            <w:pPr>
              <w:spacing w:after="0"/>
              <w:rPr>
                <w:sz w:val="1"/>
                <w:szCs w:val="1"/>
                <w:color w:val="auto"/>
              </w:rPr>
            </w:pPr>
          </w:p>
        </w:tc>
      </w:tr>
      <w:tr>
        <w:trPr>
          <w:trHeight w:val="222"/>
        </w:trPr>
        <w:tc>
          <w:tcPr>
            <w:tcW w:w="80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654,181</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630,836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Equipment and software (estimated useful life of 2-7 years)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479,565</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452,197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CPE leased equipment (estimated useful life of 4-5 years)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227,563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221,017</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Furniture and fixtures (estimated useful life of 7 years)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19,837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 (estimated useful life of 2-17 years)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62,159</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Building (estimated useful life of 24 years)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3"/>
        </w:trPr>
        <w:tc>
          <w:tcPr>
            <w:tcW w:w="8020" w:type="dxa"/>
            <w:vAlign w:val="bottom"/>
          </w:tcPr>
          <w:p>
            <w:pPr>
              <w:ind w:left="44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14,274</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817,797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781,752</w:t>
            </w:r>
          </w:p>
        </w:tc>
        <w:tc>
          <w:tcPr>
            <w:tcW w:w="0" w:type="dxa"/>
            <w:vAlign w:val="bottom"/>
          </w:tcPr>
          <w:p>
            <w:pPr>
              <w:spacing w:after="0"/>
              <w:rPr>
                <w:sz w:val="1"/>
                <w:szCs w:val="1"/>
                <w:color w:val="auto"/>
              </w:rPr>
            </w:pPr>
          </w:p>
        </w:tc>
      </w:tr>
      <w:tr>
        <w:trPr>
          <w:trHeight w:val="223"/>
        </w:trPr>
        <w:tc>
          <w:tcPr>
            <w:tcW w:w="8020" w:type="dxa"/>
            <w:vAlign w:val="bottom"/>
          </w:tcPr>
          <w:p>
            <w:pPr>
              <w:ind w:left="4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(407,000)</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(360,086)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410,797</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421,666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Technology (weighted average useful life of 6 years)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57,084</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Contracts and customer relationships (weighted average useful life of 8 years)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99,733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88,853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Trade name (weighted average useful life of 3 years)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5,940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(weighted average useful life of 7 years)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190,702</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166,537</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amortization</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(139,432)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(131,140)</w:t>
            </w:r>
          </w:p>
        </w:tc>
        <w:tc>
          <w:tcPr>
            <w:tcW w:w="0" w:type="dxa"/>
            <w:vAlign w:val="bottom"/>
          </w:tcPr>
          <w:p>
            <w:pPr>
              <w:spacing w:after="0"/>
              <w:rPr>
                <w:sz w:val="1"/>
                <w:szCs w:val="1"/>
                <w:color w:val="auto"/>
              </w:rPr>
            </w:pPr>
          </w:p>
        </w:tc>
      </w:tr>
      <w:tr>
        <w:trPr>
          <w:trHeight w:val="222"/>
        </w:trPr>
        <w:tc>
          <w:tcPr>
            <w:tcW w:w="80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51,270</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Capitalized software costs, net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104,053</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91,022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orbital slots and other licenses,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95,770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110,711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38,334</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255,157</w:t>
            </w: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256,968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0960"/>
          </w:cols>
          <w:pgMar w:left="240" w:top="459" w:right="699" w:bottom="1440" w:gutter="0" w:footer="0" w:header="0"/>
        </w:sectPr>
      </w:pPr>
    </w:p>
    <w:p>
      <w:pPr>
        <w:jc w:val="center"/>
        <w:ind w:right="-4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60"/>
          </w:cols>
          <w:pgMar w:left="240" w:top="459" w:right="6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Collections in excess of revenues and deferred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81,852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69,127</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compensation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23,954</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Accrued vacation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23,904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22,550</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reserve, current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Current portion of other long-term debt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40,929</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49,119</w:t>
            </w:r>
          </w:p>
        </w:tc>
        <w:tc>
          <w:tcPr>
            <w:tcW w:w="100" w:type="dxa"/>
            <w:vAlign w:val="bottom"/>
            <w:shd w:val="clear" w:color="auto" w:fill="CCEEFF"/>
          </w:tcPr>
          <w:p>
            <w:pPr>
              <w:spacing w:after="0"/>
              <w:rPr>
                <w:sz w:val="18"/>
                <w:szCs w:val="18"/>
                <w:color w:val="auto"/>
              </w:rPr>
            </w:pPr>
          </w:p>
        </w:tc>
      </w:tr>
      <w:tr>
        <w:trPr>
          <w:trHeight w:val="222"/>
        </w:trPr>
        <w:tc>
          <w:tcPr>
            <w:tcW w:w="8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170,830</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175,974</w:t>
            </w: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Deferred revenue, long-term portion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7,144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rent, long-term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Warranty reserve, long-term portion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7,655</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long-term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ind w:left="440"/>
              <w:spacing w:after="0"/>
              <w:rPr>
                <w:sz w:val="20"/>
                <w:szCs w:val="20"/>
                <w:color w:val="auto"/>
              </w:rPr>
            </w:pPr>
            <w:r>
              <w:rPr>
                <w:rFonts w:ascii="Arial" w:cs="Arial" w:eastAsia="Arial" w:hAnsi="Arial"/>
                <w:sz w:val="18"/>
                <w:szCs w:val="18"/>
                <w:color w:val="auto"/>
              </w:rPr>
              <w:t>Satellite performance incentives obligation, long-term portion</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20,567</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48,893</w:t>
            </w:r>
          </w:p>
        </w:tc>
        <w:tc>
          <w:tcPr>
            <w:tcW w:w="100" w:type="dxa"/>
            <w:vAlign w:val="bottom"/>
            <w:shd w:val="clear" w:color="auto" w:fill="CCEEFF"/>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jc w:val="both"/>
        <w:ind w:right="48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and liabilities measured at fair value on a recurring basis as of October 3, 2014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4, 2014:</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October 3, 2014</w:t>
            </w:r>
          </w:p>
        </w:tc>
        <w:tc>
          <w:tcPr>
            <w:tcW w:w="56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Level 2</w:t>
            </w:r>
          </w:p>
        </w:tc>
        <w:tc>
          <w:tcPr>
            <w:tcW w:w="2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2,033</w:t>
            </w:r>
          </w:p>
        </w:tc>
        <w:tc>
          <w:tcPr>
            <w:tcW w:w="56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2,033</w:t>
            </w:r>
          </w:p>
        </w:tc>
        <w:tc>
          <w:tcPr>
            <w:tcW w:w="560" w:type="dxa"/>
            <w:vAlign w:val="bottom"/>
            <w:gridSpan w:val="3"/>
          </w:tcPr>
          <w:p>
            <w:pPr>
              <w:ind w:left="14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5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2,033</w:t>
            </w:r>
          </w:p>
        </w:tc>
        <w:tc>
          <w:tcPr>
            <w:tcW w:w="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7"/>
              </w:rPr>
              <w:t>April 4, 2014</w:t>
            </w:r>
          </w:p>
        </w:tc>
        <w:tc>
          <w:tcPr>
            <w:tcW w:w="56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Level 2</w:t>
            </w:r>
          </w:p>
        </w:tc>
        <w:tc>
          <w:tcPr>
            <w:tcW w:w="2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2,087</w:t>
            </w:r>
          </w:p>
        </w:tc>
        <w:tc>
          <w:tcPr>
            <w:tcW w:w="1480" w:type="dxa"/>
            <w:vAlign w:val="bottom"/>
            <w:gridSpan w:val="4"/>
          </w:tcPr>
          <w:p>
            <w:pPr>
              <w:ind w:left="560"/>
              <w:spacing w:after="0"/>
              <w:rPr>
                <w:sz w:val="20"/>
                <w:szCs w:val="20"/>
                <w:color w:val="auto"/>
              </w:rPr>
            </w:pPr>
            <w:r>
              <w:rPr>
                <w:rFonts w:ascii="Arial" w:cs="Arial" w:eastAsia="Arial" w:hAnsi="Arial"/>
                <w:sz w:val="18"/>
                <w:szCs w:val="18"/>
                <w:color w:val="auto"/>
              </w:rPr>
              <w:t>$2,087</w:t>
            </w:r>
          </w:p>
        </w:tc>
        <w:tc>
          <w:tcPr>
            <w:tcW w:w="560" w:type="dxa"/>
            <w:vAlign w:val="bottom"/>
            <w:gridSpan w:val="3"/>
          </w:tcPr>
          <w:p>
            <w:pPr>
              <w:ind w:left="14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2,127</w:t>
            </w:r>
          </w:p>
        </w:tc>
        <w:tc>
          <w:tcPr>
            <w:tcW w:w="1480" w:type="dxa"/>
            <w:vAlign w:val="bottom"/>
            <w:gridSpan w:val="4"/>
          </w:tcPr>
          <w:p>
            <w:pPr>
              <w:ind w:lef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borrowings under its revolving credit facility (the Credit Facility), reported at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borrowings, and $575.0 million in aggregate principal amount of 2020 Notes reported at amortized cost. However, for disclosure purposes, the Company is required to measure the fair value of outstanding debt on a recurring basis. As of October 3, 2014 and April 4, 2014, the fair value of the Company’s outstanding long-term debt related to the 2020 Notes was determined using quoted prices in active markets (Level 1) and was approximately $610.9 million and $616.7 million, respectively. The fair value of the Company’s long-term debt related to the Credit Facility approximates its carrying amount due to the variable interest rate on the revolving line of credit, which approximates a market interest rate.</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Satellite performance incentives obligation </w:t>
      </w:r>
      <w:r>
        <w:rPr>
          <w:rFonts w:ascii="Arial" w:cs="Arial" w:eastAsia="Arial" w:hAnsi="Arial"/>
          <w:sz w:val="16"/>
          <w:szCs w:val="16"/>
          <w:color w:val="auto"/>
        </w:rPr>
        <w:t>— The Company’s contract with the manufacturer of ViaSat-1 requires the Company to make monthly in-orbit</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each of October 3, 2014 and April 4, 2014, the Company’s estimated satellite performance incentives obligation and accrued interest was $22.4 million and $22.6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30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4600" w:type="dxa"/>
            <w:vAlign w:val="bottom"/>
          </w:tcPr>
          <w:p>
            <w:pPr>
              <w:spacing w:after="0"/>
              <w:rPr>
                <w:sz w:val="12"/>
                <w:szCs w:val="12"/>
                <w:color w:val="auto"/>
              </w:rPr>
            </w:pPr>
          </w:p>
        </w:tc>
        <w:tc>
          <w:tcPr>
            <w:tcW w:w="16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October 3, 2014</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October 4, 2013</w:t>
            </w:r>
          </w:p>
        </w:tc>
        <w:tc>
          <w:tcPr>
            <w:tcW w:w="74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October 3, 2014</w:t>
            </w: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October 4, 2013</w:t>
            </w:r>
          </w:p>
        </w:tc>
        <w:tc>
          <w:tcPr>
            <w:tcW w:w="34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8"/>
        </w:trPr>
        <w:tc>
          <w:tcPr>
            <w:tcW w:w="4600" w:type="dxa"/>
            <w:vAlign w:val="bottom"/>
          </w:tcPr>
          <w:p>
            <w:pPr>
              <w:spacing w:after="0"/>
              <w:rPr>
                <w:sz w:val="20"/>
                <w:szCs w:val="20"/>
                <w:color w:val="auto"/>
              </w:rPr>
            </w:pPr>
            <w:r>
              <w:rPr>
                <w:rFonts w:ascii="Arial" w:cs="Arial" w:eastAsia="Arial" w:hAnsi="Arial"/>
                <w:sz w:val="18"/>
                <w:szCs w:val="18"/>
                <w:color w:val="auto"/>
              </w:rPr>
              <w:t>Common shares outstanding used in calculating basic</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net income per share attributable to ViaSat, Inc.</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2"/>
        </w:trPr>
        <w:tc>
          <w:tcPr>
            <w:tcW w:w="4600" w:type="dxa"/>
            <w:vAlign w:val="bottom"/>
          </w:tcPr>
          <w:p>
            <w:pPr>
              <w:ind w:left="220"/>
              <w:spacing w:after="0"/>
              <w:rPr>
                <w:sz w:val="20"/>
                <w:szCs w:val="20"/>
                <w:color w:val="auto"/>
              </w:rPr>
            </w:pPr>
            <w:r>
              <w:rPr>
                <w:rFonts w:ascii="Arial" w:cs="Arial" w:eastAsia="Arial" w:hAnsi="Arial"/>
                <w:sz w:val="18"/>
                <w:szCs w:val="18"/>
                <w:color w:val="auto"/>
              </w:rPr>
              <w:t>common stockholders</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46,863</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45,484</w:t>
            </w:r>
          </w:p>
        </w:tc>
        <w:tc>
          <w:tcPr>
            <w:tcW w:w="920" w:type="dxa"/>
            <w:vAlign w:val="bottom"/>
          </w:tcPr>
          <w:p>
            <w:pPr>
              <w:jc w:val="right"/>
              <w:spacing w:after="0"/>
              <w:rPr>
                <w:sz w:val="20"/>
                <w:szCs w:val="20"/>
                <w:color w:val="auto"/>
              </w:rPr>
            </w:pPr>
            <w:r>
              <w:rPr>
                <w:rFonts w:ascii="Arial" w:cs="Arial" w:eastAsia="Arial" w:hAnsi="Arial"/>
                <w:sz w:val="18"/>
                <w:szCs w:val="18"/>
                <w:color w:val="auto"/>
              </w:rPr>
              <w:t>46,694</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45,304</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 as determined by</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24"/>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application of the treasury stock method</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528</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831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838</w:t>
            </w:r>
          </w:p>
        </w:tc>
      </w:tr>
      <w:tr>
        <w:trPr>
          <w:trHeight w:val="208"/>
        </w:trPr>
        <w:tc>
          <w:tcPr>
            <w:tcW w:w="4600" w:type="dxa"/>
            <w:vAlign w:val="bottom"/>
          </w:tcPr>
          <w:p>
            <w:pPr>
              <w:spacing w:after="0"/>
              <w:rPr>
                <w:sz w:val="20"/>
                <w:szCs w:val="20"/>
                <w:color w:val="auto"/>
              </w:rPr>
            </w:pPr>
            <w:r>
              <w:rPr>
                <w:rFonts w:ascii="Arial" w:cs="Arial" w:eastAsia="Arial" w:hAnsi="Arial"/>
                <w:sz w:val="18"/>
                <w:szCs w:val="18"/>
                <w:color w:val="auto"/>
              </w:rPr>
              <w:t>Restricted stock units to acquire common stock as</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determined by application of the treasury stock</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2"/>
        </w:trPr>
        <w:tc>
          <w:tcPr>
            <w:tcW w:w="4600" w:type="dxa"/>
            <w:vAlign w:val="bottom"/>
          </w:tcPr>
          <w:p>
            <w:pPr>
              <w:ind w:left="220"/>
              <w:spacing w:after="0"/>
              <w:rPr>
                <w:sz w:val="20"/>
                <w:szCs w:val="20"/>
                <w:color w:val="auto"/>
              </w:rPr>
            </w:pPr>
            <w:r>
              <w:rPr>
                <w:rFonts w:ascii="Arial" w:cs="Arial" w:eastAsia="Arial" w:hAnsi="Arial"/>
                <w:sz w:val="18"/>
                <w:szCs w:val="18"/>
                <w:color w:val="auto"/>
              </w:rPr>
              <w:t>method</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545</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696</w:t>
            </w:r>
          </w:p>
        </w:tc>
        <w:tc>
          <w:tcPr>
            <w:tcW w:w="920" w:type="dxa"/>
            <w:vAlign w:val="bottom"/>
          </w:tcPr>
          <w:p>
            <w:pPr>
              <w:jc w:val="right"/>
              <w:spacing w:after="0"/>
              <w:rPr>
                <w:sz w:val="20"/>
                <w:szCs w:val="20"/>
                <w:color w:val="auto"/>
              </w:rPr>
            </w:pPr>
            <w:r>
              <w:rPr>
                <w:rFonts w:ascii="Arial" w:cs="Arial" w:eastAsia="Arial" w:hAnsi="Arial"/>
                <w:sz w:val="18"/>
                <w:szCs w:val="18"/>
                <w:color w:val="auto"/>
              </w:rPr>
              <w:t>507</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635</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Potentially issuable shares in connection with certain</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terms of the ViaSat 401(k) Profit Sharing Plan and</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24"/>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Stock Purchase Plan equivalents</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r>
      <w:tr>
        <w:trPr>
          <w:trHeight w:val="215"/>
        </w:trPr>
        <w:tc>
          <w:tcPr>
            <w:tcW w:w="4600" w:type="dxa"/>
            <w:vAlign w:val="bottom"/>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9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r>
        <w:trPr>
          <w:trHeight w:val="223"/>
        </w:trPr>
        <w:tc>
          <w:tcPr>
            <w:tcW w:w="4600" w:type="dxa"/>
            <w:vAlign w:val="bottom"/>
          </w:tcPr>
          <w:p>
            <w:pPr>
              <w:ind w:left="220"/>
              <w:spacing w:after="0"/>
              <w:rPr>
                <w:sz w:val="20"/>
                <w:szCs w:val="20"/>
                <w:color w:val="auto"/>
              </w:rPr>
            </w:pPr>
            <w:r>
              <w:rPr>
                <w:rFonts w:ascii="Arial" w:cs="Arial" w:eastAsia="Arial" w:hAnsi="Arial"/>
                <w:sz w:val="18"/>
                <w:szCs w:val="18"/>
                <w:color w:val="auto"/>
              </w:rPr>
              <w:t>attributable to ViaSat, Inc. common stockholders</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48,016</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47,067</w:t>
            </w:r>
          </w:p>
        </w:tc>
        <w:tc>
          <w:tcPr>
            <w:tcW w:w="920" w:type="dxa"/>
            <w:vAlign w:val="bottom"/>
          </w:tcPr>
          <w:p>
            <w:pPr>
              <w:jc w:val="right"/>
              <w:spacing w:after="0"/>
              <w:rPr>
                <w:sz w:val="20"/>
                <w:szCs w:val="20"/>
                <w:color w:val="auto"/>
              </w:rPr>
            </w:pPr>
            <w:r>
              <w:rPr>
                <w:rFonts w:ascii="Arial" w:cs="Arial" w:eastAsia="Arial" w:hAnsi="Arial"/>
                <w:sz w:val="18"/>
                <w:szCs w:val="18"/>
                <w:color w:val="auto"/>
              </w:rPr>
              <w:t>47,899</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46,898</w:t>
            </w:r>
          </w:p>
        </w:tc>
      </w:tr>
      <w:tr>
        <w:trPr>
          <w:trHeight w:val="20"/>
        </w:trPr>
        <w:tc>
          <w:tcPr>
            <w:tcW w:w="4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920" w:type="dxa"/>
            <w:vAlign w:val="bottom"/>
          </w:tcPr>
          <w:p>
            <w:pPr>
              <w:jc w:val="right"/>
              <w:ind w:right="97"/>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Antidilutive shares relating to stock options excluded from the calculation comprised 318,354 and 312,750 shares for the three and six months ended October 3, 2014, respectively, and 14,204 and 52,603 shares for the three and six months ended October 4, 2013, respectively.</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Antidilutive shares relating to restricted stock units excluded from the calculation comprised 31,950 and zero for the three and six months ended October 3, 2014, respectively, and zero and 41,028 shares for the three and six months ended October 4, 2013,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During the first six months of fiscal year 2015, the Company’s goodwill increased by approximately $34.0 million, of which $34.3 million was related to the acquisition of NetNearU recorded within the Company’s government systems segment, partially offset by the effect of foreign currency translation recorded within the Company’s government systems and commercial networks segments.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which is not materially different from the economic benefit method. Amortization expense related to other acquired intangible assets was $4.7 million and $3.8 million for the three months ended October 3, 2014 and October 4, 2013, respectively, and $8.7 million and $7.3 million for the six months ended October 3, 2014 and October 4, 2013, respectively.</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3, 2014</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2015</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7,707</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51,270</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October 3, 2014 and April 4, 2014:</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100" w:type="dxa"/>
            <w:vAlign w:val="bottom"/>
            <w:gridSpan w:val="4"/>
          </w:tcPr>
          <w:p>
            <w:pPr>
              <w:ind w:left="2480"/>
              <w:spacing w:after="0"/>
              <w:rPr>
                <w:sz w:val="20"/>
                <w:szCs w:val="20"/>
                <w:color w:val="auto"/>
              </w:rPr>
            </w:pPr>
            <w:r>
              <w:rPr>
                <w:rFonts w:ascii="Arial" w:cs="Arial" w:eastAsia="Arial" w:hAnsi="Arial"/>
                <w:sz w:val="14"/>
                <w:szCs w:val="14"/>
                <w:b w:val="1"/>
                <w:bCs w:val="1"/>
                <w:color w:val="auto"/>
              </w:rPr>
              <w:t>October 3, 2014</w:t>
            </w: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ind w:left="58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2020 Notes</w:t>
            </w:r>
          </w:p>
        </w:tc>
        <w:tc>
          <w:tcPr>
            <w:tcW w:w="26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575,000</w:t>
            </w:r>
          </w:p>
        </w:tc>
        <w:tc>
          <w:tcPr>
            <w:tcW w:w="7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 on the 2020 Notes</w:t>
            </w:r>
          </w:p>
        </w:tc>
        <w:tc>
          <w:tcPr>
            <w:tcW w:w="2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00" w:type="dxa"/>
            <w:vAlign w:val="bottom"/>
            <w:gridSpan w:val="2"/>
          </w:tcPr>
          <w:p>
            <w:pPr>
              <w:spacing w:after="0"/>
              <w:rPr>
                <w:sz w:val="20"/>
                <w:szCs w:val="20"/>
                <w:color w:val="auto"/>
              </w:rPr>
            </w:pPr>
            <w:r>
              <w:rPr>
                <w:rFonts w:ascii="Arial" w:cs="Arial" w:eastAsia="Arial" w:hAnsi="Arial"/>
                <w:sz w:val="18"/>
                <w:szCs w:val="18"/>
                <w:color w:val="auto"/>
              </w:rPr>
              <w:t>Total senior notes, net of premium</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583,268</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583,861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700" w:type="dxa"/>
            <w:vAlign w:val="bottom"/>
            <w:gridSpan w:val="2"/>
          </w:tcPr>
          <w:p>
            <w:pPr>
              <w:spacing w:after="0"/>
              <w:rPr>
                <w:sz w:val="20"/>
                <w:szCs w:val="20"/>
                <w:color w:val="auto"/>
              </w:rPr>
            </w:pPr>
            <w:r>
              <w:rPr>
                <w:rFonts w:ascii="Arial" w:cs="Arial" w:eastAsia="Arial" w:hAnsi="Arial"/>
                <w:sz w:val="18"/>
                <w:szCs w:val="18"/>
                <w:color w:val="auto"/>
              </w:rPr>
              <w:t>Total senior notes long-term, net</w:t>
            </w:r>
          </w:p>
        </w:tc>
        <w:tc>
          <w:tcPr>
            <w:tcW w:w="2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583,268</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583,861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140,000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0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141,899</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2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0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140,843</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725,167</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691,617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Less: current portion</w:t>
            </w:r>
          </w:p>
        </w:tc>
        <w:tc>
          <w:tcPr>
            <w:tcW w:w="2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6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724,111</w:t>
            </w:r>
          </w:p>
        </w:tc>
        <w:tc>
          <w:tcPr>
            <w:tcW w:w="7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689,761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80" w:type="dxa"/>
            <w:vAlign w:val="bottom"/>
            <w:vMerge w:val="restart"/>
          </w:tcPr>
          <w:p>
            <w:pPr>
              <w:jc w:val="right"/>
              <w:ind w:right="1677"/>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October 3, 2014, the Company’s Credit Facility provided a $500.0 million revolving line of credit (including up to $150.0 million of letters of credit), with a maturity date of November 26, 2018. Borrowings under the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At October 3, 2014, the weighted average effective interest rate on the Company’s outstanding borrowings under the Credit Facility was 2.41%. The Company has capitalized certain amounts of interest expense on the Credit Facility in connection with the construction of various assets during the construction period. The Credit Facility is required to be guaranteed by certain significant domestic subsidiaries of the Company (as defined in the Credit Facility) and secured by substantially all of the Company’s and any such subsidiaries’ assets. As of October 3, 2014, none of the Company’s subsidiaries guaranteed the Credit Facility.</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Credit Facility contains financial covenants regarding a maximum total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was in compliance with its financial covenants under the Credit Facility as of October 3, 2014. At October 3, 2014, the Company had $140.0 million in principal amount of outstanding borrowings under the Credit Facility and $38.9 million outstanding under standby letters of credit, leaving borrowing availability under the Credit Facility as of October 3, 2014 of $321.1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February 2012, the Company issued $275.0 million in principal amount of 2020 Notes in a private placement to institutional buyers, which were exchanged in August 2012 for substantially identical 2020 Notes that had been registered with the Securities and Exchange Commission (the SEC). These initial 2020 Notes were issued at face value and are recorded as long-term debt in the Company’s condensed consolidated financial statements. On October 12, 2012, the Company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the Company received in connection with the issuance of the additional 2020 Notes is recorded as long-term debt in the Company’s condensed consolidated financial statements and is being amortized as a reduction to interest expense on an effective interest rate basis over the term of those 2020 Notes.</w:t>
      </w:r>
    </w:p>
    <w:p>
      <w:pPr>
        <w:spacing w:after="0" w:line="12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2020 Notes are required to be guaranteed on an unsecured senior basis by each of the Company’s existing and future subsidiaries that guarantees the Credit Facility. During the second quarter of fiscal year 2014, the last remaining subsidiary guarantor, ViaSat Communications, Inc., was merged into the Company. Accordingly, as of October 3, 2014,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Facility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Prior to June 15, 2015, the Company may redeem up to 35% of the 2020 Notes at a redemption price of 106.875% of the principal amount thereof, plus accrued and unpaid interest, if any, thereon to the redemption date, from the net cash proceeds of specified equity offerings. The Company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w:t>
      </w:r>
    </w:p>
    <w:p>
      <w:pPr>
        <w:spacing w:after="0" w:line="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3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October 3, 2014 and October 4, 2013:</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left="259"/>
              <w:spacing w:after="0"/>
              <w:rPr>
                <w:sz w:val="20"/>
                <w:szCs w:val="20"/>
                <w:color w:val="auto"/>
              </w:rPr>
            </w:pPr>
            <w:r>
              <w:rPr>
                <w:rFonts w:ascii="Arial" w:cs="Arial" w:eastAsia="Arial" w:hAnsi="Arial"/>
                <w:sz w:val="14"/>
                <w:szCs w:val="14"/>
                <w:b w:val="1"/>
                <w:bCs w:val="1"/>
                <w:color w:val="auto"/>
                <w:w w:val="87"/>
              </w:rPr>
              <w:t>Six Months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 2014</w:t>
            </w:r>
          </w:p>
        </w:tc>
        <w:tc>
          <w:tcPr>
            <w:tcW w:w="1220" w:type="dxa"/>
            <w:vAlign w:val="bottom"/>
            <w:tcBorders>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86"/>
              </w:rPr>
              <w:t>October 4, 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4"/>
          </w:tcPr>
          <w:p>
            <w:pPr>
              <w:jc w:val="center"/>
              <w:ind w:left="23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vMerge w:val="continue"/>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16,141</w:t>
            </w:r>
          </w:p>
        </w:tc>
        <w:tc>
          <w:tcPr>
            <w:tcW w:w="36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February 2012, the Company filed a complaint against SS/L and its former parent company Loral in the United States District Court for the Southern District of California for patent infringement and breach of contract relating to the manufacture of ViaSat-1. The Company alleged, among other things, that SS/L and Loral infringed U.S. Patent Nos. 8,107,875, 8,010,043, 8,068,827 and 7,773,942 by making, using, offering to sell and/or selling other high-capacity broadband satellites, and requested monetary damages, injunctive relief and other remedies. On December 17, 2013, the Company voluntarily dismissed its claims against SS/L under U.S. Patent No. 7,773,942.</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June 15, 2012, SS/L filed counterclaims against the Company for patent infringement and declaratory relief. Specifically, SS/L sought a declaration that SS/L did not breach the parties’ contract for the manufacture of ViaSat-1, that SS/L did not infringe the Company’s patents described above, and that those patents are invalid and/or unenforceable. SS/L also alleged that the Company infringed U.S. Patent Nos. 6,879,808, 6,400,696 and 7,219,132. On November 13, 2013, the Court granted summary judgment of non-infringement of U.S. Patent No. 6,879,808 in favor of ViaSat. On December 17, 2013, SS/L dismissed its claims against ViaSat under U.S. Patent No. 7,219,132.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24, 2014, a federal court jury returned a verdict in favor of the Company, finding that ViaSat’s patents are valid, SS/L infringed all of ViaSat’s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patents, and SS/L breached the parties’ non-disclosure agreement and the manufacturing contract for the ViaSat-1 satellite. The jury awarded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$283.0 million in damages for patent infringement and breach of contract. During the trial, SS/L chose not to pursue its claim against the Company for infringing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Patent No. 6,400,696.</w:t>
      </w:r>
    </w:p>
    <w:p>
      <w:pPr>
        <w:spacing w:after="0" w:line="16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Following the trial, SS/L filed a number of motions to set aside the damages award, challenging the Company’s legal basis for damages and asking the Court to invalidate the Company’s patents as well as reverse the jury’s finding that SS/L breached the parties’ contracts and infringed all of the Company’s patents. The Company also filed a motion for a permanent injunction preventing SS/L from continuing to infringe the Company’s patents and using the Company’s intellectual property.</w:t>
      </w:r>
    </w:p>
    <w:p>
      <w:pPr>
        <w:spacing w:after="0" w:line="143"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In August 2014, the Court upheld the jury’s findings that SS/L breached the parties’ contracts and infringed the Company’s patents. However, the Court ordered a new jury trial on the amount of damages resulting from SS/L’s breach and infringement. The damages retrial was scheduled for November 12, 2014.</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5, 2013, the Company filed a complaint against SS/L in the United States District Court for the Southern District of California for patent infringement and breach of contract relating to SS/L’s continued use of ViaSat’s patented technology and intellectual property in the manufacture of high-capacity broadband satellites. The Company alleged, among other things, that SS/L infringed U.S. Patent Nos. 7,230,908, 7,684,368, 8,213,929, 8,254,832, 8,285,202 and 8,548,377 by making, using, offering to sell and/or selling other high-capacity broadband satellites. The Company requested monetary damages, injunctive relief and other remedies.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September 5, 2014, the Company entered into a settlement agreement with SS/L and Loral (the Settlement Agreement), pursuant to which SS/L and Loral are required to pay the Company a total of $108.7 million, inclusive of interest, over a two and a half year period from the date of settlement. In exchange, the Company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accounted for the amounts payable under the Settlement Agreement as a multiple-element arrangement and allocated the total consideration to the identifiable elements based upon their fair value. The consideration assigned to each element was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Implied license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 damages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108,712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During the second quarter of fiscal year 2015, the Company recorded $40.0 million with respect to amounts realized under the Settlement Agreement during the quarter, of which $21.0 million was recognized as product revenues in the Company’s satellite services segment, $18.7 million was recognized as a reduction to SG&amp;A expenses, and $0.3 million was recognized as interest income in the condensed consolidated financial statements. The remaining payments under the Settlement Agreement will be recognized in future periods when realized, and will be recorded as product revenues in satellite services segment and interest income.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Form time to time, 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2011 and subsequent fiscal years. During the second quarter of fiscal year 2015, the DCAA completed its incurred cost audit for fiscal year 2004 and approved the Company’s incurred cost claims for fiscal years 2005 through 2010 without further audit. Although the Company has recorded contract revenues subsequent to fiscal year 2010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October 3, 2014 and April 4, 2014, the Company had $5.2 million and $6.7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 The decrease in contract-related reserves reflects the conclusion of the DCAA’s incurred cost audit for fiscal year 2004 and the DCAA’s approval of the Company’s incurred cost claims for fiscal years 2005 through 2010.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Company currently estimates its annual effective income tax expense rate to be approximately 35.0% for fiscal year 2015. The estimated effective tax rate is comparable to the expected statutory rate primarily due to state income taxes and the IRC Section 162(m) limitation mostly offset by the benefit of state research tax credits. The federal research and development tax credit expired December 31, 2013. If the federal research and development tax credit is reinstated, the Company may have a lower annual effective income tax expense rate for fiscal year 2015, and the amount of any such decrease will depend on the effective date of any such reinstatement, the terms of the reinstatement, as well as the amount of eligible research and development expenses in the reinstated period.</w:t>
      </w:r>
    </w:p>
    <w:p>
      <w:pPr>
        <w:spacing w:after="0" w:line="10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Future realization of the existing deferred tax asset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The Company’s analysis of the need for a valuation allowance on deferred tax assets considered the losses incurred during the fiscal years ended April 4, 2014 and March 29, 2013 and the income generated during the six months ended October 3, 2014. In fiscal year 2013, the Company recorded a significant loss, a substantial portion of which resulted from an extinguishment of debt charge that was recorded upon the refinancing of the Company’s former 2016 Notes with the proceeds from the issuance of additional 2020 Notes, which provides a benefit to net income due to the lower interest rate of the 2020 Notes. The loss from fiscal year 2014 was less significant and a substantial portion of that loss related to legal expense focused on protecting and extending our technology advantages in the litigation against SS/L and its former parent company Loral, which was resolved in the Company’s favor during the second quarter of fiscal year 2015 (see Note 8).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 The Company will continue to evaluate the ability to realize its deferred tax assets on a quarterly basis to determine if the weight of available evidence suggests that an additional valuation allowance is needed.</w:t>
      </w:r>
    </w:p>
    <w:p>
      <w:pPr>
        <w:spacing w:after="0" w:line="126"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For the three and six months ended October 3, 2014, the Company’s gross unrecognized tax benefits increased by $0.9 million and $1.5 million, respectively. In the next twelve months it is reasonably possible that the amount of unrecognized tax benefits will not change significantly.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Acquisition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June 6, 2014, the Company completed the acquisition of all outstanding shares of NetNearU. The purchase price for NetNearU is estimated to be approximately $59.9 million in cash consideration (subject to certain minor working capital post-closing adjustments). The preliminary net cash outlay for the acquisition, after taking into account estimated cash acquired of $4.1 million, was approximately $55.8 million.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accounts for business combinations pursuant to the authoritative guidance for business combinations (ASC 805). Accordingly,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Merger-related transaction costs incurred by the Company during the first quarter of fiscal year 2015 were approximately $0.4 million, which were recorded in SG&amp;A expenses.</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preliminary estimated purchase price allocation of the acquired assets and assumed liabilities based on the estimated fair values as of June 6, 2014 is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2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assumed</w:t>
            </w:r>
          </w:p>
        </w:tc>
        <w:tc>
          <w:tcPr>
            <w:tcW w:w="2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4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5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assigned to identifiable intangible assets are being amortized on a straight-line basis over their estimated useful lives and are as follows: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Estimated</w:t>
            </w: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8"/>
              </w:rPr>
              <w:t>Fair value</w:t>
            </w:r>
          </w:p>
        </w:tc>
        <w:tc>
          <w:tcPr>
            <w:tcW w:w="76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3"/>
          </w:tcPr>
          <w:p>
            <w:pPr>
              <w:ind w:left="2000"/>
              <w:spacing w:after="0"/>
              <w:rPr>
                <w:sz w:val="20"/>
                <w:szCs w:val="20"/>
                <w:color w:val="auto"/>
              </w:rPr>
            </w:pPr>
            <w:r>
              <w:rPr>
                <w:rFonts w:ascii="Arial" w:cs="Arial" w:eastAsia="Arial" w:hAnsi="Arial"/>
                <w:sz w:val="14"/>
                <w:szCs w:val="14"/>
                <w:b w:val="1"/>
                <w:bCs w:val="1"/>
                <w:color w:val="auto"/>
                <w:w w:val="84"/>
              </w:rPr>
              <w:t>(In thousands)</w:t>
            </w:r>
          </w:p>
        </w:tc>
        <w:tc>
          <w:tcPr>
            <w:tcW w:w="76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life</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Trade name</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210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intangible assets acquired in the NetNearU business combination were determined, in accordance with the authoritative guidance for business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combinations, based on the estimated fair values using valuation techniques consistent with the market approach and/or income approach to measure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remaining useful lives were estimated based on the underlying agreements and/or the future economic benefit expected to be received from the assets.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NetNearU has developed a comprehensive network management system for WiFi and other Internet access networks that the Company expects to use to extend the Company’s Exede</w:t>
      </w:r>
      <w:r>
        <w:rPr>
          <w:rFonts w:ascii="Arial" w:cs="Arial" w:eastAsia="Arial" w:hAnsi="Arial"/>
          <w:sz w:val="10"/>
          <w:szCs w:val="10"/>
          <w:color w:val="auto"/>
        </w:rPr>
        <w:t>®</w:t>
      </w:r>
      <w:r>
        <w:rPr>
          <w:rFonts w:ascii="Arial" w:cs="Arial" w:eastAsia="Arial" w:hAnsi="Arial"/>
          <w:sz w:val="16"/>
          <w:szCs w:val="16"/>
          <w:color w:val="auto"/>
        </w:rPr>
        <w:t xml:space="preserve"> broadband services to a wider subscriber base in multiple markets, including commercial airlines, live events, hospitality, enterprise networking and government broadband projects. NetNearU’s primary operations currently support government applications with the potential for future expansion into commercial applications. These current benefits and additional opportunities were among the factors that were taken into account in setting the purchase price and contributed to the recognition of preliminary estimated goodwill, which was recorded within the Company’s government systems segment. The intangible assets and goodwill recognized are not deductible for federal income tax purposes.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operating results of NetNearU from the date of acquisition. Pro forma results of operations have not been presented because the effect of the acquisition was insignificant to the financial statements for all periods presented.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fixed and mobile secure government communications systems, network management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revenues and operating profits (losses) for the three and six months ended October 3, 2014 and October 4, 2013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8"/>
              </w:rPr>
              <w:t>Three Months Ended</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8"/>
              </w:rPr>
              <w:t>Six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5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 2014</w:t>
            </w: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October 4, 2013</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 2014</w:t>
            </w: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October 4,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4"/>
          </w:tcPr>
          <w:p>
            <w:pPr>
              <w:ind w:left="4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 (1)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86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114,647</w:t>
            </w:r>
          </w:p>
        </w:tc>
        <w:tc>
          <w:tcPr>
            <w:tcW w:w="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100,347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224,332</w:t>
            </w: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186,178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135,936</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100,351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245,651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105,146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171,701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196,970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86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110,187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179,087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207,586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89,526</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105,241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169,033</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195,562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86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46,437</w:t>
            </w:r>
          </w:p>
        </w:tc>
        <w:tc>
          <w:tcPr>
            <w:tcW w:w="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84,458</w:t>
            </w: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135,963</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143,343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253,491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281,199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Elimination of intersegment revenues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358,758</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353,881</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674,983</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Operating profits (losses):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Satellite Services (2)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39,351</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(14,638)</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37,402</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2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(7,253)</w:t>
            </w:r>
          </w:p>
        </w:tc>
        <w:tc>
          <w:tcPr>
            <w:tcW w:w="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(13,243)</w:t>
            </w: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Systems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18,290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29,815</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Elimination of intersegment operating profits</w:t>
            </w:r>
          </w:p>
        </w:tc>
        <w:tc>
          <w:tcPr>
            <w:tcW w:w="22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before corporate and amortization of acquired</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51,114</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53,974</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(4,658)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(8,687)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(7,297)</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46,456</w:t>
            </w:r>
          </w:p>
        </w:tc>
        <w:tc>
          <w:tcPr>
            <w:tcW w:w="58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(510)</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45,287</w:t>
            </w:r>
          </w:p>
        </w:tc>
        <w:tc>
          <w:tcPr>
            <w:tcW w:w="5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2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the amounts realized under the Settlement Agreement during the three and six months ended October 3, 2014, $21.0 million was recognized as product revenues in the Company’s satellite services segment. See Note 8.</w:t>
      </w:r>
    </w:p>
    <w:p>
      <w:pPr>
        <w:ind w:left="460" w:right="44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profits for the satellite services segment for the three and six months ended October 3, 2014 include $39.7 million in earnings contributions relating to amounts realized under the Settlement Agreement. See Note 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gateways and other networking equipment, are assigned to corporate assets as they are available for use by the various segments throughout their estimated useful lives. Segment assets as of October 3, 2014 and April 4, 2014 were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October 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April 4,</w:t>
            </w: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right"/>
              <w:ind w:right="51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76,906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73,382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242,278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229,455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255,968</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575,152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509,685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1,439,612</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1,450,430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2,014,764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1,960,115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acquired intangible assets, net and goodwill included in segment assets as of October 3, 2014 and April 4, 2014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9"/>
              </w:rPr>
              <w:t>Other Acquired Intangible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1"/>
        </w:trPr>
        <w:tc>
          <w:tcPr>
            <w:tcW w:w="5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81"/>
              </w:rPr>
              <w:t>Assets, Net</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84"/>
              </w:rPr>
              <w:t>Goodwill</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29"/>
        </w:trPr>
        <w:tc>
          <w:tcPr>
            <w:tcW w:w="5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1"/>
                <w:szCs w:val="11"/>
                <w:color w:val="auto"/>
              </w:rPr>
            </w:pPr>
          </w:p>
        </w:tc>
        <w:tc>
          <w:tcPr>
            <w:tcW w:w="58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w w:val="97"/>
              </w:rPr>
              <w:t>As of</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1"/>
                <w:szCs w:val="11"/>
                <w:color w:val="auto"/>
              </w:rPr>
            </w:pPr>
          </w:p>
        </w:tc>
        <w:tc>
          <w:tcPr>
            <w:tcW w:w="60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w w:val="97"/>
              </w:rPr>
              <w:t>As of</w:t>
            </w:r>
          </w:p>
        </w:tc>
        <w:tc>
          <w:tcPr>
            <w:tcW w:w="360" w:type="dxa"/>
            <w:vAlign w:val="bottom"/>
          </w:tcPr>
          <w:p>
            <w:pPr>
              <w:spacing w:after="0"/>
              <w:rPr>
                <w:sz w:val="11"/>
                <w:szCs w:val="11"/>
                <w:color w:val="auto"/>
              </w:rPr>
            </w:pPr>
          </w:p>
        </w:tc>
      </w:tr>
      <w:tr>
        <w:trPr>
          <w:trHeight w:val="161"/>
        </w:trPr>
        <w:tc>
          <w:tcPr>
            <w:tcW w:w="50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October 3, 2014</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April 4, 2014</w:t>
            </w:r>
          </w:p>
        </w:tc>
        <w:tc>
          <w:tcPr>
            <w:tcW w:w="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October 3, 2014</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April 4, 2014</w:t>
            </w:r>
          </w:p>
        </w:tc>
      </w:tr>
      <w:tr>
        <w:trPr>
          <w:trHeight w:val="142"/>
        </w:trPr>
        <w:tc>
          <w:tcPr>
            <w:tcW w:w="50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28,931</w:t>
            </w:r>
          </w:p>
        </w:tc>
        <w:tc>
          <w:tcPr>
            <w:tcW w:w="6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9,809</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Commercial Networks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2,583</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44,009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44,148</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25,690</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63,799</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29,670</w:t>
            </w:r>
          </w:p>
        </w:tc>
        <w:tc>
          <w:tcPr>
            <w:tcW w:w="360" w:type="dxa"/>
            <w:vAlign w:val="bottom"/>
            <w:shd w:val="clear" w:color="auto" w:fill="CCEEFF"/>
          </w:tcPr>
          <w:p>
            <w:pPr>
              <w:spacing w:after="0"/>
              <w:rPr>
                <w:sz w:val="18"/>
                <w:szCs w:val="18"/>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51,270</w:t>
            </w:r>
          </w:p>
        </w:tc>
        <w:tc>
          <w:tcPr>
            <w:tcW w:w="7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35,397</w:t>
            </w:r>
          </w:p>
        </w:tc>
        <w:tc>
          <w:tcPr>
            <w:tcW w:w="660" w:type="dxa"/>
            <w:vAlign w:val="bottom"/>
          </w:tcPr>
          <w:p>
            <w:pPr>
              <w:spacing w:after="0"/>
              <w:rPr>
                <w:sz w:val="19"/>
                <w:szCs w:val="19"/>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117,617</w:t>
            </w:r>
          </w:p>
        </w:tc>
        <w:tc>
          <w:tcPr>
            <w:tcW w:w="3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83,627</w:t>
            </w:r>
          </w:p>
        </w:tc>
      </w:tr>
      <w:tr>
        <w:trPr>
          <w:trHeight w:val="20"/>
        </w:trPr>
        <w:tc>
          <w:tcPr>
            <w:tcW w:w="5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three and six months ended October 3, 2014 and October 4, 2013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8"/>
              </w:rPr>
              <w:t>Three Months Ended</w:t>
            </w:r>
          </w:p>
        </w:tc>
        <w:tc>
          <w:tcPr>
            <w:tcW w:w="54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5"/>
              </w:rPr>
              <w:t>Six Months Ended</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October 3, 2014</w:t>
            </w:r>
          </w:p>
        </w:tc>
        <w:tc>
          <w:tcPr>
            <w:tcW w:w="7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October 4, 2013</w:t>
            </w:r>
          </w:p>
        </w:tc>
        <w:tc>
          <w:tcPr>
            <w:tcW w:w="7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 2014</w:t>
            </w: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October 4, 2013</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2,765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5,530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Commercial Networks</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509</w:t>
            </w:r>
          </w:p>
        </w:tc>
        <w:tc>
          <w:tcPr>
            <w:tcW w:w="3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715</w:t>
            </w:r>
          </w:p>
        </w:tc>
        <w:tc>
          <w:tcPr>
            <w:tcW w:w="4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522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2,442</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 amortization of acquired intangible assets</w:t>
            </w: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4,658</w:t>
            </w:r>
          </w:p>
        </w:tc>
        <w:tc>
          <w:tcPr>
            <w:tcW w:w="76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3,796</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8,687</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7,297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96"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John Stenbit, a director of the Company since August 2004, also serves on the board of directors of Loral. Telesat Canada is an entity owned by TeleSat Holdings, Inc., a joint venture between Loral and the Public Sector Pension Investment Board. From time to time, the Company enters into various contracts in the ordinary course of business with Telesat Canada. These contracts are substantially the same as disclosed in the most recent Annual Report on Form 10-K.</w:t>
      </w:r>
    </w:p>
    <w:p>
      <w:pPr>
        <w:spacing w:after="0" w:line="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activities; the performance and anticipated benefits of the ViaSat-2 satellite; the expected capacity, service, coverage, service speeds and other features of ViaSat-2,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satellite; unexpected expenses related to the satellite project; our ability to successfully implement our business plan for our broadband satellite services on our anticipated timeline or at all, including with respect to the ViaSat-2 satellite system; risks associated with the construction, launch and operation of ViaSat-2 and our other satellites, including the effect of any anomaly, operational failure or degradation in satellite performance; our ability to successfully develop, introduce and sell new technologies, products and services; negative audits by the U.S. government; continued turmoil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April 4, 2014,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a leading provider of high-speed fixed and mobile broadband services, advanced satellite and other wireless networks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18"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During the first quarter of fiscal year 2015, we completed the acquisition of NetNearU Corp. (NetNearU), a privately held Delaware corporation. NetNearU has developed a comprehensive network management system for WiFi and other Internet access networks that we expect to use to extend our Exede</w:t>
      </w:r>
      <w:r>
        <w:rPr>
          <w:rFonts w:ascii="Arial" w:cs="Arial" w:eastAsia="Arial" w:hAnsi="Arial"/>
          <w:sz w:val="10"/>
          <w:szCs w:val="10"/>
          <w:color w:val="auto"/>
        </w:rPr>
        <w:t>®</w:t>
      </w:r>
      <w:r>
        <w:rPr>
          <w:rFonts w:ascii="Arial" w:cs="Arial" w:eastAsia="Arial" w:hAnsi="Arial"/>
          <w:sz w:val="15"/>
          <w:szCs w:val="15"/>
          <w:color w:val="auto"/>
        </w:rPr>
        <w:t xml:space="preserve"> broadband services to a wider subscriber base in multiple markets, including commercial airlines, live events, hospitality, enterprise networking and government broadband projects. NetNearU’s primary operations currently support government applications. The purchase price for NetNearU is estimated to be approximately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$59.9 million in cash consideration (subject to certain minor working capital post-closing adjustments).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Our satellite services segment provides retail and wholesale satellite-based broadband services for our consumer, enterprise and mobile broadband customers primarily in the United States. Our Exede broadband services are designed to offer a high-quality broadband service choice to the millions of unserved and under-served consumers in the United States and to significantly expand the quality, capability and availability of high-speed broadband satellite services for U.S. consumers and enterprises. Our satellite services business also provides a platform for the provision of network management services to domestic and international satellite service providers. In May 2013, we entered into a satellite construction contract for ViaSat-2, our second high-capacity Ka-band satellite.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jc w:val="both"/>
        <w:ind w:left="900" w:right="18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and wholesale broadband satellite services offered to consumers and small businesses under the Exede and WildBlue brands, which provide two-way satellite-based broadband internet access and Voice over Internet Protocol (VoIP). As of October 3, 2014, we provided broadband satellite services to approximately 657,000 subscribers.</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Enterprise broadband services, which include in-flight WiFi (including our flagship Exede In The Air service), live on-line event streaming, oil and natural gas data gathering services and high definition satellite news gathering.</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September 5, 2014, we entered into a settlement agreement with Space Systems/Loral, Inc. (SS/L) and its former parent company Loral Space &amp; Communications, Inc. (Loral) (the Settlement Agreement), pursuant to which SS/L and Loral are required to pay us a total of $108.7 million, inclusive of interest, over a two and a half year period from the date of settlement. In exchange, we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 Payments under the Settlement Agreement will be recorded as product revenues in our satellite services segment, as a reduction of selling, general and administrative (SG&amp;A) expenses and as interest income. For further information, see Note 8 to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9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900" w:right="2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8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satellite networking services, network management systems and global mobile broadband capability, and include products designed for manpacks, aircraft, unmanned aerial vehicles (UAVs), seagoing vessels, ground mobile vehicles and fixed applications.</w:t>
      </w:r>
    </w:p>
    <w:p>
      <w:pPr>
        <w:spacing w:after="0" w:line="61" w:lineRule="exact"/>
        <w:rPr>
          <w:rFonts w:ascii="Arial" w:cs="Arial" w:eastAsia="Arial" w:hAnsi="Arial"/>
          <w:sz w:val="18"/>
          <w:szCs w:val="18"/>
          <w:color w:val="auto"/>
        </w:rPr>
      </w:pPr>
    </w:p>
    <w:p>
      <w:pPr>
        <w:ind w:left="900" w:right="40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security and assurance products and secure networking solutions, which provide advanced, high-speed IP-based “Type 1” and High Assurance Internet Protocol Encryption (HAIPE</w:t>
      </w:r>
      <w:r>
        <w:rPr>
          <w:rFonts w:ascii="Arial" w:cs="Arial" w:eastAsia="Arial" w:hAnsi="Arial"/>
          <w:sz w:val="10"/>
          <w:szCs w:val="10"/>
          <w:color w:val="auto"/>
        </w:rPr>
        <w:t>®</w:t>
      </w:r>
      <w:r>
        <w:rPr>
          <w:rFonts w:ascii="Arial" w:cs="Arial" w:eastAsia="Arial" w:hAnsi="Arial"/>
          <w:sz w:val="16"/>
          <w:szCs w:val="16"/>
          <w:color w:val="auto"/>
        </w:rPr>
        <w:t>)-compliant encryption solutions that enable military and government users to communicate information securely over networks, and that secure data stored on computers and storage devices.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(MIDS-JTRS) terminals, “disposable” weapon data links and portable small tactical terminals.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89% and 93% of our total revenues for these segments for the three months ended October 3, 2014 and October 4, 2013, respectively, and 89% and 93% of our total revenues for these segments for the six months ended October 3, 2014 and October 4, 2013,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23% and 34% of our total revenues in the three months ended October 3, 2014 and October 4, 2013, respectively. Revenues for our funded research and development from our customer contracts were approximately 25% and 31% of our total revenues in the six months ended October 3, 2014 and October 4, 2013, respectively.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3% and 4% of total revenues during the three months ended October 3, 2014 and October 4, 2013, respectively, and approximately 3% and 4% of total revenues during the six months ended October 3, 2014 and October 4, 2013, respectively. As a government contractor, we are able to recover a portion of our IR&amp;D expenses pursuant to our government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October 3, 2014 and October 4, 2013, we recorded no losses and losses of approximately $0.6 million, respectively, related to loss contracts. During the six months ended October 3, 2014 and October 4, 2013, we recorded losses of approximately $0.1 million and $1.0 million, respectively, related to loss contracts.</w:t>
      </w:r>
    </w:p>
    <w:p>
      <w:pPr>
        <w:spacing w:after="0" w:line="11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October 3, 2014 would change our income before income taxes by approximately $0.6 million.</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60" w:firstLine="8"/>
        <w:spacing w:after="0" w:line="288"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2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18"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own two satellites: ViaSat-1 (our first high-capacity Ka-band spot-beam satellite, which was placed into service in January 2012) and WildBlue-1 (which was placed into service in March 2007). In May 2013, we entered into a satellite construction contract for ViaSat-2, our second high-capacity Ka-band satellite. In addition, we have an exclusive prepaid lifetime capital lease of Ka-band capacity over the contiguous United States on Telesat Canada’s Anik F2 satellite (which was placed into service in April 2005) and own related gateway and networking equipment on all of our satellites. Property and equipment also includes the indoor and outdoor customer premise equipment (CPE) units leased to subscribers under a retail leasing program as part of our satellite services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six months ended October 3, 2014 and October 4,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permits us to make a qualitative assessment of whether it is more likely than not that a reporting unit’s fair value is less than its carrying amount before applying the two step goodwill impairment test. If, after completing our qualitative assessment we determine that it is more likely than not that the carrying value exceeds estimated fair value, we compare the fair value to our carrying value (including goodwill). If the estimated fair value is greater than the carrying value, we conclude that no impairment exists.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Furthermore, in addition to the qualitative analysis, we believe it is appropriate to conduct a quantitative analysis periodically as a prudent review of our reporting unit goodwill fair values. Our quantitative analysis estimates the fair values of the reporting units using discounted cash flows and other indicators of fair value. The forecast of future cash flow is based on our best estimate of the future revenue and operating costs, based primarily on existing firm orders, expected future orders, contracts with suppliers, labor resources and general market conditions. Based on a quantitative analysis for fiscal year 2014, we concluded that estimated fair values of our reporting units significantly exceed their respective carrying value.</w:t>
      </w:r>
    </w:p>
    <w:p>
      <w:pPr>
        <w:spacing w:after="0" w:line="14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Our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2014, we concluded that it was more likely than not that the estimated fair value of our reporting units exceeded its carrying value as of April 4, 2014 and, therefore, determined it was not necessary to perform step two of the goodwill impairment test.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increased from $12.8 million at April 4, 2014 to $13.7 million at October 3, 2014. The valuation allowance primarily relates to state net operating loss carryforwards and research and development credit carryforwards available to reduce state income taxes.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analysis of the need for a valuation allowance on deferred tax assets considered the losses incurred during the fiscal years ended April 4, 2014 and March 29, 2013 and the income generated during the six months ended October 3, 2014. In fiscal year 2013, we recorded a significant loss, a substantial portion of which resulted from an extinguishment of debt charge that was recorded upon the refinancing of our former 8.875% Senior Notes due 2016 (2016 Notes) with the proceeds from the issuance of additional 6.875% Senior Notes due 2020 (2020 Notes), which provides a benefit to net income due to the lower interest rate of the 2020 Notes. The loss from fiscal year 2014 was less significant and substantial portion of that loss related to legal expense focused on protecting and extending our technology advantages in the litigation against SS/L and Loral, which was resolved in our favor during the second quarter of fiscal year 2015 (see Note 8 to the condensed consolidated financial statements). In addition to these events, our evaluation considered other factors, including our contractual backlog, our history of positive earnings, current earnings trends assuming our satellite subscriber base continues to grow, taxable income adjusted for certain items, and forecasted income by jurisdiction. We also considered the lengthy period over which these net deferred tax assets can be realized and our history of not having federal tax loss carryforwards expire unused.</w:t>
      </w:r>
    </w:p>
    <w:p>
      <w:pPr>
        <w:spacing w:after="0" w:line="12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00" w:type="dxa"/>
            <w:vAlign w:val="bottom"/>
            <w:tcBorders>
              <w:top w:val="single" w:sz="8" w:color="auto"/>
            </w:tcBorders>
            <w:gridSpan w:val="5"/>
          </w:tcPr>
          <w:p>
            <w:pPr>
              <w:jc w:val="center"/>
              <w:ind w:right="700"/>
              <w:spacing w:after="0" w:line="129" w:lineRule="exact"/>
              <w:rPr>
                <w:sz w:val="20"/>
                <w:szCs w:val="20"/>
                <w:color w:val="auto"/>
              </w:rPr>
            </w:pPr>
            <w:r>
              <w:rPr>
                <w:rFonts w:ascii="Arial" w:cs="Arial" w:eastAsia="Arial" w:hAnsi="Arial"/>
                <w:sz w:val="14"/>
                <w:szCs w:val="14"/>
                <w:b w:val="1"/>
                <w:bCs w:val="1"/>
                <w:color w:val="auto"/>
                <w:w w:val="86"/>
              </w:rPr>
              <w:t>October 3,</w:t>
            </w:r>
          </w:p>
        </w:tc>
        <w:tc>
          <w:tcPr>
            <w:tcW w:w="6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October 3,</w:t>
            </w: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3"/>
              </w:rPr>
              <w:t>2014</w:t>
            </w: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85"/>
              </w:rPr>
              <w:t>100.0%</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100.0%</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ind w:left="440"/>
              <w:spacing w:after="0"/>
              <w:rPr>
                <w:sz w:val="20"/>
                <w:szCs w:val="20"/>
                <w:color w:val="auto"/>
              </w:rPr>
            </w:pPr>
            <w:r>
              <w:rPr>
                <w:rFonts w:ascii="Arial" w:cs="Arial" w:eastAsia="Arial" w:hAnsi="Arial"/>
                <w:sz w:val="18"/>
                <w:szCs w:val="18"/>
                <w:color w:val="auto"/>
              </w:rPr>
              <w:t>Product revenues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54.1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53.4</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45.9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36.3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ind w:left="440"/>
              <w:spacing w:after="0"/>
              <w:rPr>
                <w:sz w:val="20"/>
                <w:szCs w:val="20"/>
                <w:color w:val="auto"/>
              </w:rPr>
            </w:pPr>
            <w:r>
              <w:rPr>
                <w:rFonts w:ascii="Arial" w:cs="Arial" w:eastAsia="Arial" w:hAnsi="Arial"/>
                <w:sz w:val="18"/>
                <w:szCs w:val="18"/>
                <w:color w:val="auto"/>
              </w:rPr>
              <w:t>Cost of service revenues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31.1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ind w:left="440"/>
              <w:spacing w:after="0"/>
              <w:rPr>
                <w:sz w:val="20"/>
                <w:szCs w:val="20"/>
                <w:color w:val="auto"/>
              </w:rPr>
            </w:pPr>
            <w:r>
              <w:rPr>
                <w:rFonts w:ascii="Arial" w:cs="Arial" w:eastAsia="Arial" w:hAnsi="Arial"/>
                <w:sz w:val="18"/>
                <w:szCs w:val="18"/>
                <w:color w:val="auto"/>
              </w:rPr>
              <w:t>Independent research and development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12.9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10.7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w w:val="95"/>
              </w:rPr>
              <w:t>Three Months Ended October 3, 2014 vs. Three Months Ended October 4, 2013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Dollar</w:t>
            </w: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460" w:type="dxa"/>
            <w:vAlign w:val="bottom"/>
            <w:vMerge w:val="restart"/>
          </w:tcPr>
          <w:p>
            <w:pPr>
              <w:spacing w:after="0"/>
              <w:rPr>
                <w:sz w:val="11"/>
                <w:szCs w:val="11"/>
                <w:color w:val="auto"/>
              </w:rPr>
            </w:pPr>
          </w:p>
        </w:tc>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4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Borders>
              <w:top w:val="single" w:sz="8" w:color="auto"/>
            </w:tcBorders>
            <w:gridSpan w:val="4"/>
          </w:tcPr>
          <w:p>
            <w:pPr>
              <w:jc w:val="right"/>
              <w:ind w:right="500"/>
              <w:spacing w:after="0" w:line="129" w:lineRule="exact"/>
              <w:rPr>
                <w:sz w:val="20"/>
                <w:szCs w:val="20"/>
                <w:color w:val="auto"/>
              </w:rPr>
            </w:pPr>
            <w:r>
              <w:rPr>
                <w:rFonts w:ascii="Arial" w:cs="Arial" w:eastAsia="Arial" w:hAnsi="Arial"/>
                <w:sz w:val="14"/>
                <w:szCs w:val="14"/>
                <w:b w:val="1"/>
                <w:bCs w:val="1"/>
                <w:color w:val="auto"/>
                <w:w w:val="83"/>
              </w:rPr>
              <w:t>October 3,</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600" w:type="dxa"/>
            <w:vAlign w:val="bottom"/>
          </w:tcPr>
          <w:p>
            <w:pPr>
              <w:spacing w:after="0"/>
              <w:rPr>
                <w:sz w:val="11"/>
                <w:szCs w:val="11"/>
                <w:color w:val="auto"/>
              </w:rPr>
            </w:pPr>
          </w:p>
        </w:tc>
        <w:tc>
          <w:tcPr>
            <w:tcW w:w="98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Increase</w:t>
            </w:r>
          </w:p>
        </w:tc>
        <w:tc>
          <w:tcPr>
            <w:tcW w:w="60" w:type="dxa"/>
            <w:vAlign w:val="bottom"/>
          </w:tcPr>
          <w:p>
            <w:pPr>
              <w:spacing w:after="0"/>
              <w:rPr>
                <w:sz w:val="11"/>
                <w:szCs w:val="11"/>
                <w:color w:val="auto"/>
              </w:rPr>
            </w:pPr>
          </w:p>
        </w:tc>
        <w:tc>
          <w:tcPr>
            <w:tcW w:w="9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2000" w:type="dxa"/>
            <w:vAlign w:val="bottom"/>
            <w:tcBorders>
              <w:bottom w:val="single" w:sz="8" w:color="auto"/>
            </w:tcBorders>
            <w:vMerge w:val="continue"/>
          </w:tcPr>
          <w:p>
            <w:pPr>
              <w:spacing w:after="0"/>
              <w:rPr>
                <w:sz w:val="12"/>
                <w:szCs w:val="12"/>
                <w:color w:val="auto"/>
              </w:rPr>
            </w:pPr>
          </w:p>
        </w:tc>
        <w:tc>
          <w:tcPr>
            <w:tcW w:w="3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4"/>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3"/>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94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193.9</w:t>
            </w:r>
          </w:p>
        </w:tc>
        <w:tc>
          <w:tcPr>
            <w:tcW w:w="5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210.4</w:t>
            </w:r>
          </w:p>
        </w:tc>
        <w:tc>
          <w:tcPr>
            <w:tcW w:w="60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(16.5)</w:t>
            </w:r>
          </w:p>
        </w:tc>
        <w:tc>
          <w:tcPr>
            <w:tcW w:w="360" w:type="dxa"/>
            <w:vAlign w:val="bottom"/>
            <w:vMerge w:val="continue"/>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Service revenues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total revenues increased by $4.9 million as a result of the $21.3 million increase in service revenues, offset by a $16.5 million decrease in product revenues. The service revenue increase was comprised of $14.3 million in our satellite services segment and $8.3 million in our government systems segment, offset by a decrease of $1.3 million in our commercial networks segment. The product revenue decrease was driven by a decrease of $22.0 million in our commercial networks segment and $15.7 million in our government systems segment, offset by an increase of $21.3 million in our satellite services segment (related to the Settlement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w w:val="99"/>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October 3,</w:t>
            </w:r>
          </w:p>
        </w:tc>
        <w:tc>
          <w:tcPr>
            <w:tcW w:w="60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620" w:type="dxa"/>
            <w:vAlign w:val="bottom"/>
          </w:tcPr>
          <w:p>
            <w:pPr>
              <w:spacing w:after="0"/>
              <w:rPr>
                <w:sz w:val="11"/>
                <w:szCs w:val="11"/>
                <w:color w:val="auto"/>
              </w:rPr>
            </w:pPr>
          </w:p>
        </w:tc>
        <w:tc>
          <w:tcPr>
            <w:tcW w:w="9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620" w:type="dxa"/>
            <w:vAlign w:val="bottom"/>
          </w:tcPr>
          <w:p>
            <w:pPr>
              <w:spacing w:after="0"/>
              <w:rPr>
                <w:sz w:val="12"/>
                <w:szCs w:val="12"/>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4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130.1</w:t>
            </w: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157.6</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(27.5)</w:t>
            </w:r>
          </w:p>
        </w:tc>
        <w:tc>
          <w:tcPr>
            <w:tcW w:w="38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120" w:type="dxa"/>
            <w:vAlign w:val="bottom"/>
          </w:tcPr>
          <w:p>
            <w:pPr>
              <w:jc w:val="right"/>
              <w:ind w:right="69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Cost of revenues decreased by $20.4 million primarily due to a decrease in cost of product revenues of $27.5 million, offset by a $7.1 million increase in cost of service revenues. The cost of product revenues decrease was primarily due to decreased revenues, causing a $28.0 million decrease in cost of product revenues on a constant margin basis, prior to the effects of product revenues related to the implied license under the Settlement Agreement. This decrease mainly related to our commercial networks segment from fixed satellite networks (driven by consumer broadband products) and to our government systems segment from government satellite communication systems (driven by command and control situational awareness). The cost of service revenues increase was primarily due to increased service revenues, which caused a $15.5 million increase in cost of service revenues on a constant margin basis. This increase mainly related to our Exede broadband services in our satellite services segment. However, as our Exede subscribers have continued to grow and related revenues scale, we have also experienced improved margins from our broadband services in our satellite services segment offsetting the cost of service revenue growth.</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0" w:lineRule="exact"/>
        <w:rPr>
          <w:sz w:val="20"/>
          <w:szCs w:val="20"/>
          <w:color w:val="auto"/>
        </w:rPr>
      </w:pP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320" w:type="dxa"/>
            <w:vAlign w:val="bottom"/>
            <w:vMerge w:val="restart"/>
          </w:tcPr>
          <w:p>
            <w:pPr>
              <w:spacing w:after="0"/>
              <w:rPr>
                <w:sz w:val="11"/>
                <w:szCs w:val="11"/>
                <w:color w:val="auto"/>
              </w:rPr>
            </w:pPr>
          </w:p>
        </w:tc>
        <w:tc>
          <w:tcPr>
            <w:tcW w:w="1840" w:type="dxa"/>
            <w:vAlign w:val="bottom"/>
          </w:tcPr>
          <w:p>
            <w:pPr>
              <w:spacing w:after="0"/>
              <w:rPr>
                <w:sz w:val="11"/>
                <w:szCs w:val="11"/>
                <w:color w:val="auto"/>
              </w:rPr>
            </w:pPr>
          </w:p>
        </w:tc>
        <w:tc>
          <w:tcPr>
            <w:tcW w:w="12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October 3,</w:t>
            </w:r>
          </w:p>
        </w:tc>
        <w:tc>
          <w:tcPr>
            <w:tcW w:w="6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October 4,</w:t>
            </w:r>
          </w:p>
        </w:tc>
        <w:tc>
          <w:tcPr>
            <w:tcW w:w="580" w:type="dxa"/>
            <w:vAlign w:val="bottom"/>
          </w:tcPr>
          <w:p>
            <w:pPr>
              <w:spacing w:after="0"/>
              <w:rPr>
                <w:sz w:val="11"/>
                <w:szCs w:val="11"/>
                <w:color w:val="auto"/>
              </w:rPr>
            </w:pPr>
          </w:p>
        </w:tc>
        <w:tc>
          <w:tcPr>
            <w:tcW w:w="9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4"/>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460" w:type="dxa"/>
            <w:vAlign w:val="bottom"/>
            <w:gridSpan w:val="2"/>
          </w:tcPr>
          <w:p>
            <w:pPr>
              <w:jc w:val="right"/>
              <w:ind w:right="106"/>
              <w:spacing w:after="0" w:line="148" w:lineRule="exact"/>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2"/>
                <w:szCs w:val="12"/>
                <w:color w:val="auto"/>
              </w:rPr>
            </w:pPr>
          </w:p>
        </w:tc>
        <w:tc>
          <w:tcPr>
            <w:tcW w:w="620" w:type="dxa"/>
            <w:vAlign w:val="bottom"/>
          </w:tcPr>
          <w:p>
            <w:pPr>
              <w:jc w:val="right"/>
              <w:ind w:right="106"/>
              <w:spacing w:after="0" w:line="148" w:lineRule="exact"/>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2"/>
                <w:szCs w:val="12"/>
                <w:color w:val="auto"/>
              </w:rPr>
            </w:pPr>
          </w:p>
        </w:tc>
        <w:tc>
          <w:tcPr>
            <w:tcW w:w="9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vMerge w:val="continue"/>
            <w:shd w:val="clear" w:color="auto" w:fill="CCEEFF"/>
          </w:tcPr>
          <w:p>
            <w:pPr>
              <w:spacing w:after="0"/>
              <w:rPr>
                <w:sz w:val="17"/>
                <w:szCs w:val="17"/>
                <w:color w:val="auto"/>
              </w:rPr>
            </w:pPr>
          </w:p>
        </w:tc>
        <w:tc>
          <w:tcPr>
            <w:tcW w:w="18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54.4</w:t>
            </w:r>
          </w:p>
        </w:tc>
        <w:tc>
          <w:tcPr>
            <w:tcW w:w="58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73.6</w:t>
            </w:r>
          </w:p>
        </w:tc>
        <w:tc>
          <w:tcPr>
            <w:tcW w:w="58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(19.2)</w:t>
            </w:r>
          </w:p>
        </w:tc>
        <w:tc>
          <w:tcPr>
            <w:tcW w:w="3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$19.2 million decrease in SG&amp;A expenses was primarily attributable to the recognition of $18.7 million of payments made under the Settlement Agreement as a reduction to SG&amp;A expenses in our satellite services segment. Additionally, the decrease in SG&amp;A expenses included lower selling costs of $2.9 million (mainly due to our satellite services segment), offset by new business proposal costs of $2.8 million (primarily due to our government systems segment). SG&amp;A expenses consisted primarily of personnel costs and expenses for business development, marketing and sales, bid and proposal, facilities, finance, contract administration and general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9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Dollar</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20" w:type="dxa"/>
            <w:vAlign w:val="bottom"/>
            <w:vMerge w:val="restart"/>
          </w:tcPr>
          <w:p>
            <w:pPr>
              <w:spacing w:after="0"/>
              <w:rPr>
                <w:sz w:val="11"/>
                <w:szCs w:val="11"/>
                <w:color w:val="auto"/>
              </w:rPr>
            </w:pPr>
          </w:p>
        </w:tc>
        <w:tc>
          <w:tcPr>
            <w:tcW w:w="12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October 3,</w:t>
            </w:r>
          </w:p>
        </w:tc>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October 4,</w:t>
            </w:r>
          </w:p>
        </w:tc>
        <w:tc>
          <w:tcPr>
            <w:tcW w:w="660" w:type="dxa"/>
            <w:vAlign w:val="bottom"/>
          </w:tcPr>
          <w:p>
            <w:pPr>
              <w:spacing w:after="0"/>
              <w:rPr>
                <w:sz w:val="11"/>
                <w:szCs w:val="11"/>
                <w:color w:val="auto"/>
              </w:rPr>
            </w:pPr>
          </w:p>
        </w:tc>
        <w:tc>
          <w:tcPr>
            <w:tcW w:w="9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4"/>
              </w:rPr>
              <w:t>Increase</w:t>
            </w:r>
          </w:p>
        </w:tc>
        <w:tc>
          <w:tcPr>
            <w:tcW w:w="10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920" w:type="dxa"/>
            <w:vAlign w:val="bottom"/>
            <w:vMerge w:val="continue"/>
          </w:tcPr>
          <w:p>
            <w:pPr>
              <w:spacing w:after="0"/>
              <w:rPr>
                <w:sz w:val="12"/>
                <w:szCs w:val="12"/>
                <w:color w:val="auto"/>
              </w:rPr>
            </w:pPr>
          </w:p>
        </w:tc>
        <w:tc>
          <w:tcPr>
            <w:tcW w:w="620" w:type="dxa"/>
            <w:vAlign w:val="bottom"/>
          </w:tcPr>
          <w:p>
            <w:pPr>
              <w:jc w:val="right"/>
              <w:ind w:right="107"/>
              <w:spacing w:after="0" w:line="148" w:lineRule="exact"/>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2"/>
                <w:szCs w:val="12"/>
                <w:color w:val="auto"/>
              </w:rPr>
            </w:pPr>
          </w:p>
        </w:tc>
        <w:tc>
          <w:tcPr>
            <w:tcW w:w="620" w:type="dxa"/>
            <w:vAlign w:val="bottom"/>
          </w:tcPr>
          <w:p>
            <w:pPr>
              <w:jc w:val="right"/>
              <w:ind w:right="106"/>
              <w:spacing w:after="0" w:line="148"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2"/>
                <w:szCs w:val="12"/>
                <w:color w:val="auto"/>
              </w:rPr>
            </w:pPr>
          </w:p>
        </w:tc>
        <w:tc>
          <w:tcPr>
            <w:tcW w:w="9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(Decrease)</w:t>
            </w:r>
          </w:p>
        </w:tc>
        <w:tc>
          <w:tcPr>
            <w:tcW w:w="10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11.5</w:t>
            </w:r>
          </w:p>
        </w:tc>
        <w:tc>
          <w:tcPr>
            <w:tcW w:w="6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14.9</w:t>
            </w:r>
          </w:p>
        </w:tc>
        <w:tc>
          <w:tcPr>
            <w:tcW w:w="6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(3.4)</w:t>
            </w:r>
          </w:p>
        </w:tc>
        <w:tc>
          <w:tcPr>
            <w:tcW w:w="36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$3.4 million decrease in IR&amp;D expenses reflected decreased IR&amp;D efforts in our government systems segment of $2.1 million (primarily due to a decrease in advancement of integrated government satellite communications platforms and development of next-generation dual band mobility solutions, offset by an increase in information assurance projects) and a decrease in our commercial networks segment of $1.2 million (primarily due to a decrease in next-generation consumer broadband, offset by an increase in mobile broadband satellite communication systems).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$0.9 million increase in amortization of acquired intangible assets in the second quarter of fiscal year 2015 compared to the prior year period was primarily the result of our acquisition of NetNearU in June 2014, which contributed an increase of $1.0 million. Current and expected amortization expense for acquired intangible assets for each of the following periods is as follows:</w:t>
      </w:r>
    </w:p>
    <w:p>
      <w:pPr>
        <w:spacing w:after="0" w:line="38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3, 2014</w:t>
            </w:r>
          </w:p>
        </w:tc>
        <w:tc>
          <w:tcPr>
            <w:tcW w:w="35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tcPr>
          <w:p>
            <w:pPr>
              <w:spacing w:after="0"/>
              <w:rPr>
                <w:sz w:val="20"/>
                <w:szCs w:val="20"/>
                <w:color w:val="auto"/>
              </w:rPr>
            </w:pPr>
            <w:r>
              <w:rPr>
                <w:rFonts w:ascii="Arial" w:cs="Arial" w:eastAsia="Arial" w:hAnsi="Arial"/>
                <w:sz w:val="18"/>
                <w:szCs w:val="18"/>
                <w:color w:val="auto"/>
                <w:w w:val="95"/>
              </w:rPr>
              <w:t>Expected for the remainder of fiscal year 2015</w:t>
            </w:r>
          </w:p>
        </w:tc>
        <w:tc>
          <w:tcPr>
            <w:tcW w:w="352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20" w:type="dxa"/>
            <w:vAlign w:val="bottom"/>
          </w:tcPr>
          <w:p>
            <w:pPr>
              <w:spacing w:after="0"/>
              <w:rPr>
                <w:sz w:val="19"/>
                <w:szCs w:val="19"/>
                <w:color w:val="auto"/>
              </w:rPr>
            </w:pPr>
          </w:p>
        </w:tc>
        <w:tc>
          <w:tcPr>
            <w:tcW w:w="352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300" w:type="dxa"/>
            <w:vAlign w:val="bottom"/>
            <w:vMerge w:val="restart"/>
          </w:tcPr>
          <w:p>
            <w:pPr>
              <w:jc w:val="right"/>
              <w:ind w:right="2772"/>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$0.3 million increase in interest income in the three months ended October 3, 2014 compared to the prior year period was primarily due to the recognition of $0.3 million of payments made under the Settlement Agreement as interest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$1.5 million decrease in interest expense in the three months ended October 3, 2014 compared to the prior year period was due primarily to an increase of $1.6 million in the amount of interest capitalized during the second quarter of fiscal year 2015 compared to the same period last fiscal year. This decrease was partially offset by increased interest expense on outstanding borrowings under our revolving credit facility (the Credit Facility) during the second quarter of fiscal year 2015 due primarily to higher outstanding balances compared to the prior year period. Capitalized interest expense during the three months ended October 3, 2014 and October 4, 2013 is related to the construction of ViaSat-2 and other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currently estimate our annual effective income tax expense rate to be approximately 35.0% for fiscal year 2015. For the three months ended October 3, 2014, we recorded income tax expense of $14.5 million. The income tax benefit rate for the three months ended October 4, 2013 was greater than the income tax expense rate for the three months ended October 3, 2014 due to the release of a valuation allowance of $3.7 million on state net operating loss carryforwards during the prior year quarter and the federal research and development tax credit which expired on December 31, 2013. If the federal research and development tax credit is reinstated, we may have a lower annual effective income tax expense rate for fiscal year 2015, and the amount of any such decrease will depend on the effective date of any such reinstatement, the terms of the reinstatement, as well as the amount of eligible research and development expenses in the reinstated period.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October 3, 2014 vs. Three Months Ended October 4, 2013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0" w:lineRule="exact"/>
        <w:rPr>
          <w:sz w:val="20"/>
          <w:szCs w:val="20"/>
          <w:color w:val="auto"/>
        </w:rPr>
      </w:pP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October 3,</w:t>
            </w: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4,</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4"/>
              </w:rPr>
              <w:t>Increase</w:t>
            </w:r>
          </w:p>
        </w:tc>
        <w:tc>
          <w:tcPr>
            <w:tcW w:w="9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380"/>
              <w:spacing w:after="0" w:line="148" w:lineRule="exact"/>
              <w:rPr>
                <w:sz w:val="20"/>
                <w:szCs w:val="20"/>
                <w:color w:val="auto"/>
              </w:rPr>
            </w:pPr>
            <w:r>
              <w:rPr>
                <w:rFonts w:ascii="Arial" w:cs="Arial" w:eastAsia="Arial" w:hAnsi="Arial"/>
                <w:sz w:val="14"/>
                <w:szCs w:val="14"/>
                <w:b w:val="1"/>
                <w:bCs w:val="1"/>
                <w:color w:val="auto"/>
                <w:w w:val="80"/>
              </w:rPr>
              <w:t>(Decrease)</w:t>
            </w:r>
          </w:p>
        </w:tc>
        <w:tc>
          <w:tcPr>
            <w:tcW w:w="9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w:t>
            </w: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57"/>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w:t>
            </w:r>
          </w:p>
        </w:tc>
        <w:tc>
          <w:tcPr>
            <w:tcW w:w="3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100.3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14.3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100.4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satellite services segment revenues grew by $35.6 million as a result of a $21.3 million increase in product revenues and a $14.3 million increase in service revenues. The increase in product revenues was primarily due to the recognition of $21.0 million of payments under the Settlement Agreement as product revenue in our satellite services segment. The increase in service revenues related primarily to retail and wholesale broadband services, and was primarily driven by an increase in the number of our Exede broadband subscribers, as well as a related higher average revenue per subscriber. Total subscribers grew 11% from approximately 591,000 at October 4, 2013 to approximately 657,000 at October 3,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0" w:lineRule="exact"/>
        <w:rPr>
          <w:sz w:val="20"/>
          <w:szCs w:val="20"/>
          <w:color w:val="auto"/>
        </w:rPr>
      </w:pP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Dollar</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20" w:type="dxa"/>
            <w:vAlign w:val="bottom"/>
            <w:vMerge w:val="restart"/>
          </w:tcPr>
          <w:p>
            <w:pPr>
              <w:spacing w:after="0"/>
              <w:rPr>
                <w:sz w:val="11"/>
                <w:szCs w:val="11"/>
                <w:color w:val="auto"/>
              </w:rPr>
            </w:pPr>
          </w:p>
        </w:tc>
        <w:tc>
          <w:tcPr>
            <w:tcW w:w="176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86"/>
              </w:rPr>
              <w:t>October 3,</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800" w:type="dxa"/>
            <w:vAlign w:val="bottom"/>
          </w:tcPr>
          <w:p>
            <w:pPr>
              <w:spacing w:after="0"/>
              <w:rPr>
                <w:sz w:val="11"/>
                <w:szCs w:val="11"/>
                <w:color w:val="auto"/>
              </w:rPr>
            </w:pPr>
          </w:p>
        </w:tc>
        <w:tc>
          <w:tcPr>
            <w:tcW w:w="9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4"/>
              </w:rPr>
              <w:t>Increase</w:t>
            </w:r>
          </w:p>
        </w:tc>
        <w:tc>
          <w:tcPr>
            <w:tcW w:w="10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2380" w:type="dxa"/>
            <w:vAlign w:val="bottom"/>
            <w:gridSpan w:val="2"/>
          </w:tcPr>
          <w:p>
            <w:pPr>
              <w:jc w:val="right"/>
              <w:ind w:right="106"/>
              <w:spacing w:after="0" w:line="148" w:lineRule="exact"/>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2"/>
                <w:szCs w:val="12"/>
                <w:color w:val="auto"/>
              </w:rPr>
            </w:pPr>
          </w:p>
        </w:tc>
        <w:tc>
          <w:tcPr>
            <w:tcW w:w="60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800" w:type="dxa"/>
            <w:vAlign w:val="bottom"/>
          </w:tcPr>
          <w:p>
            <w:pPr>
              <w:spacing w:after="0"/>
              <w:rPr>
                <w:sz w:val="12"/>
                <w:szCs w:val="12"/>
                <w:color w:val="auto"/>
              </w:rPr>
            </w:pP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17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gridSpan w:val="2"/>
            <w:vMerge w:val="continue"/>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39.4</w:t>
            </w:r>
          </w:p>
        </w:tc>
        <w:tc>
          <w:tcPr>
            <w:tcW w:w="7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(14.6)</w:t>
            </w:r>
          </w:p>
        </w:tc>
        <w:tc>
          <w:tcPr>
            <w:tcW w:w="8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54.0</w:t>
            </w:r>
          </w:p>
        </w:tc>
        <w:tc>
          <w:tcPr>
            <w:tcW w:w="32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28.9%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(14.6)%</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change from an operating loss to an operating profit for our satellite services segment was primarily due to higher earnings contributions of $39.7 million from the Settlement Agreement, which resulted in increased product revenues and a decrease in SG&amp;A expenses. In addition, our Exede broadband services subscriber base continued to grow, which resulted in increased service revenues and improved margins. Selling costs also decreased due to decreased sales and marketing support costs, reflecting a more established consumer broadband subscriber base. Additionally, legal expense decreased as a result of the Settlement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0" w:lineRule="exact"/>
        <w:rPr>
          <w:sz w:val="20"/>
          <w:szCs w:val="20"/>
          <w:color w:val="auto"/>
        </w:rPr>
      </w:pP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40" w:type="dxa"/>
            <w:vAlign w:val="bottom"/>
          </w:tcPr>
          <w:p>
            <w:pPr>
              <w:spacing w:after="0"/>
              <w:rPr>
                <w:sz w:val="11"/>
                <w:szCs w:val="11"/>
                <w:color w:val="auto"/>
              </w:rPr>
            </w:pPr>
          </w:p>
        </w:tc>
        <w:tc>
          <w:tcPr>
            <w:tcW w:w="9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3,</w:t>
            </w: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4,</w:t>
            </w:r>
          </w:p>
        </w:tc>
        <w:tc>
          <w:tcPr>
            <w:tcW w:w="600" w:type="dxa"/>
            <w:vAlign w:val="bottom"/>
          </w:tcPr>
          <w:p>
            <w:pPr>
              <w:spacing w:after="0"/>
              <w:rPr>
                <w:sz w:val="11"/>
                <w:szCs w:val="11"/>
                <w:color w:val="auto"/>
              </w:rPr>
            </w:pPr>
          </w:p>
        </w:tc>
        <w:tc>
          <w:tcPr>
            <w:tcW w:w="98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600" w:type="dxa"/>
            <w:vAlign w:val="bottom"/>
          </w:tcPr>
          <w:p>
            <w:pPr>
              <w:spacing w:after="0"/>
              <w:rPr>
                <w:sz w:val="12"/>
                <w:szCs w:val="12"/>
                <w:color w:val="auto"/>
              </w:rPr>
            </w:pPr>
          </w:p>
        </w:tc>
        <w:tc>
          <w:tcPr>
            <w:tcW w:w="9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83.1</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105.1</w:t>
            </w: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(22.0)</w:t>
            </w:r>
          </w:p>
        </w:tc>
        <w:tc>
          <w:tcPr>
            <w:tcW w:w="3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6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commercial networks segment revenues decreased by $23.3 million, primarily due to the $22.0 million decrease in product revenues. Of this product revenue decrease, $30.5 million related to fixed satellite networks (driven primarily by our large scale Australian Ka-band infrastructure project as it moves closer to completion as well as consumer broadband products due to reduced revenues from terminal sales, partially offset by our next-generation Ka-band system contract in Canada). This decrease was partially offset by a $9.1 million increase in product revenues for our antenna systems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0" w:lineRule="exact"/>
        <w:rPr>
          <w:sz w:val="20"/>
          <w:szCs w:val="20"/>
          <w:color w:val="auto"/>
        </w:rPr>
      </w:pP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Dollar</w:t>
            </w: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00" w:type="dxa"/>
            <w:vAlign w:val="bottom"/>
            <w:vMerge w:val="restart"/>
          </w:tcPr>
          <w:p>
            <w:pPr>
              <w:spacing w:after="0"/>
              <w:rPr>
                <w:sz w:val="11"/>
                <w:szCs w:val="11"/>
                <w:color w:val="auto"/>
              </w:rPr>
            </w:pPr>
          </w:p>
        </w:tc>
        <w:tc>
          <w:tcPr>
            <w:tcW w:w="1740" w:type="dxa"/>
            <w:vAlign w:val="bottom"/>
          </w:tcPr>
          <w:p>
            <w:pPr>
              <w:spacing w:after="0"/>
              <w:rPr>
                <w:sz w:val="11"/>
                <w:szCs w:val="11"/>
                <w:color w:val="auto"/>
              </w:rPr>
            </w:pPr>
          </w:p>
        </w:tc>
        <w:tc>
          <w:tcPr>
            <w:tcW w:w="1400" w:type="dxa"/>
            <w:vAlign w:val="bottom"/>
            <w:tcBorders>
              <w:top w:val="single" w:sz="8" w:color="auto"/>
            </w:tcBorders>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83"/>
              </w:rPr>
              <w:t>October 3,</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800" w:type="dxa"/>
            <w:vAlign w:val="bottom"/>
          </w:tcPr>
          <w:p>
            <w:pPr>
              <w:spacing w:after="0"/>
              <w:rPr>
                <w:sz w:val="11"/>
                <w:szCs w:val="11"/>
                <w:color w:val="auto"/>
              </w:rPr>
            </w:pPr>
          </w:p>
        </w:tc>
        <w:tc>
          <w:tcPr>
            <w:tcW w:w="9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(Increase)</w:t>
            </w:r>
          </w:p>
        </w:tc>
        <w:tc>
          <w:tcPr>
            <w:tcW w:w="10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234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2014</w:t>
            </w:r>
          </w:p>
        </w:tc>
        <w:tc>
          <w:tcPr>
            <w:tcW w:w="800" w:type="dxa"/>
            <w:vAlign w:val="bottom"/>
          </w:tcPr>
          <w:p>
            <w:pPr>
              <w:spacing w:after="0"/>
              <w:rPr>
                <w:sz w:val="12"/>
                <w:szCs w:val="12"/>
                <w:color w:val="auto"/>
              </w:rPr>
            </w:pPr>
          </w:p>
        </w:tc>
        <w:tc>
          <w:tcPr>
            <w:tcW w:w="60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800" w:type="dxa"/>
            <w:vAlign w:val="bottom"/>
          </w:tcPr>
          <w:p>
            <w:pPr>
              <w:spacing w:after="0"/>
              <w:rPr>
                <w:sz w:val="12"/>
                <w:szCs w:val="12"/>
                <w:color w:val="auto"/>
              </w:rPr>
            </w:pP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7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vMerge w:val="continue"/>
            <w:shd w:val="clear" w:color="auto" w:fill="CCEEFF"/>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(7.3)</w:t>
            </w:r>
          </w:p>
        </w:tc>
        <w:tc>
          <w:tcPr>
            <w:tcW w:w="8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(0.4)</w:t>
            </w:r>
          </w:p>
        </w:tc>
        <w:tc>
          <w:tcPr>
            <w:tcW w:w="8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   (6.9)</w:t>
            </w:r>
          </w:p>
        </w:tc>
        <w:tc>
          <w:tcPr>
            <w:tcW w:w="36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w w:val="93"/>
              </w:rPr>
              <w:t>(1,881.7)%</w:t>
            </w: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140" w:type="dxa"/>
            <w:vAlign w:val="bottom"/>
            <w:gridSpan w:val="3"/>
          </w:tcPr>
          <w:p>
            <w:pPr>
              <w:jc w:val="right"/>
              <w:ind w:right="600"/>
              <w:spacing w:after="0"/>
              <w:rPr>
                <w:sz w:val="20"/>
                <w:szCs w:val="20"/>
                <w:color w:val="auto"/>
              </w:rPr>
            </w:pPr>
            <w:r>
              <w:rPr>
                <w:rFonts w:ascii="Arial" w:cs="Arial" w:eastAsia="Arial" w:hAnsi="Arial"/>
                <w:sz w:val="18"/>
                <w:szCs w:val="18"/>
                <w:color w:val="auto"/>
              </w:rPr>
              <w:t>(8.4)%</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$6.9 million increase in our commercial networks segment operating loss was primarily due to lower earnings contributions of $8.5 million from lower revenues due to fixed satellite networks (driven primarily by consumer broadband products). In addition, our commercial networks segment experienced lower margins due to a change in the mix towards funded development activities versus terminal production contracts in our fixed satellite networks (driven primarily by consumer broadband products) and mobile broadband satellite communication systems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w w:val="99"/>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October 3,</w:t>
            </w:r>
          </w:p>
        </w:tc>
        <w:tc>
          <w:tcPr>
            <w:tcW w:w="6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4,</w:t>
            </w:r>
          </w:p>
        </w:tc>
        <w:tc>
          <w:tcPr>
            <w:tcW w:w="620" w:type="dxa"/>
            <w:vAlign w:val="bottom"/>
          </w:tcPr>
          <w:p>
            <w:pPr>
              <w:spacing w:after="0"/>
              <w:rPr>
                <w:sz w:val="11"/>
                <w:szCs w:val="11"/>
                <w:color w:val="auto"/>
              </w:rPr>
            </w:pPr>
          </w:p>
        </w:tc>
        <w:tc>
          <w:tcPr>
            <w:tcW w:w="9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620" w:type="dxa"/>
            <w:vAlign w:val="bottom"/>
          </w:tcPr>
          <w:p>
            <w:pPr>
              <w:spacing w:after="0"/>
              <w:rPr>
                <w:sz w:val="12"/>
                <w:szCs w:val="12"/>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89.5</w:t>
            </w: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105.2</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(15.7)</w:t>
            </w:r>
          </w:p>
        </w:tc>
        <w:tc>
          <w:tcPr>
            <w:tcW w:w="38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government systems segment revenues decreased by $7.4 million, due to a $15.7 million decrease in product revenues, offset by an $8.3 million increase in service revenues. The product revenue decrease was primarily due to a $31.9 million revenue decrease in government satellite communication systems (mainly attributable to command and control situational awareness) and a $3.3 million decrease in tactical satcom radio products (relating to our majority-owned subsidiary TrellisWare Technologies, Inc.), partially offset by a $14.0 million increase in revenues related to tactical data link products and a $4.9 million increase in information assurance products. Of the service revenue increase, $6.9 million related to NetNearU, our newly acquired subsidiary, and $3.2 million related to government satellite communication systems services (mainly attributable to broadband networking services revenues for military customers), partially offset by a $1.4 million decrease in tactical data link services.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Dollar</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20" w:type="dxa"/>
            <w:vAlign w:val="bottom"/>
            <w:vMerge w:val="restart"/>
          </w:tcPr>
          <w:p>
            <w:pPr>
              <w:spacing w:after="0"/>
              <w:rPr>
                <w:sz w:val="11"/>
                <w:szCs w:val="11"/>
                <w:color w:val="auto"/>
              </w:rPr>
            </w:pPr>
          </w:p>
        </w:tc>
        <w:tc>
          <w:tcPr>
            <w:tcW w:w="1940" w:type="dxa"/>
            <w:vAlign w:val="bottom"/>
          </w:tcPr>
          <w:p>
            <w:pPr>
              <w:spacing w:after="0"/>
              <w:rPr>
                <w:sz w:val="11"/>
                <w:szCs w:val="11"/>
                <w:color w:val="auto"/>
              </w:rPr>
            </w:pPr>
          </w:p>
        </w:tc>
        <w:tc>
          <w:tcPr>
            <w:tcW w:w="1400" w:type="dxa"/>
            <w:vAlign w:val="bottom"/>
            <w:tcBorders>
              <w:top w:val="single" w:sz="8" w:color="auto"/>
            </w:tcBorders>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83"/>
              </w:rPr>
              <w:t>October 3,</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4"/>
              </w:rPr>
              <w:t>Increase</w:t>
            </w:r>
          </w:p>
        </w:tc>
        <w:tc>
          <w:tcPr>
            <w:tcW w:w="10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254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2014</w:t>
            </w:r>
          </w:p>
        </w:tc>
        <w:tc>
          <w:tcPr>
            <w:tcW w:w="800" w:type="dxa"/>
            <w:vAlign w:val="bottom"/>
          </w:tcPr>
          <w:p>
            <w:pPr>
              <w:spacing w:after="0"/>
              <w:rPr>
                <w:sz w:val="12"/>
                <w:szCs w:val="12"/>
                <w:color w:val="auto"/>
              </w:rPr>
            </w:pPr>
          </w:p>
        </w:tc>
        <w:tc>
          <w:tcPr>
            <w:tcW w:w="60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jc w:val="center"/>
              <w:ind w:right="420"/>
              <w:spacing w:after="0" w:line="148"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9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19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19.0</w:t>
            </w:r>
          </w:p>
        </w:tc>
        <w:tc>
          <w:tcPr>
            <w:tcW w:w="8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18.3</w:t>
            </w:r>
          </w:p>
        </w:tc>
        <w:tc>
          <w:tcPr>
            <w:tcW w:w="4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42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340" w:type="dxa"/>
            <w:vAlign w:val="bottom"/>
            <w:gridSpan w:val="3"/>
          </w:tcPr>
          <w:p>
            <w:pPr>
              <w:jc w:val="right"/>
              <w:ind w:right="660"/>
              <w:spacing w:after="0"/>
              <w:rPr>
                <w:sz w:val="20"/>
                <w:szCs w:val="20"/>
                <w:color w:val="auto"/>
              </w:rPr>
            </w:pPr>
            <w:r>
              <w:rPr>
                <w:rFonts w:ascii="Arial" w:cs="Arial" w:eastAsia="Arial" w:hAnsi="Arial"/>
                <w:sz w:val="18"/>
                <w:szCs w:val="18"/>
                <w:color w:val="auto"/>
              </w:rPr>
              <w:t>14.0%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40" w:type="dxa"/>
            <w:vAlign w:val="bottom"/>
          </w:tcPr>
          <w:p>
            <w:pPr>
              <w:jc w:val="right"/>
              <w:ind w:right="239"/>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$0.7 million increase in our government systems segment operating profit reflected higher earnings contributions of $2.9 million from improved margins due to information assurance products and decreased IR&amp;D expenses of $2.1 million, offset by higher new business proposal, support and selling costs of $4.2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October 3, 2014 vs. Six Months Ended October 4, 2013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4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3"/>
              </w:rPr>
              <w:t>October 3,</w:t>
            </w: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600" w:type="dxa"/>
            <w:vAlign w:val="bottom"/>
          </w:tcPr>
          <w:p>
            <w:pPr>
              <w:spacing w:after="0"/>
              <w:rPr>
                <w:sz w:val="11"/>
                <w:szCs w:val="11"/>
                <w:color w:val="auto"/>
              </w:rPr>
            </w:pPr>
          </w:p>
        </w:tc>
        <w:tc>
          <w:tcPr>
            <w:tcW w:w="98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4"/>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600" w:type="dxa"/>
            <w:vAlign w:val="bottom"/>
          </w:tcPr>
          <w:p>
            <w:pPr>
              <w:spacing w:after="0"/>
              <w:rPr>
                <w:sz w:val="12"/>
                <w:szCs w:val="12"/>
                <w:color w:val="auto"/>
              </w:rPr>
            </w:pPr>
          </w:p>
        </w:tc>
        <w:tc>
          <w:tcPr>
            <w:tcW w:w="9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4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362.1</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392.6</w:t>
            </w: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(30.5)</w:t>
            </w:r>
          </w:p>
        </w:tc>
        <w:tc>
          <w:tcPr>
            <w:tcW w:w="3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316.2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678.2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total revenues increased by $3.2 million as a result of the $33.7 million increase in service revenues, offset by the $30.5 million decrease in product revenues. The service revenue increase was comprised of $38.2 million in our satellite services segment, offset by a decrease of $3.2 million in our commercial networks segment and $1.2 million in our government systems segment. The product revenue decrease was comprised of $26.5 million in our government systems segment and $25.3 million in our commercial networks segment, offset by an increase of $21.3 million in our satellite services segment (related to the Settlement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4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3"/>
              </w:rPr>
              <w:t>October 3,</w:t>
            </w: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600" w:type="dxa"/>
            <w:vAlign w:val="bottom"/>
          </w:tcPr>
          <w:p>
            <w:pPr>
              <w:spacing w:after="0"/>
              <w:rPr>
                <w:sz w:val="11"/>
                <w:szCs w:val="11"/>
                <w:color w:val="auto"/>
              </w:rPr>
            </w:pPr>
          </w:p>
        </w:tc>
        <w:tc>
          <w:tcPr>
            <w:tcW w:w="98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600" w:type="dxa"/>
            <w:vAlign w:val="bottom"/>
          </w:tcPr>
          <w:p>
            <w:pPr>
              <w:spacing w:after="0"/>
              <w:rPr>
                <w:sz w:val="12"/>
                <w:szCs w:val="12"/>
                <w:color w:val="auto"/>
              </w:rPr>
            </w:pPr>
          </w:p>
        </w:tc>
        <w:tc>
          <w:tcPr>
            <w:tcW w:w="9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4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259.1</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287.0</w:t>
            </w: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(27.9)</w:t>
            </w:r>
          </w:p>
        </w:tc>
        <w:tc>
          <w:tcPr>
            <w:tcW w:w="3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220.3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Cost of revenues decreased by $18.0 million primarily due to a decrease in cost of product revenues of $27.9 million, offset by a $9.9 million increase in cost of service revenues. The cost of product revenues decrease was primarily due to a decrease in product revenues, causing a $37.6 million decrease in cost of product revenues on a constant margin basis, prior to the effects of product revenues related to the implied license under the Settlement Agreement. This decrease mainly related to our commercial networks segment from fixed satellite networks (driven by consumer broadband products) and to our government systems segment from government satellite communication systems (driven by command and control situational awareness) and tactical satcom radio products (relating to our majority-owned subsidiary TrellisWare Technologies, Inc.). This $37.6 million decrease in cost of product revenues on a constant margin basis was offset by lower margins from our commercial networks segment from fixed satellite networks (driven by consumer broadband products) and mobile broadband satellite communication systems products. The cost of service revenues increase was primarily due to increased service revenues, which caused a $25.1 million increase in cost of service revenues on a constant margin basis. This increase mainly related to our Exede broadband services in our satellite services segment. However, as our Exede subscribers have continued to grow and related revenues scale, we have also experienced improved margins from our broadband services in our satellite services segment offsetting the cost of service growth.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30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12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October 3,</w:t>
            </w: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October 4,</w:t>
            </w:r>
          </w:p>
        </w:tc>
        <w:tc>
          <w:tcPr>
            <w:tcW w:w="620" w:type="dxa"/>
            <w:vAlign w:val="bottom"/>
          </w:tcPr>
          <w:p>
            <w:pPr>
              <w:spacing w:after="0"/>
              <w:rPr>
                <w:sz w:val="11"/>
                <w:szCs w:val="11"/>
                <w:color w:val="auto"/>
              </w:rPr>
            </w:pPr>
          </w:p>
        </w:tc>
        <w:tc>
          <w:tcPr>
            <w:tcW w:w="9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4"/>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440" w:type="dxa"/>
            <w:vAlign w:val="bottom"/>
            <w:gridSpan w:val="2"/>
          </w:tcPr>
          <w:p>
            <w:pPr>
              <w:jc w:val="right"/>
              <w:ind w:right="106"/>
              <w:spacing w:after="0" w:line="148"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Pr>
          <w:p>
            <w:pPr>
              <w:spacing w:after="0"/>
              <w:rPr>
                <w:sz w:val="12"/>
                <w:szCs w:val="12"/>
                <w:color w:val="auto"/>
              </w:rPr>
            </w:pPr>
          </w:p>
        </w:tc>
        <w:tc>
          <w:tcPr>
            <w:tcW w:w="9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3"/>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gridSpan w:val="2"/>
            <w:vMerge w:val="continue"/>
            <w:shd w:val="clear" w:color="auto" w:fill="CCEEFF"/>
          </w:tcPr>
          <w:p>
            <w:pPr>
              <w:spacing w:after="0"/>
              <w:rPr>
                <w:sz w:val="17"/>
                <w:szCs w:val="17"/>
                <w:color w:val="auto"/>
              </w:rPr>
            </w:pPr>
          </w:p>
        </w:tc>
        <w:tc>
          <w:tcPr>
            <w:tcW w:w="18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123.5</w:t>
            </w:r>
          </w:p>
        </w:tc>
        <w:tc>
          <w:tcPr>
            <w:tcW w:w="6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138.4</w:t>
            </w:r>
          </w:p>
        </w:tc>
        <w:tc>
          <w:tcPr>
            <w:tcW w:w="6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(14.9)</w:t>
            </w:r>
          </w:p>
        </w:tc>
        <w:tc>
          <w:tcPr>
            <w:tcW w:w="38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$14.9 million decrease in SG&amp;A expenses was primarily attributable to the recognition of $18.7 million of payments made under the Settlement Agreement as a reduction to SG&amp;A expenses in our satellite services segment. Additionally, the decrease in SG&amp;A expenses included lower selling costs of $7.0 million (primarily due to our satellite services segment), offset by an increase in business proposal costs of approximately $6.0 million (mainly due to our government systems segment). SG&amp;A expenses consisted primarily of personnel costs and expenses for business development, marketing and sales, bid and proposal, facilities, finance, contract administration and general management.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9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Dollar</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20" w:type="dxa"/>
            <w:vAlign w:val="bottom"/>
            <w:vMerge w:val="restart"/>
          </w:tcPr>
          <w:p>
            <w:pPr>
              <w:spacing w:after="0"/>
              <w:rPr>
                <w:sz w:val="11"/>
                <w:szCs w:val="11"/>
                <w:color w:val="auto"/>
              </w:rPr>
            </w:pPr>
          </w:p>
        </w:tc>
        <w:tc>
          <w:tcPr>
            <w:tcW w:w="12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October 3,</w:t>
            </w:r>
          </w:p>
        </w:tc>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October 4,</w:t>
            </w:r>
          </w:p>
        </w:tc>
        <w:tc>
          <w:tcPr>
            <w:tcW w:w="660" w:type="dxa"/>
            <w:vAlign w:val="bottom"/>
          </w:tcPr>
          <w:p>
            <w:pPr>
              <w:spacing w:after="0"/>
              <w:rPr>
                <w:sz w:val="11"/>
                <w:szCs w:val="11"/>
                <w:color w:val="auto"/>
              </w:rPr>
            </w:pPr>
          </w:p>
        </w:tc>
        <w:tc>
          <w:tcPr>
            <w:tcW w:w="9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4"/>
              </w:rPr>
              <w:t>Increase</w:t>
            </w:r>
          </w:p>
        </w:tc>
        <w:tc>
          <w:tcPr>
            <w:tcW w:w="10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920" w:type="dxa"/>
            <w:vAlign w:val="bottom"/>
            <w:vMerge w:val="continue"/>
          </w:tcPr>
          <w:p>
            <w:pPr>
              <w:spacing w:after="0"/>
              <w:rPr>
                <w:sz w:val="12"/>
                <w:szCs w:val="12"/>
                <w:color w:val="auto"/>
              </w:rPr>
            </w:pPr>
          </w:p>
        </w:tc>
        <w:tc>
          <w:tcPr>
            <w:tcW w:w="620" w:type="dxa"/>
            <w:vAlign w:val="bottom"/>
          </w:tcPr>
          <w:p>
            <w:pPr>
              <w:jc w:val="right"/>
              <w:ind w:right="107"/>
              <w:spacing w:after="0" w:line="148" w:lineRule="exact"/>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2"/>
                <w:szCs w:val="12"/>
                <w:color w:val="auto"/>
              </w:rPr>
            </w:pPr>
          </w:p>
        </w:tc>
        <w:tc>
          <w:tcPr>
            <w:tcW w:w="620" w:type="dxa"/>
            <w:vAlign w:val="bottom"/>
          </w:tcPr>
          <w:p>
            <w:pPr>
              <w:jc w:val="right"/>
              <w:ind w:right="106"/>
              <w:spacing w:after="0" w:line="148"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2"/>
                <w:szCs w:val="12"/>
                <w:color w:val="auto"/>
              </w:rPr>
            </w:pPr>
          </w:p>
        </w:tc>
        <w:tc>
          <w:tcPr>
            <w:tcW w:w="9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(Decrease)</w:t>
            </w:r>
          </w:p>
        </w:tc>
        <w:tc>
          <w:tcPr>
            <w:tcW w:w="10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21.3</w:t>
            </w:r>
          </w:p>
        </w:tc>
        <w:tc>
          <w:tcPr>
            <w:tcW w:w="6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29.0</w:t>
            </w:r>
          </w:p>
        </w:tc>
        <w:tc>
          <w:tcPr>
            <w:tcW w:w="6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(7.7)</w:t>
            </w:r>
          </w:p>
        </w:tc>
        <w:tc>
          <w:tcPr>
            <w:tcW w:w="36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$7.7 million decrease in IR&amp;D expenses reflected decreased IR&amp;D efforts in our government systems segment of $4.5 million (primarily due to a decrease in advancement of integrated government satellite communications platforms and development of next-generation dual band mobility solutions, offset by an increase in information assurance projects) and in our commercial networks segment of $3.0 million (primarily due to a decrease in next-generation consumer broadband, offset by an increase in mobile broadband satellite communication systems).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$1.4 million increase in amortization of acquired intangible assets in the first six months of fiscal year 2015 compared to the prior year period was primarily the result of our acquisition of NetNearU in June 2014, which contributed an increase of $1.3 million. Current and expected amortization expense for acquired intangible assets for each of the following periods is as follows: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3, 2014</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2015</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7,707</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51,270</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$0.3 million increase in interest income in the six months ended October 3, 2014 compared to the prior year period was primarily due to the recognition of $0.3 million of payments made under the Settlement Agreement as interest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$3.1 million decrease in interest expense in the six months ended October 3, 2014 compared to the prior year period was due primarily to an increase of $3.8 million in the amount of interest capitalized during the first six months of fiscal year 2015 compared to the same period last fiscal year. This decrease was partially offset by increased interest expense on outstanding borrowings under our Credit Facility during the first six months of fiscal year 2015 due primarily to higher outstanding balances compared to the prior year period. Capitalized interest expense during the six months ended October 3, 2014 and October 4, 2013 is related to the construction of ViaSat-2 and other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currently estimate our annual effective income tax expense rate to be approximately 35.0% for fiscal year 2015. For the six months ended October 3, 2014, we recorded income tax expense of $11.0 million. The income tax benefit rate for the six months ended October 4, 2013 was greater than the income tax expense rate for the six months ended October 3, 2014 due to the release of a valuation allowance of $3.7 million on state net operating loss carryforwards during the prior year period and the federal research and development tax credit which expired on December 31, 2013. If the federal research and development tax credit is reinstated, we may have a lower annual effective income tax expense rate for fiscal year 2015, and the amount of any such decrease will depend on the effective date of any such reinstatement, the terms of the reinstatement, as well as the amount of eligible research and development expenses in the reinstated period.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October 3, 2014 vs. Six Months Ended October 4, 2013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October 3,</w:t>
            </w: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4,</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4"/>
              </w:rPr>
              <w:t>Increase</w:t>
            </w:r>
          </w:p>
        </w:tc>
        <w:tc>
          <w:tcPr>
            <w:tcW w:w="9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380"/>
              <w:spacing w:after="0" w:line="148" w:lineRule="exact"/>
              <w:rPr>
                <w:sz w:val="20"/>
                <w:szCs w:val="20"/>
                <w:color w:val="auto"/>
              </w:rPr>
            </w:pPr>
            <w:r>
              <w:rPr>
                <w:rFonts w:ascii="Arial" w:cs="Arial" w:eastAsia="Arial" w:hAnsi="Arial"/>
                <w:sz w:val="14"/>
                <w:szCs w:val="14"/>
                <w:b w:val="1"/>
                <w:bCs w:val="1"/>
                <w:color w:val="auto"/>
                <w:w w:val="80"/>
              </w:rPr>
              <w:t>(Decrease)</w:t>
            </w:r>
          </w:p>
        </w:tc>
        <w:tc>
          <w:tcPr>
            <w:tcW w:w="9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w:t>
            </w: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57"/>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w:t>
            </w:r>
          </w:p>
        </w:tc>
        <w:tc>
          <w:tcPr>
            <w:tcW w:w="3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224.3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186.2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38.2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186.2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satellite services segment revenues grew by $59.5 million as a result of a $38.2 million increase in service revenues and a $21.3 million increase in product revenues. The increase in service revenues related primarily to retail and wholesale broadband services, and was primarily driven by an increase in the number of Exede broadband subscribers, as well as related higher average revenue per subscriber. Total subscribers grew 11% from approximately 591,000 at October 4, 2013 to approximately 657,000 at October 3, 2014. The increase in product revenues was primarily due to the recognition of $21.0 million of payments under the Settlement Agreement as product revenue in our satellite services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6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Dollar</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20" w:type="dxa"/>
            <w:vAlign w:val="bottom"/>
            <w:vMerge w:val="restart"/>
          </w:tcPr>
          <w:p>
            <w:pPr>
              <w:spacing w:after="0"/>
              <w:rPr>
                <w:sz w:val="11"/>
                <w:szCs w:val="11"/>
                <w:color w:val="auto"/>
              </w:rPr>
            </w:pPr>
          </w:p>
        </w:tc>
        <w:tc>
          <w:tcPr>
            <w:tcW w:w="176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86"/>
              </w:rPr>
              <w:t>October 3,</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800" w:type="dxa"/>
            <w:vAlign w:val="bottom"/>
          </w:tcPr>
          <w:p>
            <w:pPr>
              <w:spacing w:after="0"/>
              <w:rPr>
                <w:sz w:val="11"/>
                <w:szCs w:val="11"/>
                <w:color w:val="auto"/>
              </w:rPr>
            </w:pPr>
          </w:p>
        </w:tc>
        <w:tc>
          <w:tcPr>
            <w:tcW w:w="9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4"/>
              </w:rPr>
              <w:t>Increase</w:t>
            </w:r>
          </w:p>
        </w:tc>
        <w:tc>
          <w:tcPr>
            <w:tcW w:w="10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2380" w:type="dxa"/>
            <w:vAlign w:val="bottom"/>
            <w:gridSpan w:val="2"/>
          </w:tcPr>
          <w:p>
            <w:pPr>
              <w:jc w:val="right"/>
              <w:ind w:right="106"/>
              <w:spacing w:after="0" w:line="148" w:lineRule="exact"/>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2"/>
                <w:szCs w:val="12"/>
                <w:color w:val="auto"/>
              </w:rPr>
            </w:pPr>
          </w:p>
        </w:tc>
        <w:tc>
          <w:tcPr>
            <w:tcW w:w="60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800" w:type="dxa"/>
            <w:vAlign w:val="bottom"/>
          </w:tcPr>
          <w:p>
            <w:pPr>
              <w:spacing w:after="0"/>
              <w:rPr>
                <w:sz w:val="12"/>
                <w:szCs w:val="12"/>
                <w:color w:val="auto"/>
              </w:rPr>
            </w:pP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17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gridSpan w:val="2"/>
            <w:vMerge w:val="continue"/>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37.4</w:t>
            </w:r>
          </w:p>
        </w:tc>
        <w:tc>
          <w:tcPr>
            <w:tcW w:w="7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(27.6)</w:t>
            </w:r>
          </w:p>
        </w:tc>
        <w:tc>
          <w:tcPr>
            <w:tcW w:w="8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65.0</w:t>
            </w:r>
          </w:p>
        </w:tc>
        <w:tc>
          <w:tcPr>
            <w:tcW w:w="32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15.2%</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(14.8)%</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change from an operating loss to an operating profit for our satellite services segment was primarily due to higher earnings contributions of $39.7 million from the Settlement Agreement, which resulted in increased product revenues and a decrease in SG&amp;A expenses. In addition, our Exede broadband services subscriber base continued to grow, which resulted in increased service revenues and improved margins. Selling costs also decreased due to decreased sales and marketing support costs, reflecting a more established consumer broadband subscriber base. Additionally, legal expense decreased as a result of the Settlement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October 3,</w:t>
            </w:r>
          </w:p>
        </w:tc>
        <w:tc>
          <w:tcPr>
            <w:tcW w:w="6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4,</w:t>
            </w:r>
          </w:p>
        </w:tc>
        <w:tc>
          <w:tcPr>
            <w:tcW w:w="620" w:type="dxa"/>
            <w:vAlign w:val="bottom"/>
          </w:tcPr>
          <w:p>
            <w:pPr>
              <w:spacing w:after="0"/>
              <w:rPr>
                <w:sz w:val="11"/>
                <w:szCs w:val="11"/>
                <w:color w:val="auto"/>
              </w:rPr>
            </w:pPr>
          </w:p>
        </w:tc>
        <w:tc>
          <w:tcPr>
            <w:tcW w:w="9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620" w:type="dxa"/>
            <w:vAlign w:val="bottom"/>
          </w:tcPr>
          <w:p>
            <w:pPr>
              <w:spacing w:after="0"/>
              <w:rPr>
                <w:sz w:val="12"/>
                <w:szCs w:val="12"/>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171.7</w:t>
            </w: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197.0</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(25.3)</w:t>
            </w:r>
          </w:p>
        </w:tc>
        <w:tc>
          <w:tcPr>
            <w:tcW w:w="38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commercial networks segment revenues decreased by $28.5 million, primarily due to the $25.3 million decrease in product revenues. Of this product revenue decrease, $37.9 million related to fixed satellite networks (driven primarily by our large scale Australian Ka-band infrastructure project as it moves closer to completion as well as consumer broadband products due to reduced revenues from terminal sales, partially offset by our next-generation Ka-band system contract in Canada). This decrease was partially offset by a $17.0 million increase in product revenues for our antenna systems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Dollar</w:t>
            </w: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20" w:type="dxa"/>
            <w:vAlign w:val="bottom"/>
            <w:vMerge w:val="restart"/>
          </w:tcPr>
          <w:p>
            <w:pPr>
              <w:spacing w:after="0"/>
              <w:rPr>
                <w:sz w:val="11"/>
                <w:szCs w:val="11"/>
                <w:color w:val="auto"/>
              </w:rPr>
            </w:pPr>
          </w:p>
        </w:tc>
        <w:tc>
          <w:tcPr>
            <w:tcW w:w="2020" w:type="dxa"/>
            <w:vAlign w:val="bottom"/>
          </w:tcPr>
          <w:p>
            <w:pPr>
              <w:spacing w:after="0"/>
              <w:rPr>
                <w:sz w:val="11"/>
                <w:szCs w:val="11"/>
                <w:color w:val="auto"/>
              </w:rPr>
            </w:pPr>
          </w:p>
        </w:tc>
        <w:tc>
          <w:tcPr>
            <w:tcW w:w="142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83"/>
              </w:rPr>
              <w:t>October 3,</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4,</w:t>
            </w:r>
          </w:p>
        </w:tc>
        <w:tc>
          <w:tcPr>
            <w:tcW w:w="760" w:type="dxa"/>
            <w:vAlign w:val="bottom"/>
          </w:tcPr>
          <w:p>
            <w:pPr>
              <w:spacing w:after="0"/>
              <w:rPr>
                <w:sz w:val="11"/>
                <w:szCs w:val="11"/>
                <w:color w:val="auto"/>
              </w:rPr>
            </w:pPr>
          </w:p>
        </w:tc>
        <w:tc>
          <w:tcPr>
            <w:tcW w:w="9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4"/>
              </w:rPr>
              <w:t>Increase</w:t>
            </w:r>
          </w:p>
        </w:tc>
        <w:tc>
          <w:tcPr>
            <w:tcW w:w="10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262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2014</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79"/>
              <w:spacing w:after="0" w:line="148" w:lineRule="exact"/>
              <w:rPr>
                <w:sz w:val="20"/>
                <w:szCs w:val="20"/>
                <w:color w:val="auto"/>
              </w:rPr>
            </w:pPr>
            <w:r>
              <w:rPr>
                <w:rFonts w:ascii="Arial" w:cs="Arial" w:eastAsia="Arial" w:hAnsi="Arial"/>
                <w:sz w:val="14"/>
                <w:szCs w:val="14"/>
                <w:b w:val="1"/>
                <w:bCs w:val="1"/>
                <w:color w:val="auto"/>
                <w:w w:val="89"/>
              </w:rPr>
              <w:t>2013</w:t>
            </w:r>
          </w:p>
        </w:tc>
        <w:tc>
          <w:tcPr>
            <w:tcW w:w="760" w:type="dxa"/>
            <w:vAlign w:val="bottom"/>
          </w:tcPr>
          <w:p>
            <w:pPr>
              <w:spacing w:after="0"/>
              <w:rPr>
                <w:sz w:val="12"/>
                <w:szCs w:val="12"/>
                <w:color w:val="auto"/>
              </w:rPr>
            </w:pPr>
          </w:p>
        </w:tc>
        <w:tc>
          <w:tcPr>
            <w:tcW w:w="9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 profit</w:t>
            </w:r>
          </w:p>
        </w:tc>
        <w:tc>
          <w:tcPr>
            <w:tcW w:w="20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20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(13.2)</w:t>
            </w: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w w:val="79"/>
              </w:rPr>
              <w:t>3.0</w:t>
            </w: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(16.2)</w:t>
            </w:r>
          </w:p>
        </w:tc>
        <w:tc>
          <w:tcPr>
            <w:tcW w:w="36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440" w:type="dxa"/>
            <w:vAlign w:val="bottom"/>
            <w:gridSpan w:val="3"/>
          </w:tcPr>
          <w:p>
            <w:pPr>
              <w:jc w:val="right"/>
              <w:ind w:right="62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20" w:type="dxa"/>
            <w:vAlign w:val="bottom"/>
          </w:tcPr>
          <w:p>
            <w:pPr>
              <w:jc w:val="right"/>
              <w:ind w:right="319"/>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change from an operating profit to an operating loss for our commercial networks segment was primarily due to lower earnings contributions of $18.4 million from lower revenues due to fixed satellite networks (driven primarily by consumer broadband products), as well as lower margins due to a change in the mix towards funded development activities versus terminal production contracts in our commercial networks segment related to our mobile broadband satellite communication systems products and fixed satellite networks (driven primarily by consumer broadband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October 3,</w:t>
            </w:r>
          </w:p>
        </w:tc>
        <w:tc>
          <w:tcPr>
            <w:tcW w:w="6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4,</w:t>
            </w:r>
          </w:p>
        </w:tc>
        <w:tc>
          <w:tcPr>
            <w:tcW w:w="620" w:type="dxa"/>
            <w:vAlign w:val="bottom"/>
          </w:tcPr>
          <w:p>
            <w:pPr>
              <w:spacing w:after="0"/>
              <w:rPr>
                <w:sz w:val="11"/>
                <w:szCs w:val="11"/>
                <w:color w:val="auto"/>
              </w:rPr>
            </w:pPr>
          </w:p>
        </w:tc>
        <w:tc>
          <w:tcPr>
            <w:tcW w:w="9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620" w:type="dxa"/>
            <w:vAlign w:val="bottom"/>
          </w:tcPr>
          <w:p>
            <w:pPr>
              <w:spacing w:after="0"/>
              <w:rPr>
                <w:sz w:val="12"/>
                <w:szCs w:val="12"/>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169.0</w:t>
            </w: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195.6</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(26.5)</w:t>
            </w:r>
          </w:p>
        </w:tc>
        <w:tc>
          <w:tcPr>
            <w:tcW w:w="38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government systems segment revenues decreased by $27.7 million, due primarily to a $26.5 million decrease in product revenues. The product revenue decrease was primarily due to a $53.6 million revenue decrease in government satellite communication systems (mainly attributable to command and control situational awareness) and a $6.9 million decrease in tactical satcom radio products (relating to our majority-owned subsidiary TrellisWare Technologies, Inc.), partially offset by a $21.6 million increase in revenues related to tactical data link products and by a $11.8 million increase in information assurance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70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Dollar</w:t>
            </w: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40" w:type="dxa"/>
            <w:vAlign w:val="bottom"/>
            <w:vMerge w:val="restart"/>
          </w:tcPr>
          <w:p>
            <w:pPr>
              <w:spacing w:after="0"/>
              <w:rPr>
                <w:sz w:val="11"/>
                <w:szCs w:val="11"/>
                <w:color w:val="auto"/>
              </w:rPr>
            </w:pPr>
          </w:p>
        </w:tc>
        <w:tc>
          <w:tcPr>
            <w:tcW w:w="1780" w:type="dxa"/>
            <w:vAlign w:val="bottom"/>
          </w:tcPr>
          <w:p>
            <w:pPr>
              <w:spacing w:after="0"/>
              <w:rPr>
                <w:sz w:val="11"/>
                <w:szCs w:val="11"/>
                <w:color w:val="auto"/>
              </w:rPr>
            </w:pPr>
          </w:p>
        </w:tc>
        <w:tc>
          <w:tcPr>
            <w:tcW w:w="134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83"/>
              </w:rPr>
              <w:t>October 3,</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October 4,</w:t>
            </w:r>
          </w:p>
        </w:tc>
        <w:tc>
          <w:tcPr>
            <w:tcW w:w="740" w:type="dxa"/>
            <w:vAlign w:val="bottom"/>
          </w:tcPr>
          <w:p>
            <w:pPr>
              <w:spacing w:after="0"/>
              <w:rPr>
                <w:sz w:val="11"/>
                <w:szCs w:val="11"/>
                <w:color w:val="auto"/>
              </w:rPr>
            </w:pPr>
          </w:p>
        </w:tc>
        <w:tc>
          <w:tcPr>
            <w:tcW w:w="9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4"/>
              </w:rPr>
              <w:t>Increase</w:t>
            </w:r>
          </w:p>
        </w:tc>
        <w:tc>
          <w:tcPr>
            <w:tcW w:w="10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238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2"/>
                <w:szCs w:val="12"/>
                <w:color w:val="auto"/>
              </w:rPr>
            </w:pPr>
          </w:p>
        </w:tc>
        <w:tc>
          <w:tcPr>
            <w:tcW w:w="620" w:type="dxa"/>
            <w:vAlign w:val="bottom"/>
          </w:tcPr>
          <w:p>
            <w:pPr>
              <w:jc w:val="right"/>
              <w:ind w:right="102"/>
              <w:spacing w:after="0" w:line="148" w:lineRule="exact"/>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2"/>
                <w:szCs w:val="12"/>
                <w:color w:val="auto"/>
              </w:rPr>
            </w:pPr>
          </w:p>
        </w:tc>
        <w:tc>
          <w:tcPr>
            <w:tcW w:w="9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7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gridSpan w:val="2"/>
            <w:vMerge w:val="continue"/>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29.8</w:t>
            </w:r>
          </w:p>
        </w:tc>
        <w:tc>
          <w:tcPr>
            <w:tcW w:w="7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34.9</w:t>
            </w:r>
          </w:p>
        </w:tc>
        <w:tc>
          <w:tcPr>
            <w:tcW w:w="7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(5.0)</w:t>
            </w:r>
          </w:p>
        </w:tc>
        <w:tc>
          <w:tcPr>
            <w:tcW w:w="36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11.8%</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12.4%</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$5.0 million decrease in our government systems segment operating profit reflected higher new business proposal, support and selling costs of $8.3 million and lower earnings contributions of $1.3 million from lower revenues related to government satellite communication systems (mainly attributable to command and control situational awareness), offset by lower IR&amp;D costs of $4.5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reflected in the table below, our overall firm and funded backlog increased during the first six months of fiscal year 2015. The increases in both firm and funded backlog were due to increases in both our government systems and satellite services segments.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520" w:type="dxa"/>
            <w:vAlign w:val="bottom"/>
            <w:gridSpan w:val="4"/>
          </w:tcPr>
          <w:p>
            <w:pPr>
              <w:ind w:left="2900"/>
              <w:spacing w:after="0"/>
              <w:rPr>
                <w:sz w:val="20"/>
                <w:szCs w:val="20"/>
                <w:color w:val="auto"/>
              </w:rPr>
            </w:pPr>
            <w:r>
              <w:rPr>
                <w:rFonts w:ascii="Arial" w:cs="Arial" w:eastAsia="Arial" w:hAnsi="Arial"/>
                <w:sz w:val="14"/>
                <w:szCs w:val="14"/>
                <w:b w:val="1"/>
                <w:bCs w:val="1"/>
                <w:color w:val="auto"/>
              </w:rPr>
              <w:t>October 3, 2014</w:t>
            </w: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ind w:left="6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080" w:type="dxa"/>
            <w:vAlign w:val="bottom"/>
            <w:gridSpan w:val="2"/>
          </w:tcPr>
          <w:p>
            <w:pPr>
              <w:ind w:left="29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234.6</w:t>
            </w:r>
          </w:p>
        </w:tc>
        <w:tc>
          <w:tcPr>
            <w:tcW w:w="7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7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40" w:type="dxa"/>
            <w:vAlign w:val="bottom"/>
            <w:gridSpan w:val="2"/>
            <w:vMerge w:val="continue"/>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08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7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396.1</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2"/>
          </w:tcPr>
          <w:p>
            <w:pPr>
              <w:ind w:left="29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949.5</w:t>
            </w:r>
          </w:p>
        </w:tc>
        <w:tc>
          <w:tcPr>
            <w:tcW w:w="70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900" w:type="dxa"/>
            <w:vAlign w:val="bottom"/>
            <w:vMerge w:val="restart"/>
          </w:tcPr>
          <w:p>
            <w:pPr>
              <w:ind w:left="1000"/>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firm backlog does not include contract options. Of the $1,024.6 million in firm backlog, $342.9 million is expected to be delivered during the remaining six months of fiscal year 2015, and the balance is expected to be delivered in fiscal year 2016 and thereafter. We include in our backlog only those orders for which we have accepted purchase orders.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total new awards were $498.9 million and $809.0 million for the three and six months ended October 3, 2014, respectively, compared to $391.1 million and $645.1 million for the three and six months ended October 4, 2013, respectively.</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financed our operations to date primarily with cash flows from operations, bank line of credit financing, debt financing and equity financing. At October 3, 2014, we had $41.9 million in cash and cash equivalents, $280.5 million in working capital, and $140.0 million in outstanding borrowings under our Credit Facility. At April 4, 2014, we had $58.3 million in cash and cash equivalents, $256.8 million in working capital and $105.0 million in outstanding borrowings under our Credit Facility. We invest our cash in excess of current operating requirements in short-term, interest-bearing, investment-grade securities.</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ViaSat-2 satellite project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of capital expenditure payments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further enhance our liquidity position, we may obtain additional financing, which could consist of debt, convertible debt or equity financing from public and/or private credit and capital markets.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Cash provided by operating activities for the first six months of fiscal year 2015 was $158.5 million compared to $102.8 million in the prior year period. This $55.7 million increase was primarily driven by our operating results (net income adjusted for depreciation, amortization and other non-cash charges) which generated $68.7 million of higher cash inflows, offset by a $12.9 million year-over-year increase in cash used to fund net operating assets needs. The increase in cash used to fund net operating assets during the first six months of fiscal year 2015 when compared to the first six months of fiscal year 2014 was due to higher payments made in our accounts payable due to timing, offset partially by a decrease in cash used for inventory in our commercial networks segment.</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Cash used in investing activities for the first six months of fiscal year 2015 was $217.9 million compared to $184.7 million in the prior year period. The increase in cash used in investing activities reflects an increase of $54.1 million in cash used for acquisitions and an increase of $20.9 million in cash used for the construction of our ViaSat-2 satellite, offset by a $44.1 million decrease in capital expenditures for new CPE units and other general purpose equipment.</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Cash provided by financing activities for the first six months of fiscal year 2015 was $43.1 million compared to $43.3 million for the prior year period. Cash provided by financing activities for both periods includes $35.0 million in net proceeds from borrowings under our Credit Facility, as well as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May 2013, we entered into an agreement to purchase ViaSat-2, our second high-capacity Ka-band satellite, from The Boeing Company (Boeing) at a price of approximately $358.0 million, plus an additional amount for launch support services to be performed by Boeing. The projected total cost of the ViaSat-2 project, including the satellite, launch, insurance and related gateway infrastructure, through satellite launch is estimated to be between $600.0 million to $650.0 million, and will depend on the timing of the gateway infrastructure roll-out. Our total required cash funding may be reduced through various third party agreements, including potential joint service offerings and other strategic partnering arrangements. We believe we have adequate sources of funding for the project, which include our cash on hand, available borrowing capacity and the cash we expect to generate from operations over the next few years.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incurred higher operating costs in connection with the late fiscal year 2012 launch and roll-out of our ViaSat-1 satellite and related ground infrastructure and our Exede broadband services, as well as higher interest expense as we capitalized a lower amount of the interest expense on our outstanding debt in fiscal year 2014 as we were in the early stages of construction of ViaSat-2, our second high-capacity Ka-band satellite. These higher operating costs included costs associated with depreciation, gateway connectivity, subscriber acquisition costs, logistics, customer care and various support systems. These additional operating costs attributed to our Exede service commencement have negatively impacted income from operations during recent fiscal years. As the total number of subscribers of our Exede broadband services has increased over time, the resultant increase in service revenues in our satellite services segment has improved income (loss) from operations for that segment, despite the additional litigation expense we have incurred to protect our proprietary technology, which was resolved in our favor during the second quarter of fiscal year 2015. At the end of the second quarter of fiscal year 2015, we had approximately 657,000 subscribers, however there can be no assurance that the number of subscribers of our Exede broadband services and service revenues in our satellite services segment will increase in any future period. We also expect to continue to invest in subscriber acquisition costs during fiscal year 2015 as we further expand our subscriber base as well as make additional investments for ViaSat-2.</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360" w:firstLine="456"/>
        <w:spacing w:after="0" w:line="253" w:lineRule="auto"/>
        <w:rPr>
          <w:sz w:val="20"/>
          <w:szCs w:val="20"/>
          <w:color w:val="auto"/>
        </w:rPr>
      </w:pPr>
      <w:r>
        <w:rPr>
          <w:rFonts w:ascii="Arial" w:cs="Arial" w:eastAsia="Arial" w:hAnsi="Arial"/>
          <w:sz w:val="18"/>
          <w:szCs w:val="18"/>
          <w:color w:val="auto"/>
        </w:rPr>
        <w:t>As of October 3, 2014, the Credit Facility provided a $500.0 million revolving line of credit (including up to $150.0 million of letters of credit) with a maturity date of November 26, 2018. Borrowings under the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October 3, 2014, the weighted average effective interest rate on our outstanding borrowings under the Credit Facility was 2.41%. The Credit Facility is required to be guaranteed by certain significant domestic subsidiaries of ViaSat (as defined in the Credit Facility) and secured by substantially all of our assets. As of October 3, 2014, none of our subsidiaries guaranteed the Credit Facility.</w:t>
      </w:r>
    </w:p>
    <w:p>
      <w:pPr>
        <w:spacing w:after="0" w:line="14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Credit Facility contains financial covenants regarding a maximum total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At October 3, 2014, we had $140.0 million in principal amount of outstanding borrowings under the Credit Facility and $38.9 million outstanding under standby letters of credit, leaving borrowing availability under the Credit Facility as of October 3, 2014 of $321.1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On October 12,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2020 Notes are required to be guaranteed on an unsecured senior basis by each of our existing and future subsidiaries that guarantees the Credit Facility. During the second quarter of fiscal year 2014, the last remaining subsidiary guarantor, ViaSat Communications, Inc., was merged into ViaSat. Accordingly, as of October 3, 2014,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Facility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18"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Prior to June 15, 2015, we may redeem up to 35% of the 2020 Notes at a redemption price of 106.875% of the principal amount thereof, plus accrued and unpaid interest, if any, thereon to the redemption date, from the net cash proceeds of specified equity offerings. We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w:t>
      </w:r>
    </w:p>
    <w:p>
      <w:pPr>
        <w:spacing w:after="0" w:line="3" w:lineRule="exact"/>
        <w:rPr>
          <w:sz w:val="20"/>
          <w:szCs w:val="20"/>
          <w:color w:val="auto"/>
        </w:rPr>
      </w:pPr>
    </w:p>
    <w:p>
      <w:pPr>
        <w:ind w:right="120" w:firstLine="8"/>
        <w:spacing w:after="0" w:line="290"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October 3,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For the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Remainder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8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Fiscal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8"/>
          </w:tcPr>
          <w:p>
            <w:pPr>
              <w:ind w:left="42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29"/>
        </w:trPr>
        <w:tc>
          <w:tcPr>
            <w:tcW w:w="65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37"/>
              <w:spacing w:after="0" w:line="129"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2016-2017</w:t>
            </w:r>
          </w:p>
        </w:tc>
        <w:tc>
          <w:tcPr>
            <w:tcW w:w="9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2018-2019</w:t>
            </w: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160,106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30,666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50,690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31,184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47,566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2020 Notes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812,188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79,063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634,296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154,171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145,642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Satellite performance incentives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567,690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241,924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236,867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1,731,157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296,120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378,183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312,504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744,350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Credit Facility may fluctuate, amounts reflected represent estimated interest payments on our current outstanding balances based on the weighted average effective interest rate at October 3, 2014 until the maturity date in November 2018.</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our ViaSat-2 satellite, and operations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See “Liquidity and Capital Resources – Satellite service-related activities.”</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condensed consolidated balance sheets included $43.6 million and $48.9 million of “other liabilities” as of October 3, 2014 and April 4, 2014,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had no material off-balance sheet arrangements at October 3, 2014 as defined in Regulation S-K Item 303(a)(4) other than as discussed under Contractual Obligations above or disclosed in the notes to our consolidated financial statements included in this report or in our Annual Report on Form 10-K for the year ended April 4,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recently adopted and issued accounting pronouncements, see Note 1 to the condensed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financial instruments consist of cash and cash equivalents, accounts receivable, accounts payable, short-term and long-term obligations, including the Credit Facility and the 2020 Notes, and foreign currency forward contracts. We consider investments in highly liquid instruments purchased with a remaining maturity of three months or less at the date of purchase to be cash equivalents. As of October 3, 2014, we had $140.0 million in principal amount of outstanding borrowings under our Credit Facility and $575.0 million in aggregate principal amount outstanding of the 2020 Notes, and we held no short-term investments. Our 2020 Notes bear interest at a fixed rate and therefore our exposure to market risk for changes in interest rates relates primarily to borrowings under our Credit Facility, cash equivalents, short-term investments and short-term obligations.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less than $0.1 million and $0.2 million for the three months ended October 3, 2014 and October 4, 2013, respectively.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of October 3, 2014, we had $140.0 million in principal amount of outstanding borrowings under our Credit Facility. Our primary interest rate under the Credit Facility is the Eurodollar rate plus an applicable margin that is based on our total leverage ratio. At October 3, 2014, the weighted average effective interest rate on our outstanding borrowings under the Credit Facility was 2.41%. Assuming the outstanding balance remained constant over a year, a 50 basis point increase in the interest rate would increase interest incurred, prior to effects of capitalized interest, by approximately $0.7 million over a twelve-month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October 3, 2014, we had a number of foreign currency forward contracts outstanding which are intended to reduce the foreign currency risk for amounts payable to vendors in Australian dollars. The foreign currency forward contracts with a notional amount of $0.6 million had a fair value of less than $0.1 million and were recorded in accrued liabilities as of October 3, 2014. If the foreign currency forward rate for the Australian dollar to the U.S. dollar on these foreign currency forward contracts had changed by 10%, the fair value of these foreign currency forward contracts as of October 3, 2014 would have changed by approximately $0.1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October 3, 2014, the end of the period covered by this report. Based upon the foregoing, our Chief Executive Officer and Chief Financial Officer concluded that our disclosure controls and procedures were effective at a reasonable assurance level as of October 3, 2014.</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February 2012, we filed a complaint against SS/L and its former parent company Loral in the United States District Court for the Southern District of California for patent infringement and breach of contract relating to the manufacture of ViaSat-1. We alleged, among other things, that SS/L and Loral infringed U.S. Patent Nos. 8,107,875, 8,010,043, 8,068,827 and 7,773,942 by making, using, offering to sell and/or selling other high-capacity broadband satellites, and requested monetary damages, injunctive relief and other remedies. On December 17, 2013, we voluntarily dismissed our claims against SS/L under U.S. Patent No. 7,773,942.</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June 15, 2012, SS/L filed counterclaims against us for patent infringement and declaratory relief. Specifically, SS/L sought a declaration that SS/L did not breach the parties’ contract for the manufacture of ViaSat-1, that SS/L did not infringe the patents described above, and that those patents are invalid and/or unenforceable. SS/L also alleged that we infringed U.S. Patent Nos. 6,879,808, 6,400,696 and 7,219,132. On November 13, 2013, the Court granted summary judgment of non-infringement of U.S. Patent No. 6,879,808 in favor of ViaSat. On December 17, 2013, SS/L dismissed its claims against ViaSat under U.S. Patent No. 7,219,132.</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On April 24, 2014, a federal court jury returned a verdict in our favor, finding that our patents are valid, SS/L infringed all of our patents, and SS/L breached the parties’ non-disclosure agreement and the manufacturing contract for the ViaSat-1 satellite. The jury awarded us $283.0 million in damages for patent infringement and breach of contract. During the trial, SS/L chose not to pursue its claim against us for infringing U.S. Patent No. 6,400,696.</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Following the trial, SS/L filed a number of motions to set aside the damages award, challenging our legal basis for damages and asking the Court to invalidate our patents as well as reverse the jury’s finding that SS/L breached the parties’ contracts and infringed all of our patents. We also filed a motion for a permanent injunction preventing SS/L from continuing to infringe our patents and using our intellectual property.</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August 2014, the Court upheld the jury’s findings that SS/L breached the parties’ contracts and infringed our patents. However, the Court ordered a new jury trial on the amount of damages resulting from SS/L’s breach and infringement. The damages retrial was scheduled for November 12, 2014.</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September 5, 2013, we filed a complaint against SS/L in the United States District Court for the Southern District of California for patent infringement and breach of contract relating to SS/L’s continued use of ViaSat’s patented technology and intellectual property in the manufacture of high-capacity broadband satellites. We alleged, among other things, that SS/L infringed U.S. Patent Nos. 7,230,908, 7,684,368, 8,213,929, 8,254,832, 8,285,202 and 8,548,377 by making, using, offering to sell and/or selling other high-capacity broadband satellites. We requested monetary damages, injunctive relief and other remedies.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September 5, 2014, we entered into a Settlement Agreement with SS/L and Loral, pursuant to which SS/L and Loral are required to pay us a total of $108.7 million, inclusive of interest, over a two and a half year period from the date of settlement. In exchange, we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 For additional information regarding the Settlement Agreement, see Note 8 to the condensed consolidated financial statements.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fiscal year ended April 4, 2014,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46 is incorporated herein by reference as the list of exhibits required as part of this report.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November 12, 2014</w:t>
      </w:r>
      <w:r>
        <w:rPr>
          <w:sz w:val="20"/>
          <w:szCs w:val="20"/>
          <w:color w:val="auto"/>
        </w:rPr>
        <w:tab/>
      </w:r>
      <w:r>
        <w:rPr>
          <w:rFonts w:ascii="Arial" w:cs="Arial" w:eastAsia="Arial" w:hAnsi="Arial"/>
          <w:sz w:val="16"/>
          <w:szCs w:val="16"/>
          <w:color w:val="auto"/>
        </w:rPr>
        <w:t>/s/ M</w:t>
      </w:r>
      <w:r>
        <w:rPr>
          <w:rFonts w:ascii="Arial" w:cs="Arial" w:eastAsia="Arial" w:hAnsi="Arial"/>
          <w:sz w:val="13"/>
          <w:szCs w:val="13"/>
          <w:color w:val="auto"/>
        </w:rPr>
        <w:t>ARK</w:t>
      </w:r>
      <w:r>
        <w:rPr>
          <w:rFonts w:ascii="Arial" w:cs="Arial" w:eastAsia="Arial" w:hAnsi="Arial"/>
          <w:sz w:val="16"/>
          <w:szCs w:val="16"/>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Duffy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00"/>
          </w:cols>
          <w:pgMar w:left="240" w:top="459" w:right="11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320" w:type="dxa"/>
            <w:vAlign w:val="bottom"/>
          </w:tcPr>
          <w:p>
            <w:pPr>
              <w:spacing w:after="0"/>
              <w:rPr>
                <w:sz w:val="14"/>
                <w:szCs w:val="14"/>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Filed</w:t>
            </w:r>
          </w:p>
        </w:tc>
      </w:tr>
      <w:tr>
        <w:trPr>
          <w:trHeight w:val="129"/>
        </w:trPr>
        <w:tc>
          <w:tcPr>
            <w:tcW w:w="50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60" w:type="dxa"/>
            <w:vAlign w:val="bottom"/>
          </w:tcPr>
          <w:p>
            <w:pPr>
              <w:ind w:left="2260"/>
              <w:spacing w:after="0" w:line="129" w:lineRule="exact"/>
              <w:rPr>
                <w:sz w:val="20"/>
                <w:szCs w:val="20"/>
                <w:color w:val="auto"/>
              </w:rPr>
            </w:pPr>
            <w:r>
              <w:rPr>
                <w:rFonts w:ascii="Arial" w:cs="Arial" w:eastAsia="Arial" w:hAnsi="Arial"/>
                <w:sz w:val="14"/>
                <w:szCs w:val="14"/>
                <w:b w:val="1"/>
                <w:bCs w:val="1"/>
                <w:color w:val="auto"/>
              </w:rPr>
              <w:t>Exhibit Description</w:t>
            </w:r>
          </w:p>
        </w:tc>
        <w:tc>
          <w:tcPr>
            <w:tcW w:w="54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Form</w:t>
            </w: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File No.</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line="129" w:lineRule="exact"/>
              <w:rPr>
                <w:sz w:val="20"/>
                <w:szCs w:val="20"/>
                <w:color w:val="auto"/>
              </w:rPr>
            </w:pPr>
            <w:r>
              <w:rPr>
                <w:rFonts w:ascii="Arial" w:cs="Arial" w:eastAsia="Arial" w:hAnsi="Arial"/>
                <w:sz w:val="14"/>
                <w:szCs w:val="14"/>
                <w:b w:val="1"/>
                <w:bCs w:val="1"/>
                <w:color w:val="auto"/>
                <w:w w:val="89"/>
              </w:rPr>
              <w:t>Filing Date</w:t>
            </w:r>
          </w:p>
        </w:tc>
        <w:tc>
          <w:tcPr>
            <w:tcW w:w="3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Herewith</w:t>
            </w:r>
          </w:p>
        </w:tc>
      </w:tr>
      <w:tr>
        <w:trPr>
          <w:trHeight w:val="27"/>
        </w:trPr>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Executive Officer Pursuant to Section 302 of the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rPr>
              <w:t>Sarbanes-Oxley Act of 2002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w w:val="97"/>
              </w:rPr>
              <w:t>Certification of Chief Financial Officer Pursuant to Section 302 of the Sarbanes-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rPr>
              <w:t>Oxley Act of 2002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rPr>
              <w:t>Certifications Pursuant to 18 U.S.C. Section 1350, as Adopted Pursuant to</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rPr>
              <w:t>Section 906 of the Sarbanes-Oxley Act of 2002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Schema</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5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6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80" w:type="dxa"/>
            <w:vAlign w:val="bottom"/>
            <w:gridSpan w:val="2"/>
          </w:tcPr>
          <w:p>
            <w:pPr>
              <w:ind w:left="4640"/>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20" w:firstLine="464"/>
        <w:spacing w:after="0" w:line="277"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October 3, 2014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20" w:firstLine="464"/>
        <w:spacing w:after="0" w:line="277" w:lineRule="auto"/>
        <w:tabs>
          <w:tab w:leader="none" w:pos="7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October 3, 2014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Roman"/>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2019-12-05T22:28:26Z</dcterms:created>
  <dcterms:modified xsi:type="dcterms:W3CDTF">2019-12-05T22:28:26Z</dcterms:modified>
</cp:coreProperties>
</file>