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4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38100</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5"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61595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5" w:lineRule="exact"/>
        <w:rPr>
          <w:sz w:val="24"/>
          <w:szCs w:val="24"/>
          <w:color w:val="auto"/>
        </w:rPr>
      </w:pPr>
    </w:p>
    <w:p>
      <w:pPr>
        <w:ind w:left="4120" w:right="3500" w:hanging="4112"/>
        <w:spacing w:after="0" w:line="266" w:lineRule="auto"/>
        <w:tabs>
          <w:tab w:leader="none" w:pos="186"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March 31, 2025</w:t>
      </w: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36"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172"/>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For the transition period from</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11"/>
        </w:trPr>
        <w:tc>
          <w:tcPr>
            <w:tcW w:w="3780" w:type="dxa"/>
            <w:vAlign w:val="bottom"/>
            <w:gridSpan w:val="6"/>
          </w:tcPr>
          <w:p>
            <w:pPr>
              <w:ind w:left="580"/>
              <w:spacing w:after="0"/>
              <w:rPr>
                <w:sz w:val="20"/>
                <w:szCs w:val="20"/>
                <w:color w:val="auto"/>
              </w:rPr>
            </w:pPr>
            <w:r>
              <w:rPr>
                <w:rFonts w:ascii="Arial" w:cs="Arial" w:eastAsia="Arial" w:hAnsi="Arial"/>
                <w:sz w:val="15"/>
                <w:szCs w:val="15"/>
                <w:b w:val="1"/>
                <w:bCs w:val="1"/>
                <w:color w:val="auto"/>
              </w:rPr>
              <w:t>Commission file number (000-21767)</w:t>
            </w:r>
          </w:p>
        </w:tc>
        <w:tc>
          <w:tcPr>
            <w:tcW w:w="80" w:type="dxa"/>
            <w:vAlign w:val="bottom"/>
          </w:tcPr>
          <w:p>
            <w:pPr>
              <w:spacing w:after="0"/>
              <w:rPr>
                <w:sz w:val="18"/>
                <w:szCs w:val="18"/>
                <w:color w:val="auto"/>
              </w:rPr>
            </w:pPr>
          </w:p>
        </w:tc>
      </w:tr>
      <w:tr>
        <w:trPr>
          <w:trHeight w:val="52"/>
        </w:trPr>
        <w:tc>
          <w:tcPr>
            <w:tcW w:w="10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26035</wp:posOffset>
            </wp:positionV>
            <wp:extent cx="1019810"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810"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437"/>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5"/>
          </w:tcPr>
          <w:p>
            <w:pPr>
              <w:ind w:left="600"/>
              <w:spacing w:after="0"/>
              <w:rPr>
                <w:sz w:val="20"/>
                <w:szCs w:val="20"/>
                <w:color w:val="auto"/>
              </w:rPr>
            </w:pPr>
            <w:r>
              <w:rPr>
                <w:rFonts w:ascii="Arial" w:cs="Arial" w:eastAsia="Arial" w:hAnsi="Arial"/>
                <w:sz w:val="36"/>
                <w:szCs w:val="36"/>
                <w:b w:val="1"/>
                <w:bCs w:val="1"/>
                <w:color w:val="auto"/>
              </w:rPr>
              <w:t>VIASAT,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6"/>
          </w:tcPr>
          <w:p>
            <w:pPr>
              <w:jc w:val="center"/>
              <w:ind w:right="30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480" w:type="dxa"/>
            <w:vAlign w:val="bottom"/>
            <w:vMerge w:val="restart"/>
          </w:tcPr>
          <w:p>
            <w:pPr>
              <w:jc w:val="center"/>
              <w:ind w:left="1969"/>
              <w:spacing w:after="0"/>
              <w:rPr>
                <w:sz w:val="20"/>
                <w:szCs w:val="20"/>
                <w:color w:val="auto"/>
              </w:rPr>
            </w:pPr>
            <w:r>
              <w:rPr>
                <w:rFonts w:ascii="Arial" w:cs="Arial" w:eastAsia="Arial" w:hAnsi="Arial"/>
                <w:sz w:val="15"/>
                <w:szCs w:val="15"/>
                <w:b w:val="1"/>
                <w:bCs w:val="1"/>
                <w:color w:val="auto"/>
              </w:rPr>
              <w:t>Delaware</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40" w:type="dxa"/>
            <w:vAlign w:val="bottom"/>
            <w:vMerge w:val="restart"/>
          </w:tcPr>
          <w:p>
            <w:pPr>
              <w:jc w:val="center"/>
              <w:ind w:right="198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08"/>
        </w:trPr>
        <w:tc>
          <w:tcPr>
            <w:tcW w:w="3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(State or other jurisdiction of</w:t>
            </w:r>
          </w:p>
        </w:tc>
        <w:tc>
          <w:tcPr>
            <w:tcW w:w="3440" w:type="dxa"/>
            <w:vAlign w:val="bottom"/>
          </w:tcPr>
          <w:p>
            <w:pPr>
              <w:jc w:val="center"/>
              <w:ind w:right="1969"/>
              <w:spacing w:after="0"/>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4"/>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incorporation or organization)</w:t>
            </w:r>
          </w:p>
        </w:tc>
        <w:tc>
          <w:tcPr>
            <w:tcW w:w="3440" w:type="dxa"/>
            <w:vAlign w:val="bottom"/>
          </w:tcPr>
          <w:p>
            <w:pPr>
              <w:jc w:val="center"/>
              <w:ind w:right="1989"/>
              <w:spacing w:after="0"/>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00" w:type="dxa"/>
            <w:vAlign w:val="bottom"/>
            <w:gridSpan w:val="4"/>
          </w:tcPr>
          <w:p>
            <w:pPr>
              <w:jc w:val="center"/>
              <w:ind w:right="1280"/>
              <w:spacing w:after="0" w:line="162" w:lineRule="exact"/>
              <w:rPr>
                <w:sz w:val="20"/>
                <w:szCs w:val="20"/>
                <w:color w:val="auto"/>
              </w:rPr>
            </w:pPr>
            <w:r>
              <w:rPr>
                <w:rFonts w:ascii="Arial" w:cs="Arial" w:eastAsia="Arial" w:hAnsi="Arial"/>
                <w:sz w:val="15"/>
                <w:szCs w:val="15"/>
                <w:b w:val="1"/>
                <w:bCs w:val="1"/>
                <w:color w:val="auto"/>
              </w:rPr>
              <w:t>6155 El Camino Real</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Carlsbad, California 92009</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3060" w:type="dxa"/>
            <w:vAlign w:val="bottom"/>
            <w:gridSpan w:val="4"/>
          </w:tcPr>
          <w:p>
            <w:pPr>
              <w:jc w:val="center"/>
              <w:ind w:left="1107"/>
              <w:spacing w:after="0"/>
              <w:rPr>
                <w:sz w:val="20"/>
                <w:szCs w:val="20"/>
                <w:color w:val="auto"/>
              </w:rPr>
            </w:pPr>
            <w:r>
              <w:rPr>
                <w:rFonts w:ascii="Arial" w:cs="Arial" w:eastAsia="Arial" w:hAnsi="Arial"/>
                <w:sz w:val="15"/>
                <w:szCs w:val="15"/>
                <w:b w:val="1"/>
                <w:bCs w:val="1"/>
                <w:color w:val="auto"/>
              </w:rPr>
              <w:t>(760) 476-2200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43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(Address of principal executive offices and telephone number)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4320" w:type="dxa"/>
            <w:vAlign w:val="bottom"/>
            <w:gridSpan w:val="7"/>
          </w:tcPr>
          <w:p>
            <w:pPr>
              <w:jc w:val="center"/>
              <w:ind w:right="8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480" w:type="dxa"/>
            <w:vAlign w:val="bottom"/>
          </w:tcPr>
          <w:p>
            <w:pPr>
              <w:jc w:val="center"/>
              <w:ind w:left="149"/>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4"/>
          </w:tcPr>
          <w:p>
            <w:pPr>
              <w:jc w:val="center"/>
              <w:ind w:right="1180"/>
              <w:spacing w:after="0"/>
              <w:rPr>
                <w:sz w:val="20"/>
                <w:szCs w:val="20"/>
                <w:color w:val="auto"/>
              </w:rPr>
            </w:pPr>
            <w:r>
              <w:rPr>
                <w:rFonts w:ascii="Arial" w:cs="Arial" w:eastAsia="Arial" w:hAnsi="Arial"/>
                <w:sz w:val="13"/>
                <w:szCs w:val="13"/>
                <w:b w:val="1"/>
                <w:bCs w:val="1"/>
                <w:color w:val="auto"/>
              </w:rPr>
              <w:t>(Trading Symbol)</w:t>
            </w:r>
          </w:p>
        </w:tc>
        <w:tc>
          <w:tcPr>
            <w:tcW w:w="3440" w:type="dxa"/>
            <w:vAlign w:val="bottom"/>
          </w:tcPr>
          <w:p>
            <w:pPr>
              <w:jc w:val="center"/>
              <w:ind w:right="149"/>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348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19" w:lineRule="exact"/>
        <w:rPr>
          <w:sz w:val="24"/>
          <w:szCs w:val="24"/>
          <w:color w:val="auto"/>
        </w:rPr>
      </w:pPr>
    </w:p>
    <w:p>
      <w:pPr>
        <w:ind w:left="542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55245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8" w:lineRule="exact"/>
        <w:rPr>
          <w:sz w:val="24"/>
          <w:szCs w:val="24"/>
          <w:color w:val="auto"/>
        </w:rPr>
      </w:pPr>
    </w:p>
    <w:p>
      <w:pPr>
        <w:ind w:left="380"/>
        <w:spacing w:after="0" w:line="201" w:lineRule="exact"/>
        <w:tabs>
          <w:tab w:leader="none" w:pos="900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57" w:lineRule="exact"/>
        <w:rPr>
          <w:sz w:val="24"/>
          <w:szCs w:val="24"/>
          <w:color w:val="auto"/>
        </w:rPr>
      </w:pPr>
    </w:p>
    <w:p>
      <w:pPr>
        <w:ind w:left="380"/>
        <w:spacing w:after="0" w:line="201"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29" w:lineRule="exact"/>
        <w:rPr>
          <w:sz w:val="24"/>
          <w:szCs w:val="24"/>
          <w:color w:val="auto"/>
        </w:rPr>
      </w:pPr>
    </w:p>
    <w:p>
      <w:pPr>
        <w:ind w:right="180" w:firstLine="374"/>
        <w:spacing w:after="0" w:line="23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01" w:lineRule="exact"/>
        <w:tabs>
          <w:tab w:leader="none" w:pos="1060" w:val="left"/>
        </w:tabs>
        <w:rPr>
          <w:sz w:val="20"/>
          <w:szCs w:val="20"/>
          <w:color w:val="auto"/>
        </w:rPr>
      </w:pPr>
      <w:r>
        <w:rPr>
          <w:rFonts w:ascii="Arial" w:cs="Arial" w:eastAsia="Arial" w:hAnsi="Arial"/>
          <w:sz w:val="15"/>
          <w:szCs w:val="15"/>
          <w:color w:val="auto"/>
        </w:rPr>
        <w:t>past 90 days.</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5" w:lineRule="exact"/>
        <w:rPr>
          <w:sz w:val="24"/>
          <w:szCs w:val="24"/>
          <w:color w:val="auto"/>
        </w:rPr>
      </w:pPr>
    </w:p>
    <w:p>
      <w:pPr>
        <w:ind w:right="140" w:firstLine="374"/>
        <w:spacing w:after="0" w:line="18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Yes</w:t>
      </w:r>
    </w:p>
    <w:p>
      <w:pPr>
        <w:ind w:left="220" w:hanging="212"/>
        <w:spacing w:after="0" w:line="228" w:lineRule="auto"/>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w:t>
      </w:r>
    </w:p>
    <w:p>
      <w:pPr>
        <w:spacing w:after="0" w:line="23" w:lineRule="exact"/>
        <w:rPr>
          <w:sz w:val="24"/>
          <w:szCs w:val="24"/>
          <w:color w:val="auto"/>
        </w:rPr>
      </w:pPr>
    </w:p>
    <w:p>
      <w:pPr>
        <w:ind w:right="240" w:firstLine="374"/>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w:t>
      </w:r>
    </w:p>
    <w:p>
      <w:pPr>
        <w:spacing w:after="0"/>
        <w:rPr>
          <w:sz w:val="20"/>
          <w:szCs w:val="20"/>
          <w:color w:val="auto"/>
        </w:rPr>
      </w:pPr>
      <w:r>
        <w:rPr>
          <w:rFonts w:ascii="Arial" w:cs="Arial" w:eastAsia="Arial" w:hAnsi="Arial"/>
          <w:sz w:val="15"/>
          <w:szCs w:val="15"/>
          <w:color w:val="auto"/>
        </w:rPr>
        <w:t>12b-2 of the Exchange Act.</w:t>
      </w:r>
    </w:p>
    <w:tbl>
      <w:tblPr>
        <w:tblLayout w:type="fixed"/>
        <w:tblInd w:w="0" w:type="dxa"/>
        <w:tblCellMar>
          <w:top w:w="0" w:type="dxa"/>
          <w:left w:w="0" w:type="dxa"/>
          <w:bottom w:w="0" w:type="dxa"/>
          <w:right w:w="0" w:type="dxa"/>
        </w:tblCellMar>
      </w:tblPr>
      <w:tr>
        <w:trPr>
          <w:trHeight w:val="196"/>
        </w:trPr>
        <w:tc>
          <w:tcPr>
            <w:tcW w:w="24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20" w:type="dxa"/>
            <w:vAlign w:val="bottom"/>
          </w:tcPr>
          <w:p>
            <w:pPr>
              <w:ind w:left="920"/>
              <w:spacing w:after="0" w:line="196" w:lineRule="exact"/>
              <w:rPr>
                <w:sz w:val="20"/>
                <w:szCs w:val="20"/>
                <w:color w:val="auto"/>
              </w:rPr>
            </w:pPr>
            <w:r>
              <w:rPr>
                <w:rFonts w:ascii="Arial Unicode MS" w:cs="Arial Unicode MS" w:eastAsia="Arial Unicode MS" w:hAnsi="Arial Unicode MS"/>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00"/>
              <w:spacing w:after="0" w:line="196" w:lineRule="exact"/>
              <w:rPr>
                <w:sz w:val="20"/>
                <w:szCs w:val="20"/>
                <w:color w:val="auto"/>
              </w:rPr>
            </w:pPr>
            <w:r>
              <w:rPr>
                <w:rFonts w:ascii="Arial Unicode MS" w:cs="Arial Unicode MS" w:eastAsia="Arial Unicode MS" w:hAnsi="Arial Unicode MS"/>
                <w:sz w:val="15"/>
                <w:szCs w:val="15"/>
                <w:color w:val="auto"/>
              </w:rPr>
              <w:t>☐</w:t>
            </w:r>
          </w:p>
        </w:tc>
      </w:tr>
      <w:tr>
        <w:trPr>
          <w:trHeight w:val="189"/>
        </w:trPr>
        <w:tc>
          <w:tcPr>
            <w:tcW w:w="24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20" w:type="dxa"/>
            <w:vAlign w:val="bottom"/>
          </w:tcPr>
          <w:p>
            <w:pPr>
              <w:ind w:left="920"/>
              <w:spacing w:after="0" w:line="189" w:lineRule="exact"/>
              <w:rPr>
                <w:sz w:val="20"/>
                <w:szCs w:val="20"/>
                <w:color w:val="auto"/>
              </w:rPr>
            </w:pPr>
            <w:r>
              <w:rPr>
                <w:rFonts w:ascii="Arial Unicode MS" w:cs="Arial Unicode MS" w:eastAsia="Arial Unicode MS" w:hAnsi="Arial Unicode MS"/>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00"/>
              <w:spacing w:after="0" w:line="189" w:lineRule="exact"/>
              <w:rPr>
                <w:sz w:val="20"/>
                <w:szCs w:val="20"/>
                <w:color w:val="auto"/>
              </w:rPr>
            </w:pPr>
            <w:r>
              <w:rPr>
                <w:rFonts w:ascii="Arial Unicode MS" w:cs="Arial Unicode MS" w:eastAsia="Arial Unicode MS" w:hAnsi="Arial Unicode MS"/>
                <w:sz w:val="15"/>
                <w:szCs w:val="15"/>
                <w:color w:val="auto"/>
              </w:rPr>
              <w:t>☐</w:t>
            </w:r>
          </w:p>
        </w:tc>
      </w:tr>
      <w:tr>
        <w:trPr>
          <w:trHeight w:val="258"/>
        </w:trPr>
        <w:tc>
          <w:tcPr>
            <w:tcW w:w="24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500" w:type="dxa"/>
            <w:vAlign w:val="bottom"/>
          </w:tcPr>
          <w:p>
            <w:pPr>
              <w:ind w:left="246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r>
    </w:tbl>
    <w:p>
      <w:pPr>
        <w:ind w:right="360" w:firstLine="374"/>
        <w:spacing w:after="0" w:line="19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20" w:firstLine="374"/>
        <w:spacing w:after="0" w:line="23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report. </w:t>
      </w:r>
      <w:r>
        <w:rPr>
          <w:rFonts w:ascii="Arial Unicode MS" w:cs="Arial Unicode MS" w:eastAsia="Arial Unicode MS" w:hAnsi="Arial Unicode MS"/>
          <w:sz w:val="15"/>
          <w:szCs w:val="15"/>
          <w:color w:val="auto"/>
        </w:rPr>
        <w:t>☒</w:t>
      </w:r>
    </w:p>
    <w:p>
      <w:pPr>
        <w:spacing w:after="0" w:line="11" w:lineRule="exact"/>
        <w:rPr>
          <w:sz w:val="24"/>
          <w:szCs w:val="24"/>
          <w:color w:val="auto"/>
        </w:rPr>
      </w:pPr>
    </w:p>
    <w:p>
      <w:pPr>
        <w:ind w:right="280" w:firstLine="374"/>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40" w:firstLine="374"/>
        <w:spacing w:after="0" w:line="192" w:lineRule="exact"/>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Arial" w:cs="Arial" w:eastAsia="Arial" w:hAnsi="Arial"/>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left="380"/>
        <w:spacing w:after="0" w:line="201"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23" w:lineRule="exact"/>
        <w:rPr>
          <w:sz w:val="24"/>
          <w:szCs w:val="24"/>
          <w:color w:val="auto"/>
        </w:rPr>
      </w:pPr>
    </w:p>
    <w:p>
      <w:pPr>
        <w:ind w:firstLine="374"/>
        <w:spacing w:after="0" w:line="244"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2024 was approximately $1,088,400,265 (based on the closing price on that date for shares of the registrant’s common stock as reported by the Nasdaq Global Select Market).</w:t>
      </w:r>
    </w:p>
    <w:p>
      <w:pPr>
        <w:spacing w:after="0" w:line="1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9, 2025 was 130,319,585.</w:t>
      </w:r>
    </w:p>
    <w:p>
      <w:pPr>
        <w:spacing w:after="0" w:line="42" w:lineRule="exact"/>
        <w:rPr>
          <w:sz w:val="24"/>
          <w:szCs w:val="24"/>
          <w:color w:val="auto"/>
        </w:rPr>
      </w:pPr>
    </w:p>
    <w:p>
      <w:pPr>
        <w:ind w:left="40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48260</wp:posOffset>
            </wp:positionV>
            <wp:extent cx="1165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9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w:t>
      </w:r>
    </w:p>
    <w:p>
      <w:pPr>
        <w:spacing w:after="0" w:line="4" w:lineRule="exact"/>
        <w:rPr>
          <w:sz w:val="24"/>
          <w:szCs w:val="24"/>
          <w:color w:val="auto"/>
        </w:rPr>
      </w:pPr>
    </w:p>
    <w:p>
      <w:pPr>
        <w:ind w:right="560"/>
        <w:spacing w:after="0" w:line="244" w:lineRule="auto"/>
        <w:rPr>
          <w:sz w:val="20"/>
          <w:szCs w:val="20"/>
          <w:color w:val="auto"/>
        </w:rPr>
      </w:pPr>
      <w:r>
        <w:rPr>
          <w:rFonts w:ascii="Arial" w:cs="Arial" w:eastAsia="Arial" w:hAnsi="Arial"/>
          <w:sz w:val="15"/>
          <w:szCs w:val="15"/>
          <w:color w:val="auto"/>
        </w:rPr>
        <w:t>2025 Annual Meeting of Stockholders are incorporated by reference into Part III of this Form 10-K where indicated. Such Proxy Statement will be filed with the Securities and Exchange Commission not later than 120 days after the registrant’s fiscal year ended 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580" w:type="dxa"/>
            <w:vAlign w:val="bottom"/>
            <w:gridSpan w:val="16"/>
          </w:tcPr>
          <w:p>
            <w:pPr>
              <w:jc w:val="center"/>
              <w:ind w:right="4380"/>
              <w:spacing w:after="0"/>
              <w:rPr>
                <w:sz w:val="20"/>
                <w:szCs w:val="20"/>
                <w:color w:val="auto"/>
              </w:rPr>
            </w:pPr>
            <w:r>
              <w:rPr>
                <w:rFonts w:ascii="Arial" w:cs="Arial" w:eastAsia="Arial" w:hAnsi="Arial"/>
                <w:sz w:val="18"/>
                <w:szCs w:val="18"/>
                <w:b w:val="1"/>
                <w:bCs w:val="1"/>
                <w:color w:val="auto"/>
                <w:w w:val="99"/>
              </w:rPr>
              <w:t>VIASAT, INC.</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100" w:type="dxa"/>
            <w:vAlign w:val="bottom"/>
            <w:gridSpan w:val="17"/>
          </w:tcPr>
          <w:p>
            <w:pPr>
              <w:jc w:val="center"/>
              <w:ind w:right="3880"/>
              <w:spacing w:after="0"/>
              <w:rPr>
                <w:sz w:val="20"/>
                <w:szCs w:val="20"/>
                <w:color w:val="auto"/>
              </w:rPr>
            </w:pPr>
            <w:r>
              <w:rPr>
                <w:rFonts w:ascii="Arial" w:cs="Arial" w:eastAsia="Arial" w:hAnsi="Arial"/>
                <w:sz w:val="18"/>
                <w:szCs w:val="18"/>
                <w:b w:val="1"/>
                <w:bCs w:val="1"/>
                <w:color w:val="auto"/>
                <w:w w:val="99"/>
              </w:rPr>
              <w:t>TABLE OF CONTENTS</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6"/>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77"/>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13"/>
          </w:tcPr>
          <w:p>
            <w:pPr>
              <w:jc w:val="center"/>
              <w:ind w:right="4420"/>
              <w:spacing w:after="0"/>
              <w:rPr>
                <w:sz w:val="20"/>
                <w:szCs w:val="20"/>
                <w:color w:val="auto"/>
              </w:rPr>
            </w:pPr>
            <w:r>
              <w:rPr>
                <w:rFonts w:ascii="Arial" w:cs="Arial" w:eastAsia="Arial" w:hAnsi="Arial"/>
                <w:sz w:val="18"/>
                <w:szCs w:val="18"/>
                <w:b w:val="1"/>
                <w:bCs w:val="1"/>
                <w:color w:val="0000FF"/>
                <w:w w:val="98"/>
              </w:rPr>
              <w:t>PART 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4320" w:type="dxa"/>
            <w:vAlign w:val="bottom"/>
            <w:gridSpan w:val="19"/>
          </w:tcPr>
          <w:p>
            <w:pPr>
              <w:spacing w:after="0" w:line="182" w:lineRule="exact"/>
              <w:rPr>
                <w:sz w:val="20"/>
                <w:szCs w:val="20"/>
                <w:color w:val="auto"/>
              </w:rPr>
            </w:pPr>
            <w:r>
              <w:rPr>
                <w:rFonts w:ascii="Arial" w:cs="Arial" w:eastAsia="Arial" w:hAnsi="Arial"/>
                <w:sz w:val="18"/>
                <w:szCs w:val="18"/>
                <w:color w:val="0000FF"/>
              </w:rPr>
              <w:t>Business</w:t>
            </w:r>
          </w:p>
        </w:tc>
        <w:tc>
          <w:tcPr>
            <w:tcW w:w="1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1A.</w:t>
            </w:r>
          </w:p>
        </w:tc>
        <w:tc>
          <w:tcPr>
            <w:tcW w:w="20" w:type="dxa"/>
            <w:vAlign w:val="bottom"/>
            <w:vMerge w:val="restart"/>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300" w:type="dxa"/>
            <w:vAlign w:val="bottom"/>
            <w:gridSpan w:val="31"/>
          </w:tcPr>
          <w:p>
            <w:pPr>
              <w:spacing w:after="0" w:line="182" w:lineRule="exact"/>
              <w:rPr>
                <w:sz w:val="20"/>
                <w:szCs w:val="20"/>
                <w:color w:val="auto"/>
              </w:rPr>
            </w:pPr>
            <w:r>
              <w:rPr>
                <w:rFonts w:ascii="Arial" w:cs="Arial" w:eastAsia="Arial" w:hAnsi="Arial"/>
                <w:sz w:val="18"/>
                <w:szCs w:val="18"/>
                <w:color w:val="0000FF"/>
              </w:rPr>
              <w:t>Risk Factors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1B.</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300" w:type="dxa"/>
            <w:vAlign w:val="bottom"/>
            <w:gridSpan w:val="27"/>
            <w:vMerge w:val="restart"/>
          </w:tcPr>
          <w:p>
            <w:pPr>
              <w:spacing w:after="0" w:line="202" w:lineRule="exact"/>
              <w:rPr>
                <w:sz w:val="20"/>
                <w:szCs w:val="20"/>
                <w:color w:val="auto"/>
              </w:rPr>
            </w:pPr>
            <w:r>
              <w:rPr>
                <w:rFonts w:ascii="Arial" w:cs="Arial" w:eastAsia="Arial" w:hAnsi="Arial"/>
                <w:sz w:val="18"/>
                <w:szCs w:val="18"/>
                <w:color w:val="0000FF"/>
              </w:rPr>
              <w:t>Staff Comments</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1020" w:type="dxa"/>
            <w:vAlign w:val="bottom"/>
            <w:gridSpan w:val="5"/>
          </w:tcPr>
          <w:p>
            <w:pPr>
              <w:spacing w:after="0" w:line="182" w:lineRule="exact"/>
              <w:rPr>
                <w:sz w:val="20"/>
                <w:szCs w:val="20"/>
                <w:color w:val="auto"/>
              </w:rPr>
            </w:pPr>
            <w:r>
              <w:rPr>
                <w:rFonts w:ascii="Arial" w:cs="Arial" w:eastAsia="Arial" w:hAnsi="Arial"/>
                <w:sz w:val="18"/>
                <w:szCs w:val="18"/>
                <w:color w:val="0000FF"/>
              </w:rPr>
              <w:t>Unresolved</w:t>
            </w:r>
          </w:p>
        </w:tc>
        <w:tc>
          <w:tcPr>
            <w:tcW w:w="8300" w:type="dxa"/>
            <w:vAlign w:val="bottom"/>
            <w:gridSpan w:val="2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1C.</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2260" w:type="dxa"/>
            <w:vAlign w:val="bottom"/>
            <w:gridSpan w:val="13"/>
          </w:tcPr>
          <w:p>
            <w:pPr>
              <w:spacing w:after="0" w:line="182" w:lineRule="exact"/>
              <w:rPr>
                <w:sz w:val="20"/>
                <w:szCs w:val="20"/>
                <w:color w:val="auto"/>
              </w:rPr>
            </w:pPr>
            <w:r>
              <w:rPr>
                <w:rFonts w:ascii="Arial" w:cs="Arial" w:eastAsia="Arial" w:hAnsi="Arial"/>
                <w:sz w:val="18"/>
                <w:szCs w:val="18"/>
                <w:color w:val="0000FF"/>
              </w:rPr>
              <w:t>Cybersecurity</w:t>
            </w:r>
          </w:p>
        </w:tc>
        <w:tc>
          <w:tcPr>
            <w:tcW w:w="9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2.</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1100" w:type="dxa"/>
            <w:vAlign w:val="bottom"/>
            <w:gridSpan w:val="6"/>
          </w:tcPr>
          <w:p>
            <w:pPr>
              <w:spacing w:after="0" w:line="182" w:lineRule="exact"/>
              <w:rPr>
                <w:sz w:val="20"/>
                <w:szCs w:val="20"/>
                <w:color w:val="auto"/>
              </w:rPr>
            </w:pPr>
            <w:r>
              <w:rPr>
                <w:rFonts w:ascii="Arial" w:cs="Arial" w:eastAsia="Arial" w:hAnsi="Arial"/>
                <w:sz w:val="18"/>
                <w:szCs w:val="18"/>
                <w:color w:val="0000FF"/>
              </w:rPr>
              <w:t>Properties</w:t>
            </w:r>
          </w:p>
        </w:tc>
        <w:tc>
          <w:tcPr>
            <w:tcW w:w="3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3.</w:t>
            </w:r>
          </w:p>
        </w:tc>
        <w:tc>
          <w:tcPr>
            <w:tcW w:w="2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9320" w:type="dxa"/>
            <w:vAlign w:val="bottom"/>
            <w:gridSpan w:val="32"/>
          </w:tcPr>
          <w:p>
            <w:pPr>
              <w:spacing w:after="0" w:line="182" w:lineRule="exact"/>
              <w:rPr>
                <w:sz w:val="20"/>
                <w:szCs w:val="20"/>
                <w:color w:val="auto"/>
              </w:rPr>
            </w:pPr>
            <w:r>
              <w:rPr>
                <w:rFonts w:ascii="Arial" w:cs="Arial" w:eastAsia="Arial" w:hAnsi="Arial"/>
                <w:sz w:val="18"/>
                <w:szCs w:val="18"/>
                <w:color w:val="0000FF"/>
              </w:rPr>
              <w:t>Legal Proceedings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4.</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9320" w:type="dxa"/>
            <w:vAlign w:val="bottom"/>
            <w:gridSpan w:val="32"/>
          </w:tcPr>
          <w:p>
            <w:pPr>
              <w:spacing w:after="0" w:line="182" w:lineRule="exact"/>
              <w:rPr>
                <w:sz w:val="20"/>
                <w:szCs w:val="20"/>
                <w:color w:val="auto"/>
              </w:rPr>
            </w:pPr>
            <w:r>
              <w:rPr>
                <w:rFonts w:ascii="Arial" w:cs="Arial" w:eastAsia="Arial" w:hAnsi="Arial"/>
                <w:sz w:val="18"/>
                <w:szCs w:val="18"/>
                <w:color w:val="0000FF"/>
              </w:rPr>
              <w:t>Mine Safety Disclosures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260" w:type="dxa"/>
            <w:vAlign w:val="bottom"/>
            <w:gridSpan w:val="2"/>
            <w:vMerge w:val="restart"/>
          </w:tcPr>
          <w:p>
            <w:pPr>
              <w:spacing w:after="0"/>
              <w:rPr>
                <w:sz w:val="20"/>
                <w:szCs w:val="20"/>
                <w:color w:val="auto"/>
              </w:rPr>
            </w:pPr>
            <w:r>
              <w:rPr>
                <w:rFonts w:ascii="Arial" w:cs="Arial" w:eastAsia="Arial" w:hAnsi="Arial"/>
                <w:sz w:val="18"/>
                <w:szCs w:val="18"/>
                <w:color w:val="auto"/>
              </w:rPr>
              <w:t>Item 5.</w:t>
            </w: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20" w:type="dxa"/>
            <w:vAlign w:val="bottom"/>
            <w:gridSpan w:val="14"/>
          </w:tcPr>
          <w:p>
            <w:pPr>
              <w:jc w:val="center"/>
              <w:ind w:right="4400"/>
              <w:spacing w:after="0"/>
              <w:rPr>
                <w:sz w:val="20"/>
                <w:szCs w:val="20"/>
                <w:color w:val="auto"/>
              </w:rPr>
            </w:pPr>
            <w:r>
              <w:rPr>
                <w:rFonts w:ascii="Arial" w:cs="Arial" w:eastAsia="Arial" w:hAnsi="Arial"/>
                <w:sz w:val="18"/>
                <w:szCs w:val="18"/>
                <w:b w:val="1"/>
                <w:bCs w:val="1"/>
                <w:color w:val="0000FF"/>
                <w:w w:val="96"/>
              </w:rPr>
              <w:t>PART II</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260" w:type="dxa"/>
            <w:vAlign w:val="bottom"/>
            <w:gridSpan w:val="2"/>
            <w:vMerge w:val="continu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4380" w:type="dxa"/>
            <w:vAlign w:val="bottom"/>
            <w:gridSpan w:val="9"/>
            <w:vMerge w:val="restart"/>
          </w:tcPr>
          <w:p>
            <w:pPr>
              <w:spacing w:after="0" w:line="202" w:lineRule="exact"/>
              <w:rPr>
                <w:sz w:val="20"/>
                <w:szCs w:val="20"/>
                <w:color w:val="auto"/>
              </w:rPr>
            </w:pPr>
            <w:r>
              <w:rPr>
                <w:rFonts w:ascii="Arial" w:cs="Arial" w:eastAsia="Arial" w:hAnsi="Arial"/>
                <w:sz w:val="18"/>
                <w:szCs w:val="18"/>
                <w:color w:val="0000FF"/>
              </w:rPr>
              <w:t>Matters and Issuer Purchases of Equity Securities</w:t>
            </w: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4940" w:type="dxa"/>
            <w:vAlign w:val="bottom"/>
            <w:gridSpan w:val="23"/>
          </w:tcPr>
          <w:p>
            <w:pPr>
              <w:spacing w:after="0" w:line="182" w:lineRule="exact"/>
              <w:rPr>
                <w:sz w:val="20"/>
                <w:szCs w:val="20"/>
                <w:color w:val="auto"/>
              </w:rPr>
            </w:pPr>
            <w:r>
              <w:rPr>
                <w:rFonts w:ascii="Arial" w:cs="Arial" w:eastAsia="Arial" w:hAnsi="Arial"/>
                <w:sz w:val="18"/>
                <w:szCs w:val="18"/>
                <w:color w:val="0000FF"/>
              </w:rPr>
              <w:t>Market for Registrant’s Common Equity, Related Stockholder</w:t>
            </w:r>
          </w:p>
        </w:tc>
        <w:tc>
          <w:tcPr>
            <w:tcW w:w="4380" w:type="dxa"/>
            <w:vAlign w:val="bottom"/>
            <w:gridSpan w:val="9"/>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6.</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8900" w:type="dxa"/>
            <w:vAlign w:val="bottom"/>
            <w:gridSpan w:val="31"/>
          </w:tcPr>
          <w:p>
            <w:pPr>
              <w:spacing w:after="0" w:line="182" w:lineRule="exact"/>
              <w:rPr>
                <w:sz w:val="20"/>
                <w:szCs w:val="20"/>
                <w:color w:val="auto"/>
              </w:rPr>
            </w:pPr>
            <w:r>
              <w:rPr>
                <w:rFonts w:ascii="Arial" w:cs="Arial" w:eastAsia="Arial" w:hAnsi="Arial"/>
                <w:sz w:val="18"/>
                <w:szCs w:val="18"/>
                <w:color w:val="0000FF"/>
              </w:rPr>
              <w:t>[Reserved]</w:t>
            </w:r>
          </w:p>
        </w:tc>
        <w:tc>
          <w:tcPr>
            <w:tcW w:w="4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7.</w:t>
            </w:r>
          </w:p>
        </w:tc>
        <w:tc>
          <w:tcPr>
            <w:tcW w:w="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9320" w:type="dxa"/>
            <w:vAlign w:val="bottom"/>
            <w:gridSpan w:val="32"/>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7A.</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7080" w:type="dxa"/>
            <w:vAlign w:val="bottom"/>
            <w:gridSpan w:val="28"/>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4720" w:type="dxa"/>
            <w:vAlign w:val="bottom"/>
            <w:gridSpan w:val="21"/>
          </w:tcPr>
          <w:p>
            <w:pPr>
              <w:spacing w:after="0" w:line="182" w:lineRule="exact"/>
              <w:rPr>
                <w:sz w:val="20"/>
                <w:szCs w:val="20"/>
                <w:color w:val="auto"/>
              </w:rPr>
            </w:pPr>
            <w:r>
              <w:rPr>
                <w:rFonts w:ascii="Arial" w:cs="Arial" w:eastAsia="Arial" w:hAnsi="Arial"/>
                <w:sz w:val="18"/>
                <w:szCs w:val="18"/>
                <w:color w:val="0000FF"/>
              </w:rPr>
              <w:t>Financial Statements and Supplementary Data</w:t>
            </w:r>
          </w:p>
        </w:tc>
        <w:tc>
          <w:tcPr>
            <w:tcW w:w="24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9.</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580" w:type="dxa"/>
            <w:vAlign w:val="bottom"/>
            <w:gridSpan w:val="16"/>
            <w:vMerge w:val="restart"/>
          </w:tcPr>
          <w:p>
            <w:pPr>
              <w:ind w:left="240"/>
              <w:spacing w:after="0" w:line="202" w:lineRule="exact"/>
              <w:rPr>
                <w:sz w:val="20"/>
                <w:szCs w:val="20"/>
                <w:color w:val="auto"/>
              </w:rPr>
            </w:pPr>
            <w:r>
              <w:rPr>
                <w:rFonts w:ascii="Arial" w:cs="Arial" w:eastAsia="Arial" w:hAnsi="Arial"/>
                <w:sz w:val="18"/>
                <w:szCs w:val="18"/>
                <w:color w:val="0000FF"/>
              </w:rPr>
              <w:t>on Accounting and Financial Disclosure</w:t>
            </w: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3740" w:type="dxa"/>
            <w:vAlign w:val="bottom"/>
            <w:gridSpan w:val="16"/>
          </w:tcPr>
          <w:p>
            <w:pPr>
              <w:spacing w:after="0" w:line="182" w:lineRule="exact"/>
              <w:rPr>
                <w:sz w:val="20"/>
                <w:szCs w:val="20"/>
                <w:color w:val="auto"/>
              </w:rPr>
            </w:pPr>
            <w:r>
              <w:rPr>
                <w:rFonts w:ascii="Arial" w:cs="Arial" w:eastAsia="Arial" w:hAnsi="Arial"/>
                <w:sz w:val="18"/>
                <w:szCs w:val="18"/>
                <w:color w:val="0000FF"/>
                <w:w w:val="94"/>
              </w:rPr>
              <w:t>Changes in and Disagreements with Accountants</w:t>
            </w:r>
          </w:p>
        </w:tc>
        <w:tc>
          <w:tcPr>
            <w:tcW w:w="5580" w:type="dxa"/>
            <w:vAlign w:val="bottom"/>
            <w:gridSpan w:val="16"/>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7140" w:type="dxa"/>
            <w:vAlign w:val="bottom"/>
            <w:gridSpan w:val="29"/>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9B.</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FF"/>
            </w:tcBorders>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940" w:type="dxa"/>
            <w:vAlign w:val="bottom"/>
            <w:gridSpan w:val="3"/>
            <w:vMerge w:val="restart"/>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2000" w:type="dxa"/>
            <w:vAlign w:val="bottom"/>
            <w:gridSpan w:val="11"/>
          </w:tcPr>
          <w:p>
            <w:pPr>
              <w:spacing w:after="0" w:line="182" w:lineRule="exact"/>
              <w:rPr>
                <w:sz w:val="20"/>
                <w:szCs w:val="20"/>
                <w:color w:val="auto"/>
              </w:rPr>
            </w:pPr>
            <w:r>
              <w:rPr>
                <w:rFonts w:ascii="Arial" w:cs="Arial" w:eastAsia="Arial" w:hAnsi="Arial"/>
                <w:sz w:val="18"/>
                <w:szCs w:val="18"/>
                <w:color w:val="0000FF"/>
              </w:rPr>
              <w:t>Other Information</w:t>
            </w:r>
          </w:p>
        </w:tc>
        <w:tc>
          <w:tcPr>
            <w:tcW w:w="2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460" w:type="dxa"/>
            <w:vAlign w:val="bottom"/>
            <w:gridSpan w:val="4"/>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9C.</w:t>
            </w:r>
          </w:p>
        </w:tc>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9320" w:type="dxa"/>
            <w:vAlign w:val="bottom"/>
            <w:gridSpan w:val="32"/>
          </w:tcPr>
          <w:p>
            <w:pPr>
              <w:spacing w:after="0" w:line="182"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8"/>
          </w:tcPr>
          <w:p>
            <w:pPr>
              <w:jc w:val="center"/>
              <w:ind w:right="500"/>
              <w:spacing w:after="0"/>
              <w:rPr>
                <w:sz w:val="20"/>
                <w:szCs w:val="20"/>
                <w:color w:val="auto"/>
              </w:rPr>
            </w:pPr>
            <w:r>
              <w:rPr>
                <w:rFonts w:ascii="Arial" w:cs="Arial" w:eastAsia="Arial" w:hAnsi="Arial"/>
                <w:sz w:val="18"/>
                <w:szCs w:val="18"/>
                <w:b w:val="1"/>
                <w:bCs w:val="1"/>
                <w:color w:val="0000FF"/>
                <w:w w:val="95"/>
              </w:rPr>
              <w:t>PART III</w:t>
            </w:r>
          </w:p>
        </w:tc>
        <w:tc>
          <w:tcPr>
            <w:tcW w:w="386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10.</w:t>
            </w:r>
          </w:p>
        </w:tc>
        <w:tc>
          <w:tcPr>
            <w:tcW w:w="4300" w:type="dxa"/>
            <w:vAlign w:val="bottom"/>
            <w:gridSpan w:val="18"/>
          </w:tcPr>
          <w:p>
            <w:pPr>
              <w:spacing w:after="0" w:line="182" w:lineRule="exact"/>
              <w:rPr>
                <w:sz w:val="20"/>
                <w:szCs w:val="20"/>
                <w:color w:val="auto"/>
              </w:rPr>
            </w:pPr>
            <w:r>
              <w:rPr>
                <w:rFonts w:ascii="Arial" w:cs="Arial" w:eastAsia="Arial" w:hAnsi="Arial"/>
                <w:sz w:val="18"/>
                <w:szCs w:val="18"/>
                <w:color w:val="0000FF"/>
                <w:w w:val="94"/>
              </w:rPr>
              <w:t>Directors, Executive Officers and Corporate Governance</w:t>
            </w:r>
          </w:p>
        </w:tc>
        <w:tc>
          <w:tcPr>
            <w:tcW w:w="200" w:type="dxa"/>
            <w:vAlign w:val="bottom"/>
            <w:tcBorders>
              <w:top w:val="single" w:sz="8" w:color="0000FF"/>
            </w:tcBorders>
            <w:gridSpan w:val="2"/>
          </w:tcPr>
          <w:p>
            <w:pPr>
              <w:spacing w:after="0"/>
              <w:rPr>
                <w:sz w:val="15"/>
                <w:szCs w:val="15"/>
                <w:color w:val="auto"/>
              </w:rPr>
            </w:pPr>
          </w:p>
        </w:tc>
        <w:tc>
          <w:tcPr>
            <w:tcW w:w="46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94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11.</w:t>
            </w:r>
          </w:p>
        </w:tc>
        <w:tc>
          <w:tcPr>
            <w:tcW w:w="20" w:type="dxa"/>
            <w:vAlign w:val="bottom"/>
            <w:tcBorders>
              <w:bottom w:val="single" w:sz="8" w:color="0000EE"/>
            </w:tcBorders>
          </w:tcPr>
          <w:p>
            <w:pPr>
              <w:spacing w:after="0"/>
              <w:rPr>
                <w:sz w:val="15"/>
                <w:szCs w:val="15"/>
                <w:color w:val="auto"/>
              </w:rPr>
            </w:pPr>
          </w:p>
        </w:tc>
        <w:tc>
          <w:tcPr>
            <w:tcW w:w="198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5"/>
                <w:szCs w:val="15"/>
                <w:color w:val="auto"/>
              </w:rPr>
            </w:pPr>
          </w:p>
        </w:tc>
        <w:tc>
          <w:tcPr>
            <w:tcW w:w="2480" w:type="dxa"/>
            <w:vAlign w:val="bottom"/>
            <w:tcBorders>
              <w:top w:val="single" w:sz="8" w:color="0000FF"/>
            </w:tcBorders>
            <w:gridSpan w:val="8"/>
          </w:tcPr>
          <w:p>
            <w:pPr>
              <w:spacing w:after="0"/>
              <w:rPr>
                <w:sz w:val="15"/>
                <w:szCs w:val="15"/>
                <w:color w:val="auto"/>
              </w:rPr>
            </w:pPr>
          </w:p>
        </w:tc>
        <w:tc>
          <w:tcPr>
            <w:tcW w:w="480" w:type="dxa"/>
            <w:vAlign w:val="bottom"/>
            <w:gridSpan w:val="5"/>
          </w:tcPr>
          <w:p>
            <w:pPr>
              <w:spacing w:after="0"/>
              <w:rPr>
                <w:sz w:val="15"/>
                <w:szCs w:val="15"/>
                <w:color w:val="auto"/>
              </w:rPr>
            </w:pPr>
          </w:p>
        </w:tc>
        <w:tc>
          <w:tcPr>
            <w:tcW w:w="1100" w:type="dxa"/>
            <w:vAlign w:val="bottom"/>
            <w:gridSpan w:val="2"/>
          </w:tcPr>
          <w:p>
            <w:pPr>
              <w:spacing w:after="0"/>
              <w:rPr>
                <w:sz w:val="15"/>
                <w:szCs w:val="15"/>
                <w:color w:val="auto"/>
              </w:rPr>
            </w:pPr>
          </w:p>
        </w:tc>
        <w:tc>
          <w:tcPr>
            <w:tcW w:w="1940" w:type="dxa"/>
            <w:vAlign w:val="bottom"/>
            <w:gridSpan w:val="3"/>
          </w:tcPr>
          <w:p>
            <w:pPr>
              <w:spacing w:after="0"/>
              <w:rPr>
                <w:sz w:val="15"/>
                <w:szCs w:val="15"/>
                <w:color w:val="auto"/>
              </w:rPr>
            </w:pPr>
          </w:p>
        </w:tc>
        <w:tc>
          <w:tcPr>
            <w:tcW w:w="1300" w:type="dxa"/>
            <w:vAlign w:val="bottom"/>
            <w:gridSpan w:val="2"/>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12.</w:t>
            </w:r>
          </w:p>
        </w:tc>
        <w:tc>
          <w:tcPr>
            <w:tcW w:w="9320" w:type="dxa"/>
            <w:vAlign w:val="bottom"/>
            <w:gridSpan w:val="32"/>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13.</w:t>
            </w:r>
          </w:p>
        </w:tc>
        <w:tc>
          <w:tcPr>
            <w:tcW w:w="2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gridSpan w:val="8"/>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300" w:type="dxa"/>
            <w:vAlign w:val="bottom"/>
            <w:gridSpan w:val="2"/>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8020" w:type="dxa"/>
            <w:vAlign w:val="bottom"/>
            <w:gridSpan w:val="30"/>
          </w:tcPr>
          <w:p>
            <w:pPr>
              <w:spacing w:after="0" w:line="182"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3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0000EE"/>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150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720" w:type="dxa"/>
            <w:vAlign w:val="bottom"/>
            <w:gridSpan w:val="8"/>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3240" w:type="dxa"/>
            <w:vAlign w:val="bottom"/>
            <w:gridSpan w:val="5"/>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line="20" w:lineRule="exact"/>
              <w:rPr>
                <w:sz w:val="1"/>
                <w:szCs w:val="1"/>
                <w:color w:val="auto"/>
              </w:rPr>
            </w:pPr>
          </w:p>
        </w:tc>
      </w:tr>
      <w:tr>
        <w:trPr>
          <w:trHeight w:val="183"/>
        </w:trPr>
        <w:tc>
          <w:tcPr>
            <w:tcW w:w="1260" w:type="dxa"/>
            <w:vAlign w:val="bottom"/>
            <w:gridSpan w:val="2"/>
            <w:vMerge w:val="continue"/>
          </w:tcPr>
          <w:p>
            <w:pPr>
              <w:spacing w:after="0"/>
              <w:rPr>
                <w:sz w:val="15"/>
                <w:szCs w:val="15"/>
                <w:color w:val="auto"/>
              </w:rPr>
            </w:pPr>
          </w:p>
        </w:tc>
        <w:tc>
          <w:tcPr>
            <w:tcW w:w="6080" w:type="dxa"/>
            <w:vAlign w:val="bottom"/>
            <w:gridSpan w:val="27"/>
          </w:tcPr>
          <w:p>
            <w:pPr>
              <w:spacing w:after="0" w:line="182" w:lineRule="exact"/>
              <w:rPr>
                <w:sz w:val="20"/>
                <w:szCs w:val="20"/>
                <w:color w:val="auto"/>
              </w:rPr>
            </w:pPr>
            <w:r>
              <w:rPr>
                <w:rFonts w:ascii="Arial" w:cs="Arial" w:eastAsia="Arial" w:hAnsi="Arial"/>
                <w:sz w:val="18"/>
                <w:szCs w:val="18"/>
                <w:color w:val="0000FF"/>
              </w:rPr>
              <w:t>Principal Accounting Fees and Services</w:t>
            </w:r>
          </w:p>
        </w:tc>
        <w:tc>
          <w:tcPr>
            <w:tcW w:w="3240" w:type="dxa"/>
            <w:vAlign w:val="bottom"/>
            <w:gridSpan w:val="5"/>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gridSpan w:val="16"/>
          </w:tcPr>
          <w:p>
            <w:pPr>
              <w:jc w:val="center"/>
              <w:ind w:right="3840"/>
              <w:spacing w:after="0"/>
              <w:rPr>
                <w:sz w:val="20"/>
                <w:szCs w:val="20"/>
                <w:color w:val="auto"/>
              </w:rPr>
            </w:pPr>
            <w:r>
              <w:rPr>
                <w:rFonts w:ascii="Arial" w:cs="Arial" w:eastAsia="Arial" w:hAnsi="Arial"/>
                <w:sz w:val="18"/>
                <w:szCs w:val="18"/>
                <w:b w:val="1"/>
                <w:bCs w:val="1"/>
                <w:color w:val="0000FF"/>
                <w:w w:val="98"/>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15.</w:t>
            </w:r>
          </w:p>
        </w:tc>
        <w:tc>
          <w:tcPr>
            <w:tcW w:w="4260" w:type="dxa"/>
            <w:vAlign w:val="bottom"/>
            <w:gridSpan w:val="17"/>
          </w:tcPr>
          <w:p>
            <w:pPr>
              <w:spacing w:after="0" w:line="182" w:lineRule="exact"/>
              <w:rPr>
                <w:sz w:val="20"/>
                <w:szCs w:val="20"/>
                <w:color w:val="auto"/>
              </w:rPr>
            </w:pPr>
            <w:r>
              <w:rPr>
                <w:rFonts w:ascii="Arial" w:cs="Arial" w:eastAsia="Arial" w:hAnsi="Arial"/>
                <w:sz w:val="18"/>
                <w:szCs w:val="18"/>
                <w:color w:val="0000FF"/>
              </w:rPr>
              <w:t>Exhibits, Financial Statement Schedules</w:t>
            </w:r>
          </w:p>
        </w:tc>
        <w:tc>
          <w:tcPr>
            <w:tcW w:w="720" w:type="dxa"/>
            <w:vAlign w:val="bottom"/>
            <w:tcBorders>
              <w:top w:val="single" w:sz="8" w:color="0000FF"/>
            </w:tcBorders>
            <w:gridSpan w:val="8"/>
          </w:tcPr>
          <w:p>
            <w:pPr>
              <w:spacing w:after="0"/>
              <w:rPr>
                <w:sz w:val="15"/>
                <w:szCs w:val="15"/>
                <w:color w:val="auto"/>
              </w:rPr>
            </w:pPr>
          </w:p>
        </w:tc>
        <w:tc>
          <w:tcPr>
            <w:tcW w:w="4340" w:type="dxa"/>
            <w:vAlign w:val="bottom"/>
            <w:gridSpan w:val="7"/>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auto"/>
              </w:rPr>
              <w:t>Item 16.</w:t>
            </w:r>
          </w:p>
        </w:tc>
        <w:tc>
          <w:tcPr>
            <w:tcW w:w="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8"/>
              </w:rPr>
              <w:t>Form 10-K Summary</w:t>
            </w:r>
          </w:p>
        </w:tc>
        <w:tc>
          <w:tcPr>
            <w:tcW w:w="1540" w:type="dxa"/>
            <w:vAlign w:val="bottom"/>
            <w:tcBorders>
              <w:top w:val="single" w:sz="8" w:color="0000FF"/>
            </w:tcBorders>
            <w:gridSpan w:val="6"/>
          </w:tcPr>
          <w:p>
            <w:pPr>
              <w:spacing w:after="0"/>
              <w:rPr>
                <w:sz w:val="15"/>
                <w:szCs w:val="15"/>
                <w:color w:val="auto"/>
              </w:rPr>
            </w:pPr>
          </w:p>
        </w:tc>
        <w:tc>
          <w:tcPr>
            <w:tcW w:w="6100" w:type="dxa"/>
            <w:vAlign w:val="bottom"/>
            <w:gridSpan w:val="17"/>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1260" w:type="dxa"/>
            <w:vAlign w:val="bottom"/>
            <w:gridSpan w:val="2"/>
          </w:tcPr>
          <w:p>
            <w:pPr>
              <w:spacing w:after="0" w:line="182" w:lineRule="exact"/>
              <w:rPr>
                <w:sz w:val="20"/>
                <w:szCs w:val="20"/>
                <w:color w:val="auto"/>
              </w:rPr>
            </w:pPr>
            <w:r>
              <w:rPr>
                <w:rFonts w:ascii="Arial" w:cs="Arial" w:eastAsia="Arial" w:hAnsi="Arial"/>
                <w:sz w:val="18"/>
                <w:szCs w:val="18"/>
                <w:color w:val="0000FF"/>
              </w:rPr>
              <w:t>Signatures</w:t>
            </w:r>
          </w:p>
        </w:tc>
        <w:tc>
          <w:tcPr>
            <w:tcW w:w="4500" w:type="dxa"/>
            <w:vAlign w:val="bottom"/>
            <w:gridSpan w:val="20"/>
            <w:vMerge w:val="restart"/>
          </w:tcPr>
          <w:p>
            <w:pPr>
              <w:jc w:val="center"/>
              <w:ind w:left="4150"/>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659"/>
        </w:trPr>
        <w:tc>
          <w:tcPr>
            <w:tcW w:w="8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20"/>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7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The information on our website does not constitute part of this report.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Overview</w:t>
      </w:r>
    </w:p>
    <w:p>
      <w:pPr>
        <w:spacing w:after="0" w:line="7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 We changed our segment reporting structure at the beginning of fiscal year 2025, and accordingly, our results of operations for fiscal years 2024 and 2023 have been recast to reflect this new reporting structure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77"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May 30, 2023, we completed the acquisition of Connect Topco Limited, a private company limited by shares and incorporated in Guernsey (Inmarsat Holdings and, together with its subsidiaries, Inmarsat), in exchange for approximately $550.7 million in cash and 46.36 million shares of our common stock (the Inmarsat Acquisition). The assets and results of operations of Inmarsat are included in our communication services segment for the period following the closing of the Inmarsat Acquisition on May 30,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Link-16 TDL Business</w:t>
      </w:r>
    </w:p>
    <w:p>
      <w:pPr>
        <w:spacing w:after="0" w:line="7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January 3, 2023, we completed the sale of certain assets and assigned liabilities comprising our Link-16 Tactical Data Links business (the Link-16 TDL Business) to L3Harris Technologies, Inc. (L3Harris) in exchange for approximately $1.96 billion in cash, subject to certain adjustments (the Link-16 TDL Sale). Unless otherwise noted, discussion throughout this Annual Report on Form 10-K relates to continuing operations only and excludes the Link-16 TDL Business. See Note 5 — Discontinued Operations to our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Communication Services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spacing w:after="0" w:line="4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complementary fleet of 23 in service or operational satellites spans the Ka-, L- and S- bands, with 13 Ka-band satellites, eight high-availability L-band satellites (three of which are contingency L-band satellites that are operational but not currently in commercial service), an S-band satellite that supports the European Aviation Network (EAN) to provide in-flight connectivity (IFC) services to commercial airlines in Europe, and an Inmarsat-6 class hybrid Ka-/L-band satellite (the I-6 F1 satellite). In late July 2024, the ViaSat-3 F1 satellite completed in-orbit testing and was integrated into our existing satellite fleet covering the Americas. In May 2025, subsequent to fiscal year end, two Ka-band highly-elliptical earth orbit satellite payloads (GX10A and GX10B) were put in service to provide polar coverage for government customers, with commercial maritime and aviation services anticipated to follow during fiscal year 2026. Furthermore, we have eight additional geostationary earth orbit (GEO) satellites under development: two additional high-capacity Ka-band GEO satellites (ViaSat-3 F2 and ViaSat-3 F3), three additional adaptive Ka-band GEO satellites (GX 7, GX 8 and GX 9) and three Inmarsat-8 L-band GEO safety service satellites. Our extensive satellite fleet enables us to provide a wide array of high-quality broadband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narrowband services with near global coverage (including strong oceanic coverage) with greater redundancy and resiliency.</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communication services segment:</w:t>
      </w:r>
    </w:p>
    <w:p>
      <w:pPr>
        <w:spacing w:after="0" w:line="7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Aviation, which includes industry-leading IFC services, narrowband safety operational data services and other complementary services and applications for commercial aircraft, business jets and unmanned aircraft. As of March 31, 2025, we had our IFC systems installed and in service on approximately 4,120 commercial aircraft (of which approximately 90 were inactive at quarter end, mostly due to standard aircraft maintenance) and 2,000 business jets with Ka-band communication services. We anticipate that approximately 1,600 additional commercial aircraft will be put into service with our IFC systems under existing customer agreements with commercial airlines. However, due to the nature of commercial airline contracts and other factors such as OEM delays, there can be no assurance that anticipated IFC services will be activated on all such additional commercial aircraft.</w:t>
      </w:r>
    </w:p>
    <w:p>
      <w:pPr>
        <w:spacing w:after="0" w:line="48"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(ISR) services and L-band Advanced Communications Element (LACE) terminals.</w:t>
      </w:r>
    </w:p>
    <w:p>
      <w:pPr>
        <w:spacing w:after="0" w:line="23" w:lineRule="exact"/>
        <w:rPr>
          <w:rFonts w:ascii="Times New Roman" w:cs="Times New Roman" w:eastAsia="Times New Roman" w:hAnsi="Times New Roman"/>
          <w:sz w:val="17"/>
          <w:szCs w:val="17"/>
          <w:color w:val="auto"/>
        </w:rPr>
      </w:pPr>
    </w:p>
    <w:p>
      <w:pPr>
        <w:ind w:left="1020" w:right="10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March 31, 2025, we provided Ka-band communication services to approximately 14,000 vessels.</w:t>
      </w:r>
    </w:p>
    <w:p>
      <w:pPr>
        <w:spacing w:after="0" w:line="41" w:lineRule="exact"/>
        <w:rPr>
          <w:rFonts w:ascii="Times New Roman" w:cs="Times New Roman" w:eastAsia="Times New Roman" w:hAnsi="Times New Roman"/>
          <w:sz w:val="18"/>
          <w:szCs w:val="18"/>
          <w:color w:val="auto"/>
        </w:rPr>
      </w:pPr>
    </w:p>
    <w:p>
      <w:pPr>
        <w:ind w:left="1020" w:right="1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(IoT) and other narrowband services (such as L-band managed services that enable real-time machine-to-machine (M2M) position or high-value asset tracking), energy services, and prepaid internet services that provide innovative, affordable, satellite-based connectivity in communities that have little or no access to the internet. As of March 31, 2025, our U.S. fixed broadband business had approximately 189,000 subscribers with an average monthly revenue per user of $115.</w:t>
      </w:r>
    </w:p>
    <w:p>
      <w:pPr>
        <w:spacing w:after="0" w:line="13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believe that growth in our communication services business will be driven in the coming years by the continued surging of demand for global mobility services (such as our aviation and maritime services), reflecting expected continued increases in the number of aircraft and maritime vessels in service, passenger volumes, internet users, applications and connected devices and platforms worldwide, as well as expansion in government satcom services. Commercial global mobility services represent a very large and fast-growing addressable market, and are at the core of our growth strategy in our communication services business. We expect that, as the number of aircraft, maritime vessels and passengers around the globe continue to grow, global mobility bandwidth demands will be able to be effectively and reliably met by our fleet of owned, leased and partner satellites.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Defense and Advanced Technologies</w:t>
      </w:r>
    </w:p>
    <w:p>
      <w:pPr>
        <w:spacing w:after="0" w:line="75"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defense and advanced technologies segment:</w:t>
      </w:r>
    </w:p>
    <w:p>
      <w:pPr>
        <w:spacing w:after="0" w:line="77" w:lineRule="exact"/>
        <w:rPr>
          <w:sz w:val="20"/>
          <w:szCs w:val="20"/>
          <w:color w:val="auto"/>
        </w:rPr>
      </w:pPr>
    </w:p>
    <w:p>
      <w:pPr>
        <w:ind w:left="1020" w:right="4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MOJO expeditionary tactical gateway family of products.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 w:name="page6"/>
    <w:bookmarkEnd w:id="5"/>
    <w:p>
      <w:pPr>
        <w:ind w:left="1020" w:right="60" w:hanging="503"/>
        <w:spacing w:after="0" w:line="23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spacing w:after="0" w:line="51"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Tactical networking, which provides resilient communications designed for on-the-move or on-the-pause operations in a multi-domain battlespace with friendly force tracking and narrowband solutions. Tactical networking includes the products and services offered by TrellisWare.</w:t>
      </w:r>
    </w:p>
    <w:p>
      <w:pPr>
        <w:spacing w:after="0" w:line="35" w:lineRule="exact"/>
        <w:rPr>
          <w:rFonts w:ascii="Times New Roman" w:cs="Times New Roman" w:eastAsia="Times New Roman" w:hAnsi="Times New Roman"/>
          <w:sz w:val="18"/>
          <w:szCs w:val="18"/>
          <w:color w:val="auto"/>
        </w:rPr>
      </w:pPr>
    </w:p>
    <w:p>
      <w:pPr>
        <w:jc w:val="both"/>
        <w:ind w:left="1020" w:right="2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spacing w:after="0" w:line="117"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believe that growth in our defense and advanced technologies business will be driven in the coming years by increasing reliance on space-based assets for military operations, continued increases in demand for resilient communications in multi-domain operations, growing demand for digitization of military infrastructure and increased integration of commercial and defense technologies.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following strengths position our business to capitalize on attractive growth opportunities in our business:</w:t>
      </w:r>
    </w:p>
    <w:p>
      <w:pPr>
        <w:spacing w:after="0" w:line="77" w:lineRule="exact"/>
        <w:rPr>
          <w:sz w:val="20"/>
          <w:szCs w:val="20"/>
          <w:color w:val="auto"/>
        </w:rPr>
      </w:pPr>
    </w:p>
    <w:p>
      <w:pPr>
        <w:ind w:left="1020" w:hanging="503"/>
        <w:spacing w:after="0" w:line="23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Deep Satellite Fleet Spanning Multiple Frequency Bands. </w:t>
      </w:r>
      <w:r>
        <w:rPr>
          <w:rFonts w:ascii="Arial" w:cs="Arial" w:eastAsia="Arial" w:hAnsi="Arial"/>
          <w:sz w:val="18"/>
          <w:szCs w:val="18"/>
          <w:color w:val="auto"/>
        </w:rPr>
        <w:t>Our multi-band satellite platform with 23 in service or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satellites enables us to provide customers with the services they need to cost-efficiently and reliably meet their connectivity needs, including at peak times in the most congested areas. Customers in our target markets demand high-quality, reliable connectivity services that can meet mission-critical needs at the busiest places and times, backed by robust and measurable service level agreements. Our deep and capital-efficient satellite fleet, with multiple GEO satellites providing near-global broadband and narrowband coverage (including strong oceanic coverage and polar reach), is ideally suited to meet these customer needs – and will be further enhanced by our eight additional GEO satellites under development. Demand for bandwidth is highly geographically concentrated, with 90% of total bandwidth demand estimated to be concentrated in just 15% of the Earth’s surface. Our GEO satellites, with their wide “field of view” and ability to flexibly and dynamically allocate capacity to meet constantly fluctuating bandwidth demands within each satellite’s footprint, enable our satellite platform to reliably and efficiently meet the peak capacity needs of our customers at the busiest times in areas of high congestion, such as airports, ports, major population centers and key transit routes. In addition, the high capacity of our satellites enables us to provide Terabits of capacity at attractive prices. In contrast, a satellite fleet comprised exclusively of LEO satellites typically suffers from a surplus of capacity in low-demand areas, and unreliable or insufficient capacity at times and places of high demand, given each satellite’s very narrow field of view.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and non-geostationary orbit operators, we are well-positioned to support delivery of Viasat’s next-generation services, improve resource utilization, and drive capital efficiency. In parallel, we are working to ensure equitable access to finite space resources and support regulatory certainty in order to enable multi-orbit solutions and related infrastructure to thrive in a shared and sustainable way.</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66" w:right="439" w:bottom="1440" w:gutter="0" w:footer="0" w:header="0"/>
        </w:sectPr>
      </w:pPr>
    </w:p>
    <w:bookmarkStart w:id="6" w:name="page7"/>
    <w:bookmarkEnd w:id="6"/>
    <w:p>
      <w:pPr>
        <w:ind w:left="503" w:hanging="503"/>
        <w:spacing w:after="0" w:line="238" w:lineRule="auto"/>
        <w:tabs>
          <w:tab w:leader="none" w:pos="503"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Broad Array of Complex, Complementary Service Offerings, Tailored to Customer Needs</w:t>
      </w:r>
      <w:r>
        <w:rPr>
          <w:rFonts w:ascii="Arial" w:cs="Arial" w:eastAsia="Arial" w:hAnsi="Arial"/>
          <w:sz w:val="18"/>
          <w:szCs w:val="18"/>
          <w:color w:val="auto"/>
        </w:rPr>
        <w:t>. We offer a broad array of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satellite-based broadband and narrowband services, combined with complementary software and encryption services with multiple applications. For example, in addition to IFC terminals and our award-winning IFC services, we offer aviation customers complementary service offerings such as wireless in-flight entertainment (W-IFE) and other digital services, encryption and monetization solutions and integrated cockpit and safety software services. Similarly, in addition to high-quality broadband connectivity services and terminals, we offer our maritime customers comprehensive software-defined managed services (such as critical safety communications capabilities, security, IoT integration and crew welfare solutions). Our ability to offer bundled complex and complementary services, products and solutions to our customers, tailored to individual customer needs and market opportunities and backed by contractual service level agreements, helps us to differentiate our offerings from our competitors and drive deeper customer engagement and “stickiness.”</w:t>
      </w:r>
    </w:p>
    <w:p>
      <w:pPr>
        <w:spacing w:after="0" w:line="52" w:lineRule="exact"/>
        <w:rPr>
          <w:rFonts w:ascii="Times New Roman" w:cs="Times New Roman" w:eastAsia="Times New Roman" w:hAnsi="Times New Roman"/>
          <w:sz w:val="18"/>
          <w:szCs w:val="18"/>
          <w:color w:val="auto"/>
        </w:rPr>
      </w:pPr>
    </w:p>
    <w:p>
      <w:pPr>
        <w:ind w:left="503" w:hanging="503"/>
        <w:spacing w:after="0" w:line="238" w:lineRule="auto"/>
        <w:tabs>
          <w:tab w:leader="none" w:pos="503"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and space technologies. Our first-generation, high-capacity Ka-band satellite, ViaSat-1, earned a Guinness World Records® title in 2013 as the highest-capacity communications satellite in the world at that time. Our second-generation ViaSat-2 satellite almost doubled the bandwidth capacity of ViaSat-1 and added expanded geographic reach, and in 2018 was selected as a winner in the ‘Space, Platforms’ category of Aviation Week’s 61st Annual Laureate Awards, honoring extraordinary achievements in the global aerospace arena. Our third-generation ViaSat-3 class satellites utilize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47" w:lineRule="exact"/>
        <w:rPr>
          <w:rFonts w:ascii="Times New Roman" w:cs="Times New Roman" w:eastAsia="Times New Roman" w:hAnsi="Times New Roman"/>
          <w:sz w:val="18"/>
          <w:szCs w:val="18"/>
          <w:color w:val="auto"/>
        </w:rPr>
      </w:pPr>
    </w:p>
    <w:p>
      <w:pPr>
        <w:ind w:left="503" w:right="60" w:hanging="503"/>
        <w:spacing w:after="0" w:line="239" w:lineRule="auto"/>
        <w:tabs>
          <w:tab w:leader="none" w:pos="503"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Vertically Integrated End-to-End Platform of Leading Technologies</w:t>
      </w:r>
      <w:r>
        <w:rPr>
          <w:rFonts w:ascii="Arial" w:cs="Arial" w:eastAsia="Arial" w:hAnsi="Arial"/>
          <w:sz w:val="18"/>
          <w:szCs w:val="18"/>
          <w:color w:val="auto"/>
        </w:rPr>
        <w:t>. We believe our innovative ecosystem of satellites, ground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user terminals creates significant synergies in our business and positions us to drive operational efficiencies and cost-effectively deliver a diverse portfolio of high-quality broadband and narrowband solutions and applications to enterprise, consumer, military and government users. Our product, system and service offerings are often linked through common underlying technologies, customer applications and market relationships. We believe that our comprehensive and predominately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51" w:lineRule="exact"/>
        <w:rPr>
          <w:rFonts w:ascii="Times New Roman" w:cs="Times New Roman" w:eastAsia="Times New Roman" w:hAnsi="Times New Roman"/>
          <w:sz w:val="18"/>
          <w:szCs w:val="18"/>
          <w:color w:val="auto"/>
        </w:rPr>
      </w:pPr>
    </w:p>
    <w:p>
      <w:pPr>
        <w:ind w:left="503" w:hanging="503"/>
        <w:spacing w:after="0" w:line="238" w:lineRule="auto"/>
        <w:tabs>
          <w:tab w:leader="none" w:pos="503"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across many different verticals. Our core business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IFC systems and services for commercial, private and military aircraft around the globe, high-quality broadband and narrowband systems and services for maritime vessels and land mobile users, fixed broadband user terminals and services to consumers and enterprises, and a wide portfolio of broadband, narrowband and cybersecurity information assurance products and services for government and military users. This diversification in product and service offerings, customer base, geography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communication services segment resulting from the global disruption in the airline industry caused by the COVID-19 pandemic were offset by strong demand in our fixed broadband services business and other parts of our business.</w:t>
      </w:r>
    </w:p>
    <w:p>
      <w:pPr>
        <w:spacing w:after="0" w:line="188"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66" w:right="379" w:bottom="1440" w:gutter="0" w:footer="0" w:header="0"/>
        </w:sectPr>
      </w:pPr>
    </w:p>
    <w:bookmarkStart w:id="7" w:name="page8"/>
    <w:bookmarkEnd w:id="7"/>
    <w:p>
      <w:pPr>
        <w:ind w:left="1020" w:hanging="503"/>
        <w:spacing w:after="0" w:line="236"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Diverse Portfolio of Market-Leading Defense and Government Offerings. </w:t>
      </w:r>
      <w:r>
        <w:rPr>
          <w:rFonts w:ascii="Arial" w:cs="Arial" w:eastAsia="Arial" w:hAnsi="Arial"/>
          <w:sz w:val="18"/>
          <w:szCs w:val="18"/>
          <w:color w:val="auto"/>
        </w:rPr>
        <w:t>We are a leading provider of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cybersecurity and information assurance products and solutions to the U.S. Government and other military and government users around the world. These products and services enable the transmission of secure real-time digital information and communications between fixed and mobile command centers, intelligence, defense and homeland security platforms and individuals. Our portfolio of government and military offerings leverages our technological investments in our commercial business, and includes expeditionary tactical gateways, small satellite development, fixed and mobile satellite broadband systems and services, cybersecurity and information assurance products and services. Total new awards in our defense and advanced technologies segment (excluding awards relating to our Link-16 TDL Business sold to L3Harris in January 2023) grew from approximately $0.6 billion in fiscal year 2018 to $1.6 billion in fiscal year 2025, despite an uneven defense spending environment, reflecting the high demand for our diverse portfolio of products and services for military and government users. Our expeditionary tactical gateways bridge the gap between air and ground forces by providing secure, reliable access to air and ground data transmitted over disparate networks for improved situational awareness capabilities and support communications. Our small satellite development work is market leading and is designed to enable a new tactical space layer for our government customers, enabling increasingly advanced precision operations and maneuvering. Our mobile satellite broadband offerings leverage our innovative satellite technologies and proprietary Ka-band satellite platforms, allowing us to provide high-speed, high-quality internet services to government and military personnel, aircraft, ships and land vehicles. Our secure networking products and services include a broad portfolio of advanced, high-speed, high-assurance encryption solutions that are capable of operating at speeds of up to 200 Gbps, as well as advanced cybersecurity products to detect and mitigate malicious network effects. In February 2021, we received enhanced cybersecurity accreditation from the DHS through their Enhanced Cybersecurity Services (ECS) program. As an accredited ECS provider, we receive DHS-provided sensitive and classified cybersecurity threat indicators and information to defend U.S.-based public and private computer networks, including state and local governments, against unauthorized access, denial, degradation, exploitation and data exfiltration.</w:t>
      </w:r>
    </w:p>
    <w:p>
      <w:pPr>
        <w:spacing w:after="0" w:line="57" w:lineRule="exact"/>
        <w:rPr>
          <w:rFonts w:ascii="Times New Roman" w:cs="Times New Roman" w:eastAsia="Times New Roman" w:hAnsi="Times New Roman"/>
          <w:sz w:val="18"/>
          <w:szCs w:val="18"/>
          <w:color w:val="auto"/>
        </w:rPr>
      </w:pPr>
    </w:p>
    <w:p>
      <w:pPr>
        <w:ind w:left="1020" w:right="120" w:hanging="503"/>
        <w:spacing w:after="0" w:line="24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Blue-Chip Customer Base</w:t>
      </w:r>
      <w:r>
        <w:rPr>
          <w:rFonts w:ascii="Arial" w:cs="Arial" w:eastAsia="Arial" w:hAnsi="Arial"/>
          <w:sz w:val="18"/>
          <w:szCs w:val="18"/>
          <w:color w:val="auto"/>
        </w:rPr>
        <w:t>. Our blue-chip customer base includes customers such as the U.S. Government, leading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defense prime contractors, foreign governments, commercial airlines, civil agencies, satellite network integrators, large communications service providers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w:t>
      </w:r>
    </w:p>
    <w:p>
      <w:pPr>
        <w:spacing w:after="0" w:line="42" w:lineRule="exact"/>
        <w:rPr>
          <w:rFonts w:ascii="Times New Roman" w:cs="Times New Roman" w:eastAsia="Times New Roman" w:hAnsi="Times New Roman"/>
          <w:sz w:val="18"/>
          <w:szCs w:val="18"/>
          <w:color w:val="auto"/>
        </w:rPr>
      </w:pPr>
    </w:p>
    <w:p>
      <w:pPr>
        <w:ind w:left="1020" w:right="2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Experienced Management Team and Diversified Board of Directors. </w:t>
      </w:r>
      <w:r>
        <w:rPr>
          <w:rFonts w:ascii="Arial" w:cs="Arial" w:eastAsia="Arial" w:hAnsi="Arial"/>
          <w:sz w:val="18"/>
          <w:szCs w:val="18"/>
          <w:color w:val="auto"/>
        </w:rPr>
        <w:t>Our core management team is comprised of seasoned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significant leadership experience in satellite communications, defense, aerospace, global mobility and integration. For example, our Chairman of the Board and Chief Executive Officer, Mark Dankberg, has been with Viasat since its inception in 1986. Mr. Dankberg is considered to be a leading expert in the field of satellite, wireless and defense communications. In addition, in recent years we undertook a conscious effort to diversify our Board of Directors, bringing in a wide variety of skills and experience aligned with our long-term goals. Our Board of Directors is comprised of a diverse range of high-profile corporate leaders with extensive experience in globalization, communications, space operations, and technology and business integration.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business strategy is to be a leader in the market segments we choose to serve by relentlessly innovating technology and business models; and to maintain our leadership position in utilization and yield with cost-efficient, high-quality satellite-based communications products and services, focused on making connectivity accessible, available and secure for current and future customers worldwide in attractive growth markets. Our strategic purpose is to responsibly and efficiently serve our customers by matching their increasing demand for bandwidth in the right place, at the right time – even in the highest demand locations – with our high capacity dynamic global satellite networks alongside hybrid multi-orbit, multi-band network service capabilities. By taking advantage of our fleet of owned, leased and partner satellites, and the dynamic beam-forming of our newest ones, we can derive and deliver substantially more value from already on-orbit resources. The principal elements of our strategy include: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8" w:name="page9"/>
    <w:bookmarkEnd w:id="8"/>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Drive Capital Efficiencies</w:t>
      </w:r>
    </w:p>
    <w:p>
      <w:pPr>
        <w:spacing w:after="0" w:line="87" w:lineRule="exact"/>
        <w:rPr>
          <w:rFonts w:ascii="Times New Roman" w:cs="Times New Roman" w:eastAsia="Times New Roman" w:hAnsi="Times New Roman"/>
          <w:sz w:val="18"/>
          <w:szCs w:val="18"/>
          <w:color w:val="auto"/>
        </w:rPr>
      </w:pPr>
    </w:p>
    <w:p>
      <w:pPr>
        <w:ind w:left="1023" w:right="200" w:hanging="50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Deliver the Most Productive Satellite Systems: </w:t>
      </w:r>
      <w:r>
        <w:rPr>
          <w:rFonts w:ascii="Arial" w:cs="Arial" w:eastAsia="Arial" w:hAnsi="Arial"/>
          <w:sz w:val="18"/>
          <w:szCs w:val="18"/>
          <w:color w:val="auto"/>
        </w:rPr>
        <w:t>We are hyper-focused on maximizing the useful bandwidth per total</w:t>
      </w:r>
      <w:r>
        <w:rPr>
          <w:rFonts w:ascii="Arial" w:cs="Arial" w:eastAsia="Arial" w:hAnsi="Arial"/>
          <w:sz w:val="18"/>
          <w:szCs w:val="18"/>
          <w:i w:val="1"/>
          <w:iCs w:val="1"/>
          <w:color w:val="auto"/>
        </w:rPr>
        <w:t xml:space="preserve"> </w:t>
      </w:r>
      <w:r>
        <w:rPr>
          <w:rFonts w:ascii="Arial" w:cs="Arial" w:eastAsia="Arial" w:hAnsi="Arial"/>
          <w:sz w:val="18"/>
          <w:szCs w:val="18"/>
          <w:color w:val="auto"/>
        </w:rPr>
        <w:t>lifetime capital cost of each satellite. We refer to this as “bandwidth productivity” and see this metric as a key factor in determining our return on satellite investment for each satellite we design, develop and build. However, it is our focus to drive productivity and returns at the fleet level that we believe will give us the greatest competitive advantage in serving our customers globally across a diversity of attractive markets.</w:t>
      </w:r>
    </w:p>
    <w:p>
      <w:pPr>
        <w:spacing w:after="0" w:line="41" w:lineRule="exact"/>
        <w:rPr>
          <w:rFonts w:ascii="Times New Roman" w:cs="Times New Roman" w:eastAsia="Times New Roman" w:hAnsi="Times New Roman"/>
          <w:sz w:val="18"/>
          <w:szCs w:val="18"/>
          <w:color w:val="auto"/>
        </w:rPr>
      </w:pPr>
    </w:p>
    <w:p>
      <w:pPr>
        <w:ind w:left="1023" w:right="60" w:hanging="50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i w:val="1"/>
          <w:iCs w:val="1"/>
          <w:color w:val="auto"/>
        </w:rPr>
        <w:t xml:space="preserve">Drive Efficiencies of Scale and Operations: </w:t>
      </w:r>
      <w:r>
        <w:rPr>
          <w:rFonts w:ascii="Arial" w:cs="Arial" w:eastAsia="Arial" w:hAnsi="Arial"/>
          <w:sz w:val="17"/>
          <w:szCs w:val="17"/>
          <w:color w:val="auto"/>
        </w:rPr>
        <w:t>We intend to continue to drive efficiencies in our businesses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 integration and other strategies and increasing scale as we move into new and adjacent geographic, product and service markets. We optimize our satellite systems through our development of an end-to-end platform of next-generation satellites, ground networking equipment and user terminals that enable the provision of a broad array of high-quality broadband and narrowband services. Our deep fleet of GEO satellites provide scale and operational efficiencies through their enhanced ability to efficiently and dynamically match supply and demand through the flexible allocation of capacity by service, time and geography within the satellite footprint, as well as through their near global geographic reach.</w:t>
      </w:r>
    </w:p>
    <w:p>
      <w:pPr>
        <w:spacing w:after="0" w:line="19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Focus on Relentless Execution</w:t>
      </w:r>
    </w:p>
    <w:p>
      <w:pPr>
        <w:spacing w:after="0" w:line="87" w:lineRule="exact"/>
        <w:rPr>
          <w:rFonts w:ascii="Times New Roman" w:cs="Times New Roman" w:eastAsia="Times New Roman" w:hAnsi="Times New Roman"/>
          <w:sz w:val="18"/>
          <w:szCs w:val="18"/>
          <w:color w:val="auto"/>
        </w:rPr>
      </w:pPr>
    </w:p>
    <w:p>
      <w:pPr>
        <w:ind w:left="1023" w:right="160"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strategic research and development (R&amp;D) to bring</w:t>
      </w:r>
      <w:r>
        <w:rPr>
          <w:rFonts w:ascii="Arial" w:cs="Arial" w:eastAsia="Arial" w:hAnsi="Arial"/>
          <w:sz w:val="18"/>
          <w:szCs w:val="18"/>
          <w:i w:val="1"/>
          <w:iCs w:val="1"/>
          <w:color w:val="auto"/>
        </w:rPr>
        <w:t xml:space="preserve"> </w:t>
      </w:r>
      <w:r>
        <w:rPr>
          <w:rFonts w:ascii="Arial" w:cs="Arial" w:eastAsia="Arial" w:hAnsi="Arial"/>
          <w:sz w:val="18"/>
          <w:szCs w:val="18"/>
          <w:color w:val="auto"/>
        </w:rPr>
        <w:t>more efficient, effective and customer-centric high-quality broadband and narrowband 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as well as new and emerging technologies such as direct-to-device and space-to-space communications. Our R&amp;D efforts are supported by a global employee base that includes approximately 3,400 engineers and a culture that deeply values and supports innovation.</w:t>
      </w:r>
    </w:p>
    <w:p>
      <w:pPr>
        <w:spacing w:after="0" w:line="49" w:lineRule="exact"/>
        <w:rPr>
          <w:rFonts w:ascii="Times New Roman" w:cs="Times New Roman" w:eastAsia="Times New Roman" w:hAnsi="Times New Roman"/>
          <w:sz w:val="18"/>
          <w:szCs w:val="18"/>
          <w:color w:val="auto"/>
        </w:rPr>
      </w:pPr>
    </w:p>
    <w:p>
      <w:pPr>
        <w:ind w:left="1023"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Follow Our Path of Proven Performance: </w:t>
      </w:r>
      <w:r>
        <w:rPr>
          <w:rFonts w:ascii="Arial" w:cs="Arial" w:eastAsia="Arial" w:hAnsi="Arial"/>
          <w:sz w:val="18"/>
          <w:szCs w:val="18"/>
          <w:color w:val="auto"/>
        </w:rPr>
        <w:t>We have an enviable track record for identifying and bringing to market impactful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technologies in space systems. For example, ViaSat-1 was the highest capacity communications satellite at the time of its launch; ViaSat-2 almost doubled the capacity of ViaSat-1; and the ViaSat-3 F2 and ViaSat-3 F3 satellites are individually anticipated to have significantly greater data capacity and geographic coverage than our ViaSat-2 satellite and to enable us to deliver affordable connectivity across a large geographic footprint spanning nearly one-third of the globe with a design that has an enhanced ability to flexibly and dynamically allocate capacity to markets where bandwidth usage demands and returns are highest.</w:t>
      </w:r>
    </w:p>
    <w:p>
      <w:pPr>
        <w:spacing w:after="0" w:line="49" w:lineRule="exact"/>
        <w:rPr>
          <w:rFonts w:ascii="Times New Roman" w:cs="Times New Roman" w:eastAsia="Times New Roman" w:hAnsi="Times New Roman"/>
          <w:sz w:val="18"/>
          <w:szCs w:val="18"/>
          <w:color w:val="auto"/>
        </w:rPr>
      </w:pPr>
    </w:p>
    <w:p>
      <w:pPr>
        <w:ind w:left="1023" w:hanging="50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Customer-Centricity Evolution: </w:t>
      </w:r>
      <w:r>
        <w:rPr>
          <w:rFonts w:ascii="Arial" w:cs="Arial" w:eastAsia="Arial" w:hAnsi="Arial"/>
          <w:sz w:val="18"/>
          <w:szCs w:val="18"/>
          <w:color w:val="auto"/>
        </w:rPr>
        <w:t>We are focused on continuing to increase our customer interactions and have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new technologies, tools and learnings from artificial intelligence and machine learning to enhanced customer intimacy techniques and customer advisory councils. Our satellite systems have been designed to serve the specific requirements of our customers in the mobility and government sectors. We strive to continue to improve our ongoing customer engagements through proactive response, deeper customer insights and enhanced customer exchanges. This is an ongoing effort that will continue to be an investment and nurture opportunity for us.</w:t>
      </w:r>
    </w:p>
    <w:p>
      <w:pPr>
        <w:spacing w:after="0" w:line="17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30" w:right="339" w:bottom="1440" w:gutter="0" w:footer="0" w:header="0"/>
        </w:sectPr>
      </w:pPr>
    </w:p>
    <w:bookmarkStart w:id="9" w:name="page10"/>
    <w:bookmarkEnd w:id="9"/>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Continue to Expand into New Markets and Geographies</w:t>
      </w:r>
    </w:p>
    <w:p>
      <w:pPr>
        <w:spacing w:after="0" w:line="87" w:lineRule="exact"/>
        <w:rPr>
          <w:rFonts w:ascii="Times New Roman" w:cs="Times New Roman" w:eastAsia="Times New Roman" w:hAnsi="Times New Roman"/>
          <w:sz w:val="18"/>
          <w:szCs w:val="18"/>
          <w:color w:val="auto"/>
        </w:rPr>
      </w:pPr>
    </w:p>
    <w:p>
      <w:pPr>
        <w:ind w:left="1023" w:right="100" w:hanging="509"/>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Enter and Disrupt New and Adjacent Markets through Technology Innovation: </w:t>
      </w:r>
      <w:r>
        <w:rPr>
          <w:rFonts w:ascii="Arial" w:cs="Arial" w:eastAsia="Arial" w:hAnsi="Arial"/>
          <w:sz w:val="18"/>
          <w:szCs w:val="18"/>
          <w:color w:val="auto"/>
        </w:rPr>
        <w:t>We continue to create or address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adjacent markets using our technological advancements to disrupt existing business models and drive shifts in target markets and user demand. For example, the technological innovations and power of our proprietary Ka-band satellite network enabled us to disrupt the IFC business model and successfully expand our broadband service offerings into the commercial air market. As the capacity of our satellite systems continues to increase as we bring new ViaSat-3 and GX satellites currently under development into commercial service, we expect the addressable markets for our technologies, products and services to continue to expand. Higher capacity, more flexible satellites, and layers of GEO/HEO satellites covering each region, will allow us to offer a broader array of cost-effective, reliable, high-quality broadband services that can be tailored to different geographic regions and bandwidth usage demands.</w:t>
      </w:r>
    </w:p>
    <w:p>
      <w:pPr>
        <w:spacing w:after="0" w:line="48" w:lineRule="exact"/>
        <w:rPr>
          <w:rFonts w:ascii="Times New Roman" w:cs="Times New Roman" w:eastAsia="Times New Roman" w:hAnsi="Times New Roman"/>
          <w:sz w:val="18"/>
          <w:szCs w:val="18"/>
          <w:color w:val="auto"/>
        </w:rPr>
      </w:pPr>
    </w:p>
    <w:p>
      <w:pPr>
        <w:ind w:left="1023"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Think Beyond Current Customer Requirements to Open New Markets: </w:t>
      </w:r>
      <w:r>
        <w:rPr>
          <w:rFonts w:ascii="Arial" w:cs="Arial" w:eastAsia="Arial" w:hAnsi="Arial"/>
          <w:sz w:val="18"/>
          <w:szCs w:val="18"/>
          <w:color w:val="auto"/>
        </w:rPr>
        <w:t>We actively seek to identify market or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Our business model delivers advanced capabilities significantly faster, at lower lifecycle costs and with lower risk to the customer when compared to traditional defense acquisition programs and timelines.</w:t>
      </w:r>
    </w:p>
    <w:p>
      <w:pPr>
        <w:spacing w:after="0" w:line="49" w:lineRule="exact"/>
        <w:rPr>
          <w:rFonts w:ascii="Times New Roman" w:cs="Times New Roman" w:eastAsia="Times New Roman" w:hAnsi="Times New Roman"/>
          <w:sz w:val="18"/>
          <w:szCs w:val="18"/>
          <w:color w:val="auto"/>
        </w:rPr>
      </w:pPr>
    </w:p>
    <w:p>
      <w:pPr>
        <w:ind w:left="1023" w:right="6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i w:val="1"/>
          <w:iCs w:val="1"/>
          <w:color w:val="auto"/>
        </w:rPr>
        <w:t xml:space="preserve">Target International Expansion. </w:t>
      </w:r>
      <w:r>
        <w:rPr>
          <w:rFonts w:ascii="Arial" w:cs="Arial" w:eastAsia="Arial" w:hAnsi="Arial"/>
          <w:sz w:val="17"/>
          <w:szCs w:val="17"/>
          <w:color w:val="auto"/>
        </w:rPr>
        <w:t>We have placed tremendous effort in recent years on growing our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sales/distribution, customer/partner base and regulatory framework globally, including through the Inmarsat Acquisition, with the addition of Inmarsat's satellite fleet enabling us to provide high-quality broadband and narrowband services with near global coverage (including strong oceanic coverage and polar reach). We continue to believe that international markets provide attractive opportunities for the long-term growth of our business. As worldwide demand for broadband connectivity continues to grow, we expect that our comprehensive offering of next-generation broadband and narrowband satellites, advanced end-to-end communication systems and ground networking equipment and products, and their ability to enable a wide range of cost-effective, high-quality broadband and narrowband services, will be increasingly attractive internationally. Demand profile differs by geographic market, reflecting geographic, economic, political, regulatory and other factors. However, the flexibility, high bandwidth capacity and broad geographic coverage area of our multi-band satellite fleet allow us to tailor our service offerings for the opportunities and needs of different geographic markets.</w:t>
      </w:r>
    </w:p>
    <w:p>
      <w:pPr>
        <w:spacing w:after="0" w:line="205"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Prioritize the End-User</w:t>
      </w:r>
    </w:p>
    <w:p>
      <w:pPr>
        <w:spacing w:after="0" w:line="87" w:lineRule="exact"/>
        <w:rPr>
          <w:rFonts w:ascii="Times New Roman" w:cs="Times New Roman" w:eastAsia="Times New Roman" w:hAnsi="Times New Roman"/>
          <w:sz w:val="18"/>
          <w:szCs w:val="18"/>
          <w:color w:val="auto"/>
        </w:rPr>
      </w:pPr>
    </w:p>
    <w:p>
      <w:pPr>
        <w:ind w:left="1023" w:right="40" w:hanging="50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i w:val="1"/>
          <w:iCs w:val="1"/>
          <w:color w:val="auto"/>
        </w:rPr>
        <w:t xml:space="preserve">Recognize Connectivity is a Means to an End, not an End in Itself. </w:t>
      </w:r>
      <w:r>
        <w:rPr>
          <w:rFonts w:ascii="Arial" w:cs="Arial" w:eastAsia="Arial" w:hAnsi="Arial"/>
          <w:sz w:val="17"/>
          <w:szCs w:val="17"/>
          <w:color w:val="auto"/>
        </w:rPr>
        <w:t>The value of a network is in the applications it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this understanding, we have worked closely with leading edge and content providers (including companies such as Apple, Facebook, and DirecTV, among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satisfying — and affordable — experiences on our network. Our expanded multi-band satellite fleet enables us to provide services with near global coverage (including strong oceanic coverage and polar reach) with greater redundancy and resiliency. In addition, we work with various international governments to help bring digital and social inclusion to their constituents through efficient satellite-enabled services such as our community internet services, which offer community hotspots, home broadband and mobile broadband in unserved and underserved areas using satellite-powered centralized terminals.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w:t>
      </w:r>
    </w:p>
    <w:p>
      <w:pPr>
        <w:spacing w:after="0" w:line="3" w:lineRule="exact"/>
        <w:rPr>
          <w:rFonts w:ascii="Times New Roman" w:cs="Times New Roman" w:eastAsia="Times New Roman" w:hAnsi="Times New Roman"/>
          <w:sz w:val="18"/>
          <w:szCs w:val="18"/>
          <w:color w:val="auto"/>
        </w:rPr>
      </w:pPr>
    </w:p>
    <w:p>
      <w:pPr>
        <w:ind w:left="1023"/>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 at lower bandwidth costs.</w:t>
      </w:r>
    </w:p>
    <w:p>
      <w:pPr>
        <w:spacing w:after="0" w:line="194"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30" w:right="339" w:bottom="1440" w:gutter="0" w:footer="0" w:header="0"/>
        </w:sectPr>
      </w:pPr>
    </w:p>
    <w:bookmarkStart w:id="10" w:name="page11"/>
    <w:bookmarkEnd w:id="10"/>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Manage for the Long Term</w:t>
      </w:r>
    </w:p>
    <w:p>
      <w:pPr>
        <w:spacing w:after="0" w:line="87" w:lineRule="exact"/>
        <w:rPr>
          <w:rFonts w:ascii="Times New Roman" w:cs="Times New Roman" w:eastAsia="Times New Roman" w:hAnsi="Times New Roman"/>
          <w:sz w:val="18"/>
          <w:szCs w:val="18"/>
          <w:color w:val="auto"/>
        </w:rPr>
      </w:pPr>
    </w:p>
    <w:p>
      <w:pPr>
        <w:ind w:left="1540" w:right="40"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Pursue Growth Through Strategic Alliances, Partnering Arrangements and Relationships</w:t>
      </w:r>
      <w:r>
        <w:rPr>
          <w:rFonts w:ascii="Arial" w:cs="Arial" w:eastAsia="Arial" w:hAnsi="Arial"/>
          <w:sz w:val="18"/>
          <w:szCs w:val="18"/>
          <w:color w:val="auto"/>
        </w:rPr>
        <w:t>. We actively seek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and joint ventures with companies whose financial, marketing, operational or technological resources may accelerate the introduction of new technologies, service offerings and/or the penetration of new markets. For example, we have entered into strategic agreements with local partners in Brazil and Mexico to bring high-speed, affordable internet to unserved and underserved communities, which allows us to gain market insights and build brand awareness in those countries. We also regularly enter into teaming arrangements with other government contractors to more effectively capture complex government programs. We may continue to evaluate acquisitions of, or investments in, complementary companies, businesses, products or technologies to supplement our internal growth.</w:t>
      </w:r>
    </w:p>
    <w:p>
      <w:pPr>
        <w:spacing w:after="0" w:line="45" w:lineRule="exact"/>
        <w:rPr>
          <w:rFonts w:ascii="Times New Roman" w:cs="Times New Roman" w:eastAsia="Times New Roman" w:hAnsi="Times New Roman"/>
          <w:sz w:val="18"/>
          <w:szCs w:val="18"/>
          <w:color w:val="auto"/>
        </w:rPr>
      </w:pPr>
    </w:p>
    <w:p>
      <w:pPr>
        <w:ind w:left="1540" w:right="180" w:hanging="50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Encourage Safe Sustainable Access to Space. </w:t>
      </w:r>
      <w:r>
        <w:rPr>
          <w:rFonts w:ascii="Arial" w:cs="Arial" w:eastAsia="Arial" w:hAnsi="Arial"/>
          <w:sz w:val="18"/>
          <w:szCs w:val="18"/>
          <w:color w:val="auto"/>
        </w:rPr>
        <w:t>We strive to be a leader in bringing benefits of space technology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in a sustainable, responsible and inclusive way. We are focused on cooperating with a broad range of responsible nations and global partners to ensure safe, responsible and equitable access to space for all.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customer base is highly diversified. Customers of our communication services segment reflect the diversity in our service offerings and include commercial airlines, business jet owners and operators, maritime commercial shipping fleets, offshore service vessel operators, commercial fishing companies, residential customers, small and medium-sized businesses, enterprises and government and military users. The customers of our defense and advanced technologies segment include the DoD, the DHS, select other U.S. federal, state and local government agencies, foreign governments, allied armed forces, public safety first-responders, remote government employees, commercial and defense contractors, satellite network integrators, large communications service providers and enterprises requiring complex communications and networking solutions, as well as various defense contractors, North Atlantic Treaty Organization (NATO), the European Space Agency, and privately held companies, international organizations and non -government entities that support government businesses worldwide. We enter into government contracts either directly with U.S. or foreign governments, or indirectly through domestic or international partners or resellers, and act as both a prime contractor and subcontractor for the sale of equipment and services to government and defense users.</w:t>
      </w:r>
    </w:p>
    <w:p>
      <w:pPr>
        <w:spacing w:after="0" w:line="13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Revenues from the U.S. Government as an individual customer comprised approximately 18%, 17% and 17% of total revenues for fiscal years 2025, 2024 and 2023, respectively. None of our other customers comprised 10% or more of total revenues in fiscal years 2025, 2024 or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6"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We provide products and services under federal government contracts that usually require performance over a period of several months to multiple years. Long-term contracts may be impacted based on when the government appropriated funds are available and to what level, which may result in a delay, reduction or termination of these contracts.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11" w:name="page12"/>
    <w:bookmarkEnd w:id="11"/>
    <w:p>
      <w:pPr>
        <w:ind w:firstLine="509"/>
        <w:spacing w:after="0"/>
        <w:rPr>
          <w:sz w:val="20"/>
          <w:szCs w:val="20"/>
          <w:color w:val="auto"/>
        </w:rPr>
      </w:pPr>
      <w:r>
        <w:rPr>
          <w:rFonts w:ascii="Arial" w:cs="Arial" w:eastAsia="Arial" w:hAnsi="Arial"/>
          <w:sz w:val="18"/>
          <w:szCs w:val="18"/>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2025, substantially all of our government revenues were generated from fixed-price contracts with the federal government or our prime contractors.</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 Management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Agency (DCMA) and the Defense Contract Audit Agency (DCAA), as discussed below under “Regulatory Environment — Other Regulations.”</w:t>
      </w:r>
    </w:p>
    <w:p>
      <w:pPr>
        <w:spacing w:after="0" w:line="14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7"/>
          <w:szCs w:val="17"/>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112"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115"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77"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p>
    <w:p>
      <w:pPr>
        <w:spacing w:after="0" w:line="12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conduct the majority of our R&amp;D activities in-house and have R&amp;D and engineering staff, which includes approximately 3,400 engineers worldwide. Our product development activities focus on products that we consider viable revenue opportunities to support both of our segments. We incurred $142.4 million, $150.7 million and $128.9 million during fiscal years 2025, 2024 and 2023, respectively, on independent research and development (IR&amp;D) expenses, which comprise R&amp;D not directly funded by a third party. Funded R&amp;D contains a profit component and is therefore not directly comparable to IR&amp;D. As a U.S. Government contractor, we may also recover a portion of our IR&amp;D expenses, consisting primarily of salaries and other personnel-related expenses, supplies and prototype materials related to R&amp;D programs.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Intellectual Property</w:t>
      </w:r>
    </w:p>
    <w:p>
      <w:pPr>
        <w:spacing w:after="0" w:line="7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in any particular jurisdiction. Although we believe the protection afforded by our patents, copyrights, trademarks, trade secrets and contractual provisions has value, the rapidly changing technology environment in the industries we work in (including the internet,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3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Certain of our products and services include software or other intellectual property licensed from third parties. While it may be necessary in the future to seek or renew licenses relating to various aspects of our products and services,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2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77"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partners, as described below:</w:t>
      </w:r>
    </w:p>
    <w:p>
      <w:pPr>
        <w:spacing w:after="0" w:line="19" w:lineRule="exact"/>
        <w:rPr>
          <w:sz w:val="20"/>
          <w:szCs w:val="20"/>
          <w:color w:val="auto"/>
        </w:rPr>
      </w:pPr>
    </w:p>
    <w:p>
      <w:pPr>
        <w:ind w:left="520" w:right="20" w:hanging="512"/>
        <w:spacing w:after="0" w:line="253" w:lineRule="auto"/>
        <w:tabs>
          <w:tab w:leader="none" w:pos="5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Communication Services Sales Organization. </w:t>
      </w:r>
      <w:r>
        <w:rPr>
          <w:rFonts w:ascii="Arial" w:cs="Arial" w:eastAsia="Arial" w:hAnsi="Arial"/>
          <w:sz w:val="17"/>
          <w:szCs w:val="17"/>
          <w:color w:val="auto"/>
        </w:rPr>
        <w:t>Our communication services sales organization involves both direct and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channels and varies based on subscriber and service type. Our commercial aviation offerings are sold direct to airlines, and our business aviation offerings are sold through direct sales and business development personnel as well as through aviation-focused value-added resellers. Our maritime service offerings are sold through direct and indirect value-added reseller partners targeting a variety of maritime commercial prospects. In each case, our focus is to identify business opportunities and develop solutions for the unique needs of each customer segment. Our residential fixed broadband services are primarily sold directly to customers through our Viasat Internet website, sales call centers and active retail dealers, and we utilize extensive dealer networks across the United States, as well as in each country where residential fixed broadband services are offered, to sell such services. Our business internet offerings are sold through a mix of direct sales personnel who work with enterprises and a network of enterprise-focused master agents and wholesale distribution partners. Finally, our community internet services are sold through local distribution partnerships. In addition to our sales force, we maintain a highly-trained service staff to provide technical product and service support to our customers.</w:t>
      </w:r>
    </w:p>
    <w:p>
      <w:pPr>
        <w:spacing w:after="0" w:line="41" w:lineRule="exact"/>
        <w:rPr>
          <w:rFonts w:ascii="Times New Roman" w:cs="Times New Roman" w:eastAsia="Times New Roman" w:hAnsi="Times New Roman"/>
          <w:sz w:val="17"/>
          <w:szCs w:val="17"/>
          <w:color w:val="auto"/>
        </w:rPr>
      </w:pPr>
    </w:p>
    <w:p>
      <w:pPr>
        <w:ind w:left="520" w:hanging="512"/>
        <w:spacing w:after="0" w:line="239" w:lineRule="auto"/>
        <w:tabs>
          <w:tab w:leader="none" w:pos="5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Defense and Advanced Technologies Sales Organization. </w:t>
      </w:r>
      <w:r>
        <w:rPr>
          <w:rFonts w:ascii="Arial" w:cs="Arial" w:eastAsia="Arial" w:hAnsi="Arial"/>
          <w:sz w:val="18"/>
          <w:szCs w:val="18"/>
          <w:color w:val="auto"/>
        </w:rPr>
        <w:t>Our defense and advanced technologies sales organization consists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 sales personnel 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as well as sales managers and sales engineers, who act as the primary interface to establish account relationships and determine technical requirements for customer networks. The period of time from initial contact through the point of product sale is varied based on the products and services provided, and can take three years for more complex developments. Products in production can usually be delivered to a customer between 90 to 180 days from the point of product sale.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3" w:name="page14"/>
    <w:bookmarkEnd w:id="13"/>
    <w:p>
      <w:pPr>
        <w:ind w:left="520" w:right="40" w:hanging="512"/>
        <w:spacing w:after="0" w:line="242" w:lineRule="auto"/>
        <w:tabs>
          <w:tab w:leader="none" w:pos="5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2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marketing team works closely with our corporate and segment leadership, customer account executives, and business development, sales and operations organizations to increase the awareness and value of the Viasat brand through a mix of positive program performance, agile, results-oriented multichannel marketing campaigns that reflect new and evolving customer journeys, public relations, paid and owned media, live and virtual events,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helps identify and size new and adjacent target markets for our products and services, evaluate our customer experience, create awareness of our company and our portfolio of offerings, and generate contacts and leads within these targeted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compete, we emphasize:</w:t>
      </w:r>
    </w:p>
    <w:p>
      <w:pPr>
        <w:spacing w:after="0" w:line="7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high-quality, resilience, reliability, security and broad geographic availability of our service offerings;</w:t>
      </w:r>
    </w:p>
    <w:p>
      <w:pPr>
        <w:spacing w:after="0" w:line="89"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deep understanding of our customers’ unique expectations and requirements and the factors and metrics that drive customer value in our target markets;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extensive insights as to how, where, and when customer demand will intersect with our capacity supply;</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demonstrated performance in uniquely challenging environments;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safety certified L-band network enabling robust safety services for aviation, government and maritime customers;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spectrum and market access;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advanced security and information assurance capabilities;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innovative and flexible features integrated into our products and services;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management experience;</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end-to-end network implementation capabilities;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distinct advantages of satellite data networks;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technical advantages and advanced features of our antenna systems as compared to our competitors’ offerings;</w:t>
      </w:r>
    </w:p>
    <w:p>
      <w:pPr>
        <w:spacing w:after="0" w:line="89"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holistic suite of offerings, including our ability to offer bundled complex and complementary services, products and solutions; and</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0"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4" w:name="page15"/>
    <w:bookmarkEnd w:id="14"/>
    <w:p>
      <w:pPr>
        <w:ind w:right="280" w:firstLine="509"/>
        <w:spacing w:after="0"/>
        <w:rPr>
          <w:sz w:val="20"/>
          <w:szCs w:val="20"/>
          <w:color w:val="auto"/>
        </w:rPr>
      </w:pPr>
      <w:r>
        <w:rPr>
          <w:rFonts w:ascii="Arial" w:cs="Arial" w:eastAsia="Arial" w:hAnsi="Arial"/>
          <w:sz w:val="18"/>
          <w:szCs w:val="18"/>
          <w:color w:val="auto"/>
        </w:rPr>
        <w:t>In our communication service segment, our aviation service offerings compete against air-to-ground mobile services and other satellite-based services, such as the services offered by Anuvu, Gogo, Intelsat, Iridium, Kuiper, Panasonic Avionics Corporation, SES, SpaceX and Thales Group, among others. Our maritime service offerings compete against KVH, SES, SpaceX and Speedcast, among others. In our fixed broadband business, we compete with broadband service offerings from wireline and wireless telecommunications companies, including cable companies, fiber and DSL companies, satellite companies and fixed wireless companies. New entrants, some with significant financial resources and new emerging offerings (including terrestrial and space-based networks, such as LEO and MEO constellations) also compete with our satellite service offerings.</w:t>
      </w:r>
    </w:p>
    <w:p>
      <w:pPr>
        <w:spacing w:after="0" w:line="131"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In our defense and advanced technology segment, we compete with numerous other providers of satellite and terrestrial communications systems, products and equipment, including: CPI Antenna Systems Division, Comtech, EchoStar (Hughes Network Systems), General Dynamics, Gilat, iDirect Technologies, L3Harris, Maxar, Newtec, Panasonic Avionics Corporation, Safran Aerosystems, SpaceX and Thales Group. In addition, some of our customers continuously evaluate whether to develop and manufacture their own products and could elect to compete with us at any time.</w:t>
      </w:r>
    </w:p>
    <w:p>
      <w:pPr>
        <w:spacing w:after="0" w:line="122"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The government businesses in both of our segments compete with government communications service providers and manufacturers of defense electronics products, systems or subsystems, such as BAE Systems, Collins Aerospace, EchoStar (Hughes Network Systems), Eutelsat, General Dynamics, Intelsat, Iridium, L3Harris, OneWeb, SES, SpaceX, Telesat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p>
    <w:p>
      <w:pPr>
        <w:spacing w:after="0" w:line="11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Many of our competitors have significant competitive advantages, including strong customer relationships, greater financial and management resources and access to technologies not available to us. Many of our competitors are also substantially larger than we are, may have greater brand recognition, substantial capital resources or more extensive engineering, manufacturing and marketing capabilities than we do, may have access to spectrum or technologies not available to us, or may be able to offer bundled service offerings that we are not able to replicate. As a result, these competitors may be able to adapt more quickly to changing technology or market conditions or may be able to devote greater resources to the development, promotion and sale of their products.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2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Contract manufacturers produce products for many different customers and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5" w:name="page16"/>
    <w:bookmarkEnd w:id="15"/>
    <w:p>
      <w:pPr>
        <w:ind w:firstLine="509"/>
        <w:spacing w:after="0" w:line="237"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7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(RF)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networks and systems in certain circumstances, and more generally are intended to avoid the occurrence of harmful interference among different users of RF spectrum.</w:t>
      </w:r>
    </w:p>
    <w:p>
      <w:pPr>
        <w:spacing w:after="0" w:line="12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procurement laws and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w:t>
      </w:r>
    </w:p>
    <w:p>
      <w:pPr>
        <w:spacing w:after="0" w:line="7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Radio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2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ITU Radio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16" w:name="page17"/>
    <w:bookmarkEnd w:id="16"/>
    <w:p>
      <w:pPr>
        <w:ind w:firstLine="509"/>
        <w:spacing w:after="0" w:line="242"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12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the ITU Radio Regulations are subject to change at periodic ITU World Radiocommunication Conferences (WRCs), and their application is determined by various governing bodies within the ITU. WRCs typically are convened approximately every four years, with the next one scheduled to occur at the end of calendar year 2027. The next WRC is expected to consider various changes to the ITU Radio Regulations that address the terms and conditions under which spectrum is used for satellite and terrestrial purposes, and future WRCs are likely to do the same.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space stations and ground networks we use to provide our broadband, VoIP, and other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13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provide high-speed broadband internet access, VoIP, and other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75" w:lineRule="exact"/>
        <w:rPr>
          <w:sz w:val="20"/>
          <w:szCs w:val="20"/>
          <w:color w:val="auto"/>
        </w:rPr>
      </w:pPr>
    </w:p>
    <w:p>
      <w:pPr>
        <w:jc w:val="both"/>
        <w:ind w:right="320" w:firstLine="509"/>
        <w:spacing w:after="0" w:line="247" w:lineRule="auto"/>
        <w:rPr>
          <w:sz w:val="20"/>
          <w:szCs w:val="20"/>
          <w:color w:val="auto"/>
        </w:rPr>
      </w:pPr>
      <w:r>
        <w:rPr>
          <w:rFonts w:ascii="Arial" w:cs="Arial" w:eastAsia="Arial" w:hAnsi="Arial"/>
          <w:sz w:val="18"/>
          <w:szCs w:val="18"/>
          <w:color w:val="auto"/>
        </w:rPr>
        <w:t>The commercial use of RF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7" w:name="page18"/>
    <w:bookmarkEnd w:id="17"/>
    <w:p>
      <w:pPr>
        <w:ind w:firstLine="509"/>
        <w:spacing w:after="0" w:line="242"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non-U.S.-licensed spacecraft to be used to serve the United States. The FCC has authorized the use of our satellites that provide coverage to the United States. The use of these spacecraft in our business is subject to various conditions in the underlying authorizations, as well as the technical and operational requirements of the FCC’s rules and regulations.</w:t>
      </w:r>
    </w:p>
    <w:p>
      <w:pPr>
        <w:spacing w:after="0" w:line="120" w:lineRule="exact"/>
        <w:rPr>
          <w:sz w:val="20"/>
          <w:szCs w:val="20"/>
          <w:color w:val="auto"/>
        </w:rPr>
      </w:pPr>
    </w:p>
    <w:p>
      <w:pPr>
        <w:ind w:right="220" w:firstLine="509"/>
        <w:spacing w:after="0" w:line="237" w:lineRule="auto"/>
        <w:rPr>
          <w:sz w:val="20"/>
          <w:szCs w:val="20"/>
          <w:color w:val="auto"/>
        </w:rPr>
      </w:pPr>
      <w:r>
        <w:rPr>
          <w:rFonts w:ascii="Arial" w:cs="Arial" w:eastAsia="Arial" w:hAnsi="Arial"/>
          <w:sz w:val="18"/>
          <w:szCs w:val="18"/>
          <w:i w:val="1"/>
          <w:iCs w:val="1"/>
          <w:color w:val="auto"/>
        </w:rPr>
        <w:t xml:space="preserve">Universal Service and Other Broadband Subsidies. </w:t>
      </w:r>
      <w:r>
        <w:rPr>
          <w:rFonts w:ascii="Arial" w:cs="Arial" w:eastAsia="Arial" w:hAnsi="Arial"/>
          <w:sz w:val="18"/>
          <w:szCs w:val="18"/>
          <w:color w:val="auto"/>
        </w:rPr>
        <w:t>Certain of our services may constitute the provision of telecommunications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from, or within the United States, and we are required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36.6%.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include the Connect America Fund (CAF) and the Rural Digital Opportunity Fund (RDOF). In addition, under the new Broadband Equity, Access, and Deployment (BEAD) program, funding for broadband service is expected to be distributed by U.S. states and territories under the oversight and administration of the National Telecommunications and Information Administration (NTIA). Among other things, certain mechanisms provide, or will likely provide, support to terrestrial service providers under terms and conditions that are not available to satellite-based service providers. Support mechanisms could provide other service providers a competitive advantage in providing broadband services in supported areas, which could have a material adverse effect on our business, financial condition, and results of operations. Additionally, Viasat has been awarded $122.5 million in support under the CAF program to serve certain portions of the country, and must comply with federal and state obligations imposed in connection with such support. In July 2024, the Fifth Circuit concluded that the FCC’s universal service fund program as currently constituted violates the non-delegation doctrine under Article I of the U.S. Constitution, which decision is currently under review by the U.S. Supreme Court.</w:t>
      </w:r>
    </w:p>
    <w:p>
      <w:pPr>
        <w:spacing w:after="0" w:line="132"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telecommunications providers and broadband internet access providers to ensure that law enforcement agencies are able to conduct lawfully authorized surveillance of users of their services.</w:t>
      </w:r>
    </w:p>
    <w:p>
      <w:pPr>
        <w:spacing w:after="0" w:line="115" w:lineRule="exact"/>
        <w:rPr>
          <w:sz w:val="20"/>
          <w:szCs w:val="20"/>
          <w:color w:val="auto"/>
        </w:rPr>
      </w:pPr>
    </w:p>
    <w:p>
      <w:pPr>
        <w:ind w:right="180" w:firstLine="509"/>
        <w:spacing w:after="0"/>
        <w:rPr>
          <w:sz w:val="20"/>
          <w:szCs w:val="20"/>
          <w:color w:val="auto"/>
        </w:rPr>
      </w:pPr>
      <w:r>
        <w:rPr>
          <w:rFonts w:ascii="Arial" w:cs="Arial" w:eastAsia="Arial" w:hAnsi="Arial"/>
          <w:sz w:val="18"/>
          <w:szCs w:val="18"/>
          <w:i w:val="1"/>
          <w:iCs w:val="1"/>
          <w:color w:val="auto"/>
        </w:rPr>
        <w:t xml:space="preserve">Net Neutrality. </w:t>
      </w:r>
      <w:r>
        <w:rPr>
          <w:rFonts w:ascii="Arial" w:cs="Arial" w:eastAsia="Arial" w:hAnsi="Arial"/>
          <w:sz w:val="18"/>
          <w:szCs w:val="18"/>
          <w:color w:val="auto"/>
        </w:rPr>
        <w:t>In February 2015, the FCC adopted new rules intended to preserve the openness of the internet, a concept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“net neutrality” or “open internet.” The FCC’s net neutrality rules, among other things, prohibited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were obligated to make certain disclosures to consumers with respect to their network management policies.</w:t>
      </w:r>
    </w:p>
    <w:p>
      <w:pPr>
        <w:spacing w:after="0" w:line="12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Such common-carrier regulation potentially could have included review of the reasonableness of an ISP’s rates and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ind w:right="20" w:firstLine="509"/>
        <w:spacing w:after="0" w:line="244"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largely upheld by the D.C. Circuit.</w:t>
      </w:r>
    </w:p>
    <w:p>
      <w:pPr>
        <w:spacing w:after="0" w:line="122"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In April 2024, the FCC adopted an order largely reverting to the 2015 approach by reclassifying mass-market broadband internet access service as a telecommunications service under Title II of the Communications Act and re-establishing the prior net neutrality rules. The order also adopted certain additional requirements that were not part of the 2015 framework, such as entry regulation under Title II. The 2024 order was vacated by the Sixth Circuit, and it remains to be seen whether that decision will be reviewed by the U.S. Supreme Court.</w:t>
      </w:r>
    </w:p>
    <w:p>
      <w:pPr>
        <w:spacing w:after="0" w:line="120"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addition, legislative proposals that would impose net neutrality requirements have been considered in Congress, and some states have adopted versions of the net neutrality requirements. A lawsuit challenging California's net neutrality statute was dismissed without prejudice in May 2022, and the California statute is now in effect. Other legislative actions at the state level have been challenged in courts on federal preemption and other grounds. We cannot predict the outcome of these federal and state regulatory and legislative efforts, or any resulting impact on ISPs.</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Privacy and Data Security</w:t>
      </w:r>
      <w:r>
        <w:rPr>
          <w:rFonts w:ascii="Arial" w:cs="Arial" w:eastAsia="Arial" w:hAnsi="Arial"/>
          <w:sz w:val="18"/>
          <w:szCs w:val="18"/>
          <w:color w:val="auto"/>
        </w:rPr>
        <w:t>. We are subject to federal and state laws concerning the privacy of consumers and the security we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personal information. Certain of these laws provide privacy protections for certain types of personal information related to our voice services (referred to by such laws as customer proprietary network information).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(CCPA) and the California Privacy Rights Act that amended the CCPA in January 2023, which combined give California residents, among other things, the right to receive certain disclosures regarding the collection, use, and disclosure of personal information, as well as rights to access, delete, and restrict the sale and sharing of certain personal information collected about them by us and our service providers. State laws similar to those in California continue to multiply and evolve, and as various states pass their own comprehensive privacy laws, we and our business customers and partners could be exposed to additional regulatory complexities and obligations. All states also have enacted security breach notification laws requiring notice to consumers and government agencies upon disclosure of certain information to an unauthorized party resulting from a security breach. In addition, the SEC recently issued enhanced requirements related to the reporting of material cybersecurity incidents, and the FCC likewise has issued data breach notification rules for providers of telecommunications services.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ind w:firstLine="509"/>
        <w:spacing w:after="0" w:line="238"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and various Inmarsat satellites operate under the authority of the United Kingdom. ViaSat-3 F1 operates under the authority of the United Kingdom and the FCC.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also subject to certain other forms of foreign regulation in connection with our provision of communications services. In the area of data protection, encompassing both privacy and cybersecurity, we are subject to existing, new, and evolving laws and regulations in the markets in which we operate. For instance, certain of our business units are subject to the European Union’s (EU) General Data Protection Regulation, which imposes transparency, accountability, data security, cross-border data transfer, and other obligations on Viasat both as a data controller and a data processor of the personal data of individuals in the EU. Data protection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180" w:firstLine="509"/>
        <w:spacing w:after="0"/>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13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other agency regulations regarding the handling and export of certain of our products. This often requires extra or special handling of these products and could increase our costs. Failure to comply with these regulations could result in substantial harm to us, including fines, penalties and the forfeiture of future rights to sell or export these products.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7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installation certification of our IFC and W-IFE equipment and (2) obtaining a Supplemental Type Certificate (STC) to enable the retrofit installation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We also work with OEMs and airlines internationally who are not subject to the FAA's jurisdiction. In those situations, we adhere to the regulations and oversight of comparable foreign agencies in the applicable jurisdictions. Our commercial aviation business depends on our ability to interact with the FAA, comparable foreign agencies and ODAs, as well as certified engineering professionals, in order to access data and obtain authorizations and approvals.</w:t>
      </w:r>
    </w:p>
    <w:p>
      <w:pPr>
        <w:spacing w:after="0" w:line="12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all of our current IFC and W-IFE product offerings due to multiple agreements with both major OEMs for linefit installations and ODAs for retrofit installations.</w:t>
      </w:r>
    </w:p>
    <w:p>
      <w:pPr>
        <w:spacing w:after="0" w:line="12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subject to a variety of U.S. and international regulations relating to the storage, discharge, handling, emission, generation, manufacture and disposal of toxic or other hazardous substances used to manufacture our products. In addition, we could be affected by future U.S. or international laws or regulations imposed in response to concerns over climate change, and we monitor developments in environmental and climate-related laws and regulations and their potential impact to our business and financial condition. The failure to comply with current or future laws or regulations could result in the imposition of substantial fines on us, suspension of production, alteration of our manufacturing processes or cessation of operations. To date, the current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our communication services segment, we typically see increased demand for our IFC services from airline passengers during peak holiday and summer travel periods, and historically subscriber activity for our fixed broadband services has been influenced by seasonal effects related to traditional retail selling periods (with new sales activity generally anticipated to be higher in the second half of the calendar year). However, IFC service uptake, sales activity and churn can be strongly affected by other factors which may either offset or magnify any anticipated seasonal effects, including the grounding of aircraft, flight disruptions, availability of capacity, promotional and subscriber retention efforts, changes in our resellers, distributors and wholesalers, changes in the competitive landscape, economic conditions, and other factors affecting customer demand.</w:t>
      </w:r>
    </w:p>
    <w:p>
      <w:pPr>
        <w:spacing w:after="0" w:line="131"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Results of our government business lines in both of our segments are impacted by various factors including the timing of contract awards (with the second quarter of our fiscal year, for example, typically receiving a greater number of government contract awards) and the timing and availability of U.S. Government funding, as well as the timing of product deliveries and customer acceptance.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7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2"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We webcast our earnings calls and post the materials used in meetings with members of the investment community on the Investor Relations section of our website. Additionally, we provide notifications of news or announcements regarding our financial performance, including SEC filings, investor events, press and earnings releases and other supplemental information about our business on the Investor Relations section of our website. We also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our press releases, SEC filings and public conference calls and webcasts. Information relating to our corporate governance, including our certificate of incorporation, bylaws, corporate governance guidelines, board committee charters and guide to business conduct, is also included on the Investor Relations section of our website. The information contained on, or that may be accessed through, our website is neither incorporated by reference into nor made a part of this report.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Human Capital</w:t>
      </w:r>
    </w:p>
    <w:p>
      <w:pPr>
        <w:spacing w:after="0" w:line="77"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As of March 31, 2025, we employed approximately 7,000 individuals worldwide, with 65% of our workforce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i w:val="1"/>
          <w:iCs w:val="1"/>
          <w:color w:val="auto"/>
        </w:rPr>
        <w:t xml:space="preserve">Human Capital Resources. </w:t>
      </w:r>
      <w:r>
        <w:rPr>
          <w:rFonts w:ascii="Arial" w:cs="Arial" w:eastAsia="Arial" w:hAnsi="Arial"/>
          <w:sz w:val="18"/>
          <w:szCs w:val="18"/>
          <w:color w:val="auto"/>
        </w:rPr>
        <w:t>Viasat has a long history of putting people first. We believe that one of the most important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is in our people. Our mission to connect the world depends on our ability to come together as one team to make a positive impact. As a global team, we take pride in our culture of teamwork, trust and collaboration. We prioritize our employees’ health and well-being to ensure we are all able to do our best work. For example, we have a dedicated global environmental, health, and safety (EHS) team which reinforces the importance of our safety programs and encourages a culture of safe work practices in all of our locations. All employees are trained with our EHS Essentials course, with additional courses such as "Working with hazardous material" provided annually for relevant employees.</w:t>
      </w:r>
    </w:p>
    <w:p>
      <w:pPr>
        <w:spacing w:after="0" w:line="125"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We provide a comprehensive benefits package to all of our employees, which includes for eligible employees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w:t>
      </w:r>
    </w:p>
    <w:p>
      <w:pPr>
        <w:spacing w:after="0" w:line="120"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Our key pillars of human capital management are ensuring the health and safety of our employees, developing talented people, and fostering inclusive and engaging communities. We believe that our long-term success is in large part dependent on our success across these dimensions, and we will continue to invest in and prioritize these areas in the future.</w:t>
      </w:r>
    </w:p>
    <w:p>
      <w:pPr>
        <w:spacing w:after="0" w:line="115"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 xml:space="preserve">Culture and Values. </w:t>
      </w:r>
      <w:r>
        <w:rPr>
          <w:rFonts w:ascii="Arial" w:cs="Arial" w:eastAsia="Arial" w:hAnsi="Arial"/>
          <w:sz w:val="18"/>
          <w:szCs w:val="18"/>
          <w:color w:val="auto"/>
        </w:rPr>
        <w:t>The broad range of perspectives of our employees is one of our most treasured assets. We view inclusion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belonging as a competitive advantage that drives innovation and success, and are dedicated to creating a welcoming workplace where everyone has the opportunity to thrive. These principles are embedded in everything we do, from how we approach talent to our overall business strategy. We understand that an authentic commitment to these principles starts with recruitment and talent development practices. In fiscal year 2022, we began applying hiring attribute lenses to recruitment practices to enable a more effective assessment of candidates to the talent needs of Viasat. To date, we have ten active employee resource groups designed to build meaningful connections among employees around shared experiences, cultures and interests.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Age</w:t>
            </w:r>
          </w:p>
        </w:tc>
        <w:tc>
          <w:tcPr>
            <w:tcW w:w="6760" w:type="dxa"/>
            <w:vAlign w:val="bottom"/>
            <w:gridSpan w:val="3"/>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191"/>
        </w:trPr>
        <w:tc>
          <w:tcPr>
            <w:tcW w:w="680" w:type="dxa"/>
            <w:vAlign w:val="bottom"/>
          </w:tcPr>
          <w:p>
            <w:pPr>
              <w:spacing w:after="0"/>
              <w:rPr>
                <w:sz w:val="16"/>
                <w:szCs w:val="16"/>
                <w:color w:val="auto"/>
              </w:rPr>
            </w:pPr>
          </w:p>
        </w:tc>
        <w:tc>
          <w:tcPr>
            <w:tcW w:w="2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9"/>
              </w:rPr>
              <w:t>70</w:t>
            </w:r>
          </w:p>
        </w:tc>
        <w:tc>
          <w:tcPr>
            <w:tcW w:w="160" w:type="dxa"/>
            <w:vAlign w:val="bottom"/>
          </w:tcPr>
          <w:p>
            <w:pPr>
              <w:spacing w:after="0"/>
              <w:rPr>
                <w:sz w:val="16"/>
                <w:szCs w:val="16"/>
                <w:color w:val="auto"/>
              </w:rPr>
            </w:pPr>
          </w:p>
        </w:tc>
        <w:tc>
          <w:tcPr>
            <w:tcW w:w="59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Chairman of the Board and Chief Executive Officer</w:t>
            </w:r>
          </w:p>
        </w:tc>
        <w:tc>
          <w:tcPr>
            <w:tcW w:w="680" w:type="dxa"/>
            <w:vAlign w:val="bottom"/>
          </w:tcPr>
          <w:p>
            <w:pPr>
              <w:spacing w:after="0"/>
              <w:rPr>
                <w:sz w:val="16"/>
                <w:szCs w:val="16"/>
                <w:color w:val="auto"/>
              </w:rPr>
            </w:pP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Robert Blair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50</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Girish Chandran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60</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Chief Technical Officer and President, Global Space Networks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Garrett Chase</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53</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James Dodd</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63</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President, Commercial Services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Shawn Duffy</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55</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and Chief Accounting Officer</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Kevin Harkenrider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69</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Corporate Officer</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Craig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53</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Senior Vice President, Strategic Initiatives</w:t>
            </w:r>
          </w:p>
        </w:tc>
      </w:tr>
      <w:tr>
        <w:trPr>
          <w:trHeight w:val="216"/>
        </w:trPr>
        <w:tc>
          <w:tcPr>
            <w:tcW w:w="6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Mark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65</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Technical Officer</w:t>
            </w:r>
          </w:p>
        </w:tc>
      </w:tr>
      <w:tr>
        <w:trPr>
          <w:trHeight w:val="239"/>
        </w:trPr>
        <w:tc>
          <w:tcPr>
            <w:tcW w:w="6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Ben Palmer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53</w:t>
            </w:r>
          </w:p>
        </w:tc>
        <w:tc>
          <w:tcPr>
            <w:tcW w:w="6760" w:type="dxa"/>
            <w:vAlign w:val="bottom"/>
            <w:gridSpan w:val="3"/>
          </w:tcPr>
          <w:p>
            <w:pPr>
              <w:ind w:left="160"/>
              <w:spacing w:after="0"/>
              <w:rPr>
                <w:sz w:val="20"/>
                <w:szCs w:val="20"/>
                <w:color w:val="auto"/>
              </w:rPr>
            </w:pPr>
            <w:r>
              <w:rPr>
                <w:rFonts w:ascii="Arial" w:cs="Arial" w:eastAsia="Arial" w:hAnsi="Arial"/>
                <w:sz w:val="18"/>
                <w:szCs w:val="18"/>
                <w:color w:val="auto"/>
              </w:rPr>
              <w:t>President, Maritime</w:t>
            </w:r>
          </w:p>
        </w:tc>
      </w:tr>
      <w:tr>
        <w:trPr>
          <w:trHeight w:val="648"/>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gridSpan w:val="2"/>
          </w:tcPr>
          <w:p>
            <w:pPr>
              <w:ind w:left="1040"/>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4"/>
                <w:szCs w:val="24"/>
                <w:color w:val="auto"/>
              </w:rPr>
            </w:pPr>
          </w:p>
        </w:tc>
      </w:tr>
      <w:tr>
        <w:trPr>
          <w:trHeight w:val="745"/>
        </w:trPr>
        <w:tc>
          <w:tcPr>
            <w:tcW w:w="6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3" w:name="page24"/>
    <w:bookmarkEnd w:id="23"/>
    <w:p>
      <w:pPr>
        <w:ind w:right="20" w:firstLine="509"/>
        <w:spacing w:after="0"/>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Chairman of the Board and Chief Executive Officer since its inception in May</w:t>
      </w:r>
      <w:r>
        <w:rPr>
          <w:rFonts w:ascii="Arial" w:cs="Arial" w:eastAsia="Arial" w:hAnsi="Arial"/>
          <w:sz w:val="18"/>
          <w:szCs w:val="18"/>
          <w:i w:val="1"/>
          <w:iCs w:val="1"/>
          <w:color w:val="auto"/>
        </w:rPr>
        <w:t xml:space="preserve"> </w:t>
      </w:r>
      <w:r>
        <w:rPr>
          <w:rFonts w:ascii="Arial" w:cs="Arial" w:eastAsia="Arial" w:hAnsi="Arial"/>
          <w:sz w:val="18"/>
          <w:szCs w:val="18"/>
          <w:color w:val="auto"/>
        </w:rPr>
        <w:t>1986, except for the period from November 2020 to June 2022 when he served as Executive Chairman. Mr. Dankberg provides Viasat with significant operational, business and technological expertise in the satellite and communications industry, and intimate knowledge of the issues facing our management. Mr. Dankberg also has significant expertise and perspective as a former member of the boards of directors of companies in various industries, including communications.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3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in 2014 was appointed Vice President and Deputy General Counsel. Mr. Blair served as Vice President, General Counsel and Secretary beginning in May 2017 and assumed his current position as Senior Vice President, General Counsel and Secretary in December 2021.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25"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Girish Chandran </w:t>
      </w:r>
      <w:r>
        <w:rPr>
          <w:rFonts w:ascii="Arial" w:cs="Arial" w:eastAsia="Arial" w:hAnsi="Arial"/>
          <w:sz w:val="18"/>
          <w:szCs w:val="18"/>
          <w:color w:val="auto"/>
        </w:rPr>
        <w:t>joined Viasat in October 2007 as a Principal Engineer. In September 2013, Mr. Chandran was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 Commercial Networks. In May 2017, he assumed the role of Chief Technical Officer, and in January 2025, he was also appointed President, Global Space Networks.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i w:val="1"/>
          <w:iCs w:val="1"/>
          <w:color w:val="auto"/>
        </w:rPr>
        <w:t xml:space="preserve">Garrett Chase </w:t>
      </w:r>
      <w:r>
        <w:rPr>
          <w:rFonts w:ascii="Arial" w:cs="Arial" w:eastAsia="Arial" w:hAnsi="Arial"/>
          <w:sz w:val="18"/>
          <w:szCs w:val="18"/>
          <w:color w:val="auto"/>
        </w:rPr>
        <w:t>joined Viasat in August 2024 as our Senior Vice President and Chief Financial Officer. Prior to joining Viasat, Mr. Chase</w:t>
      </w:r>
      <w:r>
        <w:rPr>
          <w:rFonts w:ascii="Arial" w:cs="Arial" w:eastAsia="Arial" w:hAnsi="Arial"/>
          <w:sz w:val="18"/>
          <w:szCs w:val="18"/>
          <w:i w:val="1"/>
          <w:iCs w:val="1"/>
          <w:color w:val="auto"/>
        </w:rPr>
        <w:t xml:space="preserve"> </w:t>
      </w:r>
      <w:r>
        <w:rPr>
          <w:rFonts w:ascii="Arial" w:cs="Arial" w:eastAsia="Arial" w:hAnsi="Arial"/>
          <w:sz w:val="18"/>
          <w:szCs w:val="18"/>
          <w:color w:val="auto"/>
        </w:rPr>
        <w:t>worked for more than 12 years in various roles with Delta Air Lines, most recently as Senior Vice President of Operational Finance and a member of the Delta Leadership Committee, a group of top executives reporting directly to the Chief Executive Officer. Mr. Chase also served as Delta’s Interim Co-Chief Financial Officer between November 2020 and July 2021, and as Delta’s Chief Strategy Officer between May 2018 and September 2020. Prior to joining Delta Air Lines, Mr. Chase was an Institutional Investor ranked analyst and Managing Director in equity research at Barclays Capital and Lehman Brothers in New York, having followed the airline and transportation industries for 12 years. Mr. Chase earned an M.B.A. degree from The Tuck School of Business at Dartmouth College and a B.A. degree in Economics from Union College.</w:t>
      </w:r>
    </w:p>
    <w:p>
      <w:pPr>
        <w:spacing w:after="0" w:line="126"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i w:val="1"/>
          <w:iCs w:val="1"/>
          <w:color w:val="auto"/>
        </w:rPr>
        <w:t xml:space="preserve">James Dodd </w:t>
      </w:r>
      <w:r>
        <w:rPr>
          <w:rFonts w:ascii="Arial" w:cs="Arial" w:eastAsia="Arial" w:hAnsi="Arial"/>
          <w:sz w:val="18"/>
          <w:szCs w:val="18"/>
          <w:color w:val="auto"/>
        </w:rPr>
        <w:t>joined Viasat in March 2020 as President, Global Mobile Solutions. In December 2020, he was appointed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President, Global Enterprise &amp; Mobility, in August 2023, was appointed Senior Vice President and President, Aviation, and in August 2024 assumed his current position as Senior Vice President and President, Commercial Services. Prior to joining Viasat, Mr. Dodd held a number of senior-level aviation management and engineering roles at Boeing, focused on complex Department of Defense and international contracted programs, overseeing strategic planning, execution, engineering and business development. At Boeing, Mr. Dodd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p>
    <w:p>
      <w:pPr>
        <w:spacing w:after="0" w:line="129"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in 2012 was appointed Vice President — Corporate Controller and Chief Accounting Officer. From August 2012 until April 2013, Ms. Duffy also served as interim Chief Financial Officer. In June 2014, she was appointed Senior Vice President and Chief Financial Officer, and in August 2024 assumed her current position of Senior Vice President and Chief Accounting Officer.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firstLine="509"/>
        <w:spacing w:after="0" w:line="238"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2007 until December 2009, served as Vice President of Viasat and Chief Operating Officer of Viasat Communications Inc. from December 2009 to April 2011, as Senior Vice President — Infrastructure Operations from April 2011 to May 2012, as Senior Vice President — Broadband Services from May 2012 to May 2015, as Senior Vice President — Commercial Networks from May 2015 to May 2018, as Senior Vice President and President, Broadband Systems from May 2018 until March 2020, as Executive Vice President — Global Operations and Chief Operations Officer from March 2020 until November 2021 and as Executive Vice President and Chief Operating Officer since November 2021. In August 2023, Mr. Harkenrider was appointed to the role of Executive Vice President and Chief Corporate Officer. As previously announced, Mr. Harkenrider intends to retire from this role on June 30, 2025.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26"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i w:val="1"/>
          <w:iCs w:val="1"/>
          <w:color w:val="auto"/>
        </w:rPr>
        <w:t xml:space="preserve">Craig Miller </w:t>
      </w:r>
      <w:r>
        <w:rPr>
          <w:rFonts w:ascii="Arial" w:cs="Arial" w:eastAsia="Arial" w:hAnsi="Arial"/>
          <w:sz w:val="18"/>
          <w:szCs w:val="18"/>
          <w:color w:val="auto"/>
        </w:rPr>
        <w:t>joined Viasat in 1995 and has held numerous technology, business and strategic leadership roles. In January 2015, Mr.</w:t>
      </w:r>
      <w:r>
        <w:rPr>
          <w:rFonts w:ascii="Arial" w:cs="Arial" w:eastAsia="Arial" w:hAnsi="Arial"/>
          <w:sz w:val="18"/>
          <w:szCs w:val="18"/>
          <w:i w:val="1"/>
          <w:iCs w:val="1"/>
          <w:color w:val="auto"/>
        </w:rPr>
        <w:t xml:space="preserve"> </w:t>
      </w:r>
      <w:r>
        <w:rPr>
          <w:rFonts w:ascii="Arial" w:cs="Arial" w:eastAsia="Arial" w:hAnsi="Arial"/>
          <w:sz w:val="18"/>
          <w:szCs w:val="18"/>
          <w:color w:val="auto"/>
        </w:rPr>
        <w:t>Miller was appointed Chief Technology Officer — Government Systems. In May 2021, he was appointed President, Government Systems, and in August 2023, was appointed President — Global Space Networks. In January 2025, he assumed his current position of Senior Vice President, Strategic Initiatives. On June 30, 2025, Mr. Miller will transition from his current role to Senior Vice President and President, Government. Mr. Miller holds a B.S. degree in Electrical Engineering from the University of Arizona.</w:t>
      </w:r>
    </w:p>
    <w:p>
      <w:pPr>
        <w:spacing w:after="0" w:line="122" w:lineRule="exact"/>
        <w:rPr>
          <w:sz w:val="20"/>
          <w:szCs w:val="20"/>
          <w:color w:val="auto"/>
        </w:rPr>
      </w:pPr>
    </w:p>
    <w:p>
      <w:pPr>
        <w:jc w:val="both"/>
        <w:ind w:right="140" w:firstLine="509"/>
        <w:spacing w:after="0" w:line="266" w:lineRule="auto"/>
        <w:rPr>
          <w:sz w:val="20"/>
          <w:szCs w:val="20"/>
          <w:color w:val="auto"/>
        </w:rPr>
      </w:pPr>
      <w:r>
        <w:rPr>
          <w:rFonts w:ascii="Arial" w:cs="Arial" w:eastAsia="Arial" w:hAnsi="Arial"/>
          <w:sz w:val="17"/>
          <w:szCs w:val="17"/>
          <w:i w:val="1"/>
          <w:iCs w:val="1"/>
          <w:color w:val="auto"/>
        </w:rPr>
        <w:t xml:space="preserve">Mark Miller </w:t>
      </w:r>
      <w:r>
        <w:rPr>
          <w:rFonts w:ascii="Arial" w:cs="Arial" w:eastAsia="Arial" w:hAnsi="Arial"/>
          <w:sz w:val="17"/>
          <w:szCs w:val="17"/>
          <w:color w:val="auto"/>
        </w:rPr>
        <w:t>is a founder of Viasat and served as Vice President and Chief Technical Officer of Viasat from March 1993 to June 2014,</w:t>
      </w:r>
      <w:r>
        <w:rPr>
          <w:rFonts w:ascii="Arial" w:cs="Arial" w:eastAsia="Arial" w:hAnsi="Arial"/>
          <w:sz w:val="17"/>
          <w:szCs w:val="17"/>
          <w:i w:val="1"/>
          <w:iCs w:val="1"/>
          <w:color w:val="auto"/>
        </w:rPr>
        <w:t xml:space="preserve"> </w:t>
      </w:r>
      <w:r>
        <w:rPr>
          <w:rFonts w:ascii="Arial" w:cs="Arial" w:eastAsia="Arial" w:hAnsi="Arial"/>
          <w:sz w:val="17"/>
          <w:szCs w:val="17"/>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0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Ben Palmer </w:t>
      </w:r>
      <w:r>
        <w:rPr>
          <w:rFonts w:ascii="Arial" w:cs="Arial" w:eastAsia="Arial" w:hAnsi="Arial"/>
          <w:sz w:val="18"/>
          <w:szCs w:val="18"/>
          <w:color w:val="auto"/>
        </w:rPr>
        <w:t>has served as the President of Viasat Maritime since August 2023, and previously served as the President of Inmarsat</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since November 2021. Mr. Palmer previously held various roles at Northrop Grumman, including Group Managing Director, Mission Systems Europe, from February 2019 to November 2021 and European Strategy and Business Development Director from May 2014 to February 2019. Prior to Northrop Grumman, he also held leadership positions at AlixPartners, a consulting firm, and BAE Systems, an aerospace and defense company. Mr. Palmer holds a B.A. degree from the University of Oxford and an MS degree from the London Business School.</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7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 and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Difficult to Predict</w:t>
      </w:r>
    </w:p>
    <w:p>
      <w:pPr>
        <w:spacing w:after="0" w:line="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See “Management’s Discussion and Analysis of Financial Condition and Results of Operations — Factors and Trends Affecting our Results of Operations” in Part II, Item 7 of this report for a discussion of various factors that may cause our quarter-to-quarter operating results to be unpredictable. Any of these or other factors discussed elsewhere in this report could have a material adverse effect on our business, financial condition and results of operations that could adversely affect our stock price.</w:t>
      </w:r>
    </w:p>
    <w:p>
      <w:pPr>
        <w:spacing w:after="0" w:line="124"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Satellite Failures or Degradations in Satellite Performance Could Affect Our Business, Financial Condition and Results of Operations</w:t>
      </w:r>
    </w:p>
    <w:p>
      <w:pPr>
        <w:spacing w:after="0" w:line="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Satellites utilize highly complex technology, operate in the harsh environment of space and are subject to significant operational risks while in orbit. These risks include malfunctions (commonly referred to as anomalies), such as malfunctions in the deployment of subsystems and/or components, interference from electrostatic storms, and collisions with meteoroids, decommissioned spacecraft or other space debris. Anomalies can occur as a result of various factors, including satellite manufacturer error, problems with the power or control sub-system of a satellite or general failures caused by the harsh space environment. Our satellites have experienced various anomalies in the past and we will likely experience anomalies in the future. Any single anomaly or other operational failure or degradation on the satellites we use, including satellites owned and operated by third parties, could have a material adverse effect on our business, financial condition and results of operations. Anomalies may also cause temporary outage of service or reduce the expected useful life of a satellite, thereby creating additional expense due to the need to provide replacement or backup capacity, which may not be available on reasonable economic terms, a reasonable schedule or at all. In addition, anomalies or satellite failures or degradations may cause a reduction of the revenues generated by the applicable satellite or the recognition of an impairment loss (such as those we experienced in connection with the launch of our ViaSat-3 F1 and I-6 F2 satellites), and could lead to claims from third parties for damages. Finally, anomalies may adversely affect our ability to insure our satellites at commercially reasonable premiums or terms, if at all. While some anomalies are covered by insurance policies, others may not be covered or may be subject to large deductibles. 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Moreover, in third-party satellites which we use to provide services we may not have control over the presence and implementation of redundant or backup systems and components. The occurrence of a failure of any of these redundant or backup systems and components could materially impair the useful life, capacity, coverage or operational capabilities of the satellite.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 Have a Finite Useful Life, and Their Actual Operational Life May Be Shorter than Their Mission Life</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ability to earn revenues from our satellite services depends on the continued operation of the satellites we own and operate or use. Each satellite has a limited useful life, referred to as its mission life. There can be no assurance as to the actual operational life of a satellite, which may be shorter than its mission life. A number of factors affect the useful lives of the satellites, 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(as discussed above). In addition, continued improvements in satellite technology may make satellites obsolete prior to the end of their operational life.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p>
      <w:pPr>
        <w:ind w:right="320"/>
        <w:spacing w:after="0" w:line="278" w:lineRule="auto"/>
        <w:rPr>
          <w:sz w:val="20"/>
          <w:szCs w:val="20"/>
          <w:color w:val="auto"/>
        </w:rPr>
      </w:pPr>
      <w:r>
        <w:rPr>
          <w:rFonts w:ascii="Arial" w:cs="Arial" w:eastAsia="Arial" w:hAnsi="Arial"/>
          <w:sz w:val="18"/>
          <w:szCs w:val="18"/>
          <w:b w:val="1"/>
          <w:bCs w:val="1"/>
          <w:i w:val="1"/>
          <w:iCs w:val="1"/>
          <w:color w:val="auto"/>
        </w:rPr>
        <w:t>New or Proposed Satellites Are Subject to Significant Risks Related to Construction, Launch and Orbit Raising that Could Limit Our Ability to Utilize these Satellites</w:t>
      </w:r>
    </w:p>
    <w:p>
      <w:pPr>
        <w:spacing w:after="0" w:line="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 construction and launch are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The technologies in our satellite designs are also very complex, and there can be no assurance that the technologies will work as we expect or that we will realize any or all of their anticipated benefits. We have in the past identified construction-related issues in our satellites. For example, our ViaSat-2 satellite experienced an antenna deployment issue which reduced its output capabilities. Satellite construction and launch activities may be delayed by a number of factors, many of which may be outside of our control. For example, civil unrest in French Guiana caused a delay in the launch of our ViaSat-2 satellite. Similarly, the COVID-19 pandemic with the resultant construction delays and supply chain disruptions, followed by launch delays caused by both adverse weather events and the scheduling of high priority launch missions, delayed the construction and launch of the ViaSat-3 F1 satellite.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launch failure may result in significant delays because of the need both to construct a replacement satellite and to obtain other launch opportunities. Launch vehicles may also underperform, in which case the satellite may still be able to be placed into service by using its onboard propulsion systems to reach the desired orbital location, but this would cause a reduction in its useful life. Moreover, even if launch is successful, there can be no assurance that the satellite will successfully reach its geostationary orbital slot and pass in-orbit testing prior to transfer of control of the satellite to us. We may also experience issues during orbital placement and testing, such as the reflector deployment issue experienced with the ViaSat-3 F1 satellite or the power subsystem anomaly suffered by the I-6 F2 satellite during its orbit raising phase. The failure to implement our satellite deployment plan on schedule could have a material adverse effect on our business,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Satellite Losses May Not Be Fully Covered By Insurance, or at All</w:t>
      </w:r>
    </w:p>
    <w:p>
      <w:pPr>
        <w:spacing w:after="0" w:line="7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may not be able to obtain or renew pre-launch, launch or in-orbit insurance for our satellites on reasonable economic terms or at all.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p>
    <w:p>
      <w:pPr>
        <w:spacing w:after="0" w:line="12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policies covering our insured satellites will not cover the full cost of constructing and launching or replacing a satellite nor fully cover our losses in the event of a satellite failure or significant degradation. Moreover, such policies do not cover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and may contain exclusions for past satellite anomalies.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Compete Are Highly Competitive and Our Competitors May Have Greater Resources than Us</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segments. See “Business–Competition” in Part I, Item 1 of this report for a discussion of the competitive environment in each of our segments. Many of our competitors have significant competitive advantages, including strong customer relationships,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Additionally, we may be subject to competitive disadvantages to the extent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27" w:name="page28"/>
    <w:bookmarkEnd w:id="27"/>
    <w:p>
      <w:pPr>
        <w:ind w:right="260"/>
        <w:spacing w:after="0" w:line="253" w:lineRule="auto"/>
        <w:rPr>
          <w:sz w:val="20"/>
          <w:szCs w:val="20"/>
          <w:color w:val="auto"/>
        </w:rPr>
      </w:pPr>
      <w:r>
        <w:rPr>
          <w:rFonts w:ascii="Arial" w:cs="Arial" w:eastAsia="Arial" w:hAnsi="Arial"/>
          <w:sz w:val="18"/>
          <w:szCs w:val="18"/>
          <w:color w:val="auto"/>
        </w:rPr>
        <w:t>that our competitors are able to secure business or advantageous regulatory treatment through connections with or influence over government officials. Our ability to compete in each of our segments may also be adversely affected by limits on our capital resources and our ability to invest in maintaining and expanding our market share.</w:t>
      </w:r>
    </w:p>
    <w:p>
      <w:pPr>
        <w:spacing w:after="0" w:line="117"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Our Success Depends on the Investment in, and Development and Market Acceptance of, New Broadband Technologies and Advanced Communications and Secure Networking Systems, Products and Services</w:t>
      </w:r>
    </w:p>
    <w:p>
      <w:pPr>
        <w:spacing w:after="0" w:line="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For example, the traditional GEO satellite communications industry is experiencing significant disruption from customers' increasing adoption of LEO services, including Starlink, as well as increased reliance on other forms of data transmission, including Wi-Fi and cellular data services. Our ability to compete successfully in our target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numerous factors, including our ability to: continue to develop market-leading satellite technologies (including high-capacity Ka-band satellites and associated ground networks); continue to increase satellite capacity, bandwidth cost-efficiencies and service quality; develop and introduce competitive products, services and technologies with innovative features that differentiate our offerings from those of our competitors; successfully integrate our complex technologies and system architectures; and implement manufacturing and assembly processes and cost reduction efforts.</w:t>
      </w:r>
    </w:p>
    <w:p>
      <w:pPr>
        <w:spacing w:after="0" w:line="12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but which we believe present opportunities for international expansion following the launch of commercial service on our ViaSat-3 constellation.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p>
    <w:p>
      <w:pPr>
        <w:spacing w:after="0" w:line="13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27" w:lineRule="exact"/>
        <w:rPr>
          <w:sz w:val="20"/>
          <w:szCs w:val="20"/>
          <w:color w:val="auto"/>
        </w:rPr>
      </w:pPr>
    </w:p>
    <w:p>
      <w:pPr>
        <w:ind w:right="600"/>
        <w:spacing w:after="0" w:line="278" w:lineRule="auto"/>
        <w:rPr>
          <w:sz w:val="20"/>
          <w:szCs w:val="20"/>
          <w:color w:val="auto"/>
        </w:rPr>
      </w:pPr>
      <w:r>
        <w:rPr>
          <w:rFonts w:ascii="Arial" w:cs="Arial" w:eastAsia="Arial" w:hAnsi="Arial"/>
          <w:sz w:val="18"/>
          <w:szCs w:val="18"/>
          <w:b w:val="1"/>
          <w:bCs w:val="1"/>
          <w:i w:val="1"/>
          <w:iCs w:val="1"/>
          <w:color w:val="auto"/>
        </w:rPr>
        <w:t>The Global Business Environment and Economic Conditions Could Negatively Affect Our Business, Financial Condition and Results of Operations</w:t>
      </w:r>
    </w:p>
    <w:p>
      <w:pPr>
        <w:spacing w:after="0" w:line="4"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tariffs, interest rates, consumer credit conditions, consumer debt levels, consumer confidence, rates of inflation, unemployment rates, energy costs, geopolitical issues and other macro-economic factors. For example, high unemployment levels or energy costs may impact our residential customers in our communication services segment by reducing consumers’ discretionary income, and affecting their ability to subscribe for fixed broadband services. Our business and operating results similarly depend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were materially impacted during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8" w:name="page29"/>
    <w:bookmarkEnd w:id="28"/>
    <w:p>
      <w:pPr>
        <w:spacing w:after="0" w:line="242" w:lineRule="auto"/>
        <w:rPr>
          <w:sz w:val="20"/>
          <w:szCs w:val="20"/>
          <w:color w:val="auto"/>
        </w:rPr>
      </w:pPr>
      <w:r>
        <w:rPr>
          <w:rFonts w:ascii="Arial" w:cs="Arial" w:eastAsia="Arial" w:hAnsi="Arial"/>
          <w:sz w:val="18"/>
          <w:szCs w:val="18"/>
          <w:color w:val="auto"/>
        </w:rPr>
        <w:t>COVID-19 pandemic by the severe decline in global air travel. In addition, supply chain and labor market challenges and inflationary pressures have negatively affected and may in the future continue to negatively affect our performance as well as the performance of our suppliers and customers. Moreover, natural disasters (including those resulting from climate change), political instability, international trade policies, civil unrest, terrorist activity, acts of war, and public health issues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p>
    <w:p>
      <w:pPr>
        <w:spacing w:after="0" w:line="44"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 There remains significant geopolitical tensions across the world which have impacts on the global business environment which in turn can have an impact on our own business performance.</w:t>
      </w:r>
    </w:p>
    <w:p>
      <w:pPr>
        <w:spacing w:after="0" w:line="127"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Acquisitions, Joint Ventures and Other Strategic Alliances May Have an Adverse Effect on Our Business; We May Fail to Realize the Anticipated Benefits of Such Transactions</w:t>
      </w:r>
    </w:p>
    <w:p>
      <w:pPr>
        <w:spacing w:after="0" w:line="4"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such as the Inmarsat Acquisition completed in fiscal year 2024. Risks and uncertainties relating to these transactions and any other acquisitions, joint ventures and other strategic alliances we may undertake include:</w:t>
      </w:r>
    </w:p>
    <w:p>
      <w:pPr>
        <w:spacing w:after="0" w:line="39" w:lineRule="exact"/>
        <w:rPr>
          <w:sz w:val="20"/>
          <w:szCs w:val="20"/>
          <w:color w:val="auto"/>
        </w:rPr>
      </w:pPr>
    </w:p>
    <w:p>
      <w:pPr>
        <w:ind w:left="1020" w:right="4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in combining, integrating and managing newly acquired businesses or any businesses of a joint venture or strategic alliance in an efficient and effective manner;</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challenges in achieving expected objectives, cost savings, synergies and other benefits;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 of diverting resources and the attention of senior management from the operations of our business;</w:t>
      </w:r>
    </w:p>
    <w:p>
      <w:pPr>
        <w:spacing w:after="0" w:line="89" w:lineRule="exact"/>
        <w:rPr>
          <w:rFonts w:ascii="Times New Roman" w:cs="Times New Roman" w:eastAsia="Times New Roman" w:hAnsi="Times New Roman"/>
          <w:sz w:val="18"/>
          <w:szCs w:val="18"/>
          <w:color w:val="auto"/>
        </w:rPr>
      </w:pPr>
    </w:p>
    <w:p>
      <w:pPr>
        <w:ind w:left="1020" w:right="68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demands on management related to integration efforts or increased size and scope of our business, including challenges of coordinating geographically dispersed organizations and addressing differences in corporate cultures or management philosophies;</w:t>
      </w:r>
    </w:p>
    <w:p>
      <w:pPr>
        <w:spacing w:after="0" w:line="35"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w:t>
      </w:r>
    </w:p>
    <w:p>
      <w:pPr>
        <w:spacing w:after="0" w:line="19"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costs and expenses associated with any undisclosed or contingent liabilities of an acquired business;</w:t>
      </w:r>
    </w:p>
    <w:p>
      <w:pPr>
        <w:spacing w:after="0" w:line="89" w:lineRule="exact"/>
        <w:rPr>
          <w:rFonts w:ascii="Times New Roman" w:cs="Times New Roman" w:eastAsia="Times New Roman" w:hAnsi="Times New Roman"/>
          <w:sz w:val="18"/>
          <w:szCs w:val="18"/>
          <w:color w:val="auto"/>
        </w:rPr>
      </w:pPr>
    </w:p>
    <w:p>
      <w:pPr>
        <w:ind w:left="1020" w:right="36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technologies, infrastructure, and product and service offerings, or in the harmonization of standards, controls (including internal accounting controls), procedures and policies;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funding requirements may be significantly greater than anticipated;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of entering markets in which we have less experience; 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of disputes concerning indemnities and other obligations that could result in substantial costs.</w:t>
      </w:r>
    </w:p>
    <w:p>
      <w:pPr>
        <w:spacing w:after="0" w:line="17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Anticipated growth, cost savings, synergies and other benefits of any such transactions may not be realized fully, or at all, or may take longer to realize than expected. Additionally, we may inherit legal, regulatory, and other risks of the acquired business, whether known or unknown to us, which may be material to the combined company. We may not be able to successfully integrate the businesses, products, technologies or personnel that we might acquire in the future, and any strategic investments we make may not meet our financial or other investment objectives. Any failure to do so could seriously harm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Reliance on U.S. Government Contracts Exposes Us to Significant Risks</w:t>
      </w:r>
    </w:p>
    <w:p>
      <w:pPr>
        <w:spacing w:after="0" w:line="75"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Revenues derived from the U.S. Government represent a significant percentage of our total revenues. Therefore, any significant disruption or deterioration of our relationship with the U.S. Government would significantly reduce our revenues. U.S. Government business exposes us to various risks, including:</w:t>
      </w:r>
    </w:p>
    <w:p>
      <w:pPr>
        <w:spacing w:after="0" w:line="34" w:lineRule="exact"/>
        <w:rPr>
          <w:sz w:val="20"/>
          <w:szCs w:val="20"/>
          <w:color w:val="auto"/>
        </w:rPr>
      </w:pPr>
    </w:p>
    <w:p>
      <w:pPr>
        <w:ind w:left="1020" w:right="4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contract or project terminations or suspensions, and unpredictable order placements, reductions or cancellations;</w:t>
      </w:r>
    </w:p>
    <w:p>
      <w:pPr>
        <w:spacing w:after="0" w:line="89"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or delays in government funds available for our projects due to policy changes, budget cuts or delays, changes in available funding, reductions in defense expenditures and contract adjustments;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competitors to protest contractual awards;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penalties arising from post-award contract audits;</w:t>
      </w:r>
    </w:p>
    <w:p>
      <w:pPr>
        <w:spacing w:after="0" w:line="89"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19"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limited profitability from cost-reimbursement contracts;</w:t>
      </w:r>
    </w:p>
    <w:p>
      <w:pPr>
        <w:spacing w:after="0" w:line="89"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unpredictable cash collections of unbilled receivables that may be subject to acceptance of deliverables by the customer and contract close-out procedures, including government approval of final indirect rates;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89"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00"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2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30" w:name="page31"/>
    <w:bookmarkEnd w:id="30"/>
    <w:p>
      <w:pPr>
        <w:ind w:right="20"/>
        <w:spacing w:after="0" w:line="256" w:lineRule="auto"/>
        <w:rPr>
          <w:sz w:val="20"/>
          <w:szCs w:val="20"/>
          <w:color w:val="auto"/>
        </w:rPr>
      </w:pPr>
      <w:r>
        <w:rPr>
          <w:rFonts w:ascii="Arial" w:cs="Arial" w:eastAsia="Arial" w:hAnsi="Arial"/>
          <w:sz w:val="18"/>
          <w:szCs w:val="18"/>
          <w:b w:val="1"/>
          <w:bCs w:val="1"/>
          <w:i w:val="1"/>
          <w:iCs w:val="1"/>
          <w:color w:val="auto"/>
        </w:rPr>
        <w:t>Because Our Products Are Complex and Are Deployed in Complex Environments, Our Products as well as Third Party Products on Which We Rely Are Likely to Have Vulnerabilities and Defects that We May Discover only After Full Deployment, which Could Seriously Harm Our Business</w:t>
      </w:r>
    </w:p>
    <w:p>
      <w:pPr>
        <w:spacing w:after="0" w:line="2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including hardware and software manufactured by third parties. Software typically contains defects or programming flaws that can unexpectedly interfere with expected operations. In addition, our products are complex and are designed to be deployed across complex networks, which in some cases may include over a million users, and are sometimes integrated with our customers' systems. Because of the nature of these products, there is no assurance that our pre-shipment testing programs will be adequate to detect all defects or vulnerabilities.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used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 In addition, given the complex nature of our systems and technologies, we regularly identify and track security vulnerabilities using scanning tools. We cannot guarantee comprehensively applied patches nor confirm that measures are in place to mitigate all such vulnerabilities or that patches will be applied before vulnerabilities are exploited by a threat actor. If a threat actor is able to exploit a critical vulnerability before patches are installed or mitigating measures are implemented, significant compromises could impact our and our customers’ systems and data, and could materially harm our business, financial condition and results of operations.</w:t>
      </w:r>
    </w:p>
    <w:p>
      <w:pPr>
        <w:spacing w:after="0" w:line="143"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Reputation and Business Could Be Materially Harmed as a Result of Data Breaches, Data Theft, Unauthorized Access or Hacking</w:t>
      </w:r>
    </w:p>
    <w:p>
      <w:pPr>
        <w:spacing w:after="0" w:line="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rely heavily on computer systems, hardware, software, infrastructure and various connected sites and networks for both internal and external operations that are critical to our business (collectively, IT Systems). We own and manage some of these IT Systems but also rely on third parties for a range of IT Systems and related products and services, including for cloud computing services. In addition, in the ordinary course of our business, our IT Systems and those of our third-party business partners, including our distributors, business partners, supply chain and other vendors, store sensitive data, including information that is confidential, regulated, proprietary or otherwise sensitive in nature to our business. This information may include intellectual property and product information, personal data, financial information and other confidential business information relating to us and our employees, customers, suppliers and other business partners.</w:t>
      </w:r>
    </w:p>
    <w:p>
      <w:pPr>
        <w:spacing w:after="0" w:line="50"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We and our distributors, partners, vendors and customers face numerous and evolving cybersecurity threats to the confidentiality, integrity and availability of our respective IT Systems and information, including threats from a wide range of bad actors and malicious parties, such as computer programmers, hackers or sophisticated nation-state and nation-state supported actors, as well as incidents attributable to employee error or wrongful conduct, malfeasance, the exploitation of misconfigurations, "bugs" and other vulnerabilities in hardware or software, or other disruptions caused by sophisticated social engineering and malware exploits (e.g., ransomware).</w:t>
      </w:r>
    </w:p>
    <w:p>
      <w:pPr>
        <w:spacing w:after="0" w:line="4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Despite our security measures, and those of our third-party vendors, we have experienced cyberattacks, data breaches and disruptive incidents, and we remain vulnerable to breaches, attacks and disruptions in the future. For example, in fiscal year 2022, a cyberattack involving our KA-SAT network resulted in a partial interruption of consumer-oriented fixed broadband services in Europe and North Africa. While to date no incidents have had a material impact on our operations or financial results, we cannot guarantee that material incidents will not occur in the future.</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Because the techniques used to obtain unauthorized access, disable or degrade service, or sabotage IT Systems, change frequently and often are not recognized until launched against a target, we are unable to anticipate all threat actor techniques (such as those incorporating artificial intelligence) and are unable to implement absolute preventative measures, particularly given that attackers are increasingly using sophisticated techniques designed to circumvent controls, evade detection, and remove forensic evidence. Any integration of artificial intelligence in our or any third party’s operations, products or services is expected to pose new or unknown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9" w:right="359" w:bottom="1440" w:gutter="0" w:footer="0" w:header="0"/>
        </w:sectPr>
      </w:pPr>
    </w:p>
    <w:bookmarkStart w:id="31" w:name="page32"/>
    <w:bookmarkEnd w:id="31"/>
    <w:p>
      <w:pPr>
        <w:spacing w:after="0" w:line="239" w:lineRule="auto"/>
        <w:rPr>
          <w:sz w:val="20"/>
          <w:szCs w:val="20"/>
          <w:color w:val="auto"/>
        </w:rPr>
      </w:pPr>
      <w:r>
        <w:rPr>
          <w:rFonts w:ascii="Arial" w:cs="Arial" w:eastAsia="Arial" w:hAnsi="Arial"/>
          <w:sz w:val="18"/>
          <w:szCs w:val="18"/>
          <w:color w:val="auto"/>
        </w:rPr>
        <w:t>cybersecurity risks and challenges. We have also acquired and expect to continue to acquire companies that have cybersecurity vulnerabilities and/or unsophisticated security measures, and we face challenges in integrating acquired entities with our cybersecurity program, controls and tools, all of which exposes us to significant cybersecurity, operational, and financial risks with any merger, acquisition or joint venture in which we engage. Additionally, outside parties regularly engage in phishing and other social engineering attacks against our employees or other users of our IT Systems and data. Given the nature of complex systems, software and services like ours, and the scanning tools we deploy in our environment, we regularly identify and track security vulnerabilities. We are unable to comprehensively apply patches or mitigating measures, or guarantee that patches or mitigation will be in place before vulnerabilities are exploited by a threat actor.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4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may be subject to significant liability to our customers, vendors, business partners, regulators (e.g., civil or criminal penalties) and others, and suffer serious reputational and financial harm if a cyberattack or breach materially disrupts our operations or materially compromises our or our customers’ critical information. If an attack or breach results in material losses of existing and/or prospective customers, it could adversely affect our business relationships, financial condition and results of operations. We could also suffer other negative consequences, including significant remediation costs, significant increased cybersecurity protection costs, loss of material revenues resulting from attacks on our satellites or technology, and the unauthorized use of proprietary information or the failure to retain or attract customers following an attack.</w:t>
      </w:r>
    </w:p>
    <w:p>
      <w:pPr>
        <w:spacing w:after="0" w:line="50"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We cannot guarantee that any costs and liabilities incurred in relation to an attack or incident will be covered by our existing insurance policies or that applicable insurance will be available to us in the future on economically reasonable terms or at all.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a Few of Our Contracts</w:t>
      </w:r>
    </w:p>
    <w:p>
      <w:pPr>
        <w:spacing w:after="0" w:line="75"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18% of our total revenues in fiscal year 2025.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on expiration, could materially harm our business and impair the value of our common stock.</w:t>
      </w:r>
    </w:p>
    <w:p>
      <w:pPr>
        <w:spacing w:after="0" w:line="12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Development Contracts May Be Difficult for Us to Comply with and May Expose Us to Third-Party Claims for Damages, and We May Experience Losses from Fixed-Price Contrac</w:t>
      </w:r>
      <w:r>
        <w:rPr>
          <w:rFonts w:ascii="Arial" w:cs="Arial" w:eastAsia="Arial" w:hAnsi="Arial"/>
          <w:sz w:val="18"/>
          <w:szCs w:val="18"/>
          <w:b w:val="1"/>
          <w:bCs w:val="1"/>
          <w:color w:val="auto"/>
        </w:rPr>
        <w:t>ts</w:t>
      </w:r>
    </w:p>
    <w:p>
      <w:pPr>
        <w:spacing w:after="0" w:line="4"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11% of our total revenues for fiscal year 2025 from these development contracts. These contracts typically contain strict performance obligations and project milestones. We cannot assure you we will comply with these performance obligations or meet these project milestones in the future. If we are unable to do so,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2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Substantially all of our revenues are derived from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a significant increase in or a sustained period of increased inflation, problems with our suppliers and cost overruns, can result in the contractual price becoming less favorable or even unprofitable to us over time (which, especially in the case of sharp increases in or significant sustained inflation, could happen quickly and have long-lasting impacts).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 revenue will continue to be at fixed prices in the future. Although we attempt to accurately estimate costs for fixed-price contracts, we cannot assure you our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2" w:name="page33"/>
    <w:bookmarkEnd w:id="32"/>
    <w:p>
      <w:pPr>
        <w:ind w:right="280"/>
        <w:spacing w:after="0" w:line="253" w:lineRule="auto"/>
        <w:rPr>
          <w:sz w:val="20"/>
          <w:szCs w:val="20"/>
          <w:color w:val="auto"/>
        </w:rPr>
      </w:pPr>
      <w:r>
        <w:rPr>
          <w:rFonts w:ascii="Arial" w:cs="Arial" w:eastAsia="Arial" w:hAnsi="Arial"/>
          <w:sz w:val="18"/>
          <w:szCs w:val="18"/>
          <w:color w:val="auto"/>
        </w:rPr>
        <w:t>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17"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Reliance on a Limited Number of Third Parties to Manufacture and Supply Our Products and Supply Network Infrastructure and Bandwidth Exposes Us to Various Risks</w:t>
      </w:r>
    </w:p>
    <w:p>
      <w:pPr>
        <w:spacing w:after="0" w:line="4"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2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Significant events such as an outbreak of a pandemic such as COVID-19, natural disasters or extreme weather events (including as a result of climate change), acts of terrorism or civil unrest, cyberattacks, labor market instability, changes to trade policy by the U.S. or foreign governments, including tariff and customs regulations or global shortages of components or materials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adversely affect our profitability.</w:t>
      </w:r>
    </w:p>
    <w:p>
      <w:pPr>
        <w:spacing w:after="0" w:line="13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also rely on third parties to provide network infrastructure and satellite bandwidth that we use to serve our mobility, defense and other customers. If that network infrastructure or satellite bandwidth becomes temporarily or permanently unavailable for any reason, we may not be able to pursue new business opportunities or satisfy existing customer obligations, which could result in reduced sales, termination of contracts and damage to our reputation. Such an occurrence could materially harm our business, financial condition and results of operations, and impair the value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Key Employees Who Would Be Difficult to Replace</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depend on a limited number of key technical, marketing and management personnel with a longstanding knowledge of Viasat's business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p>
    <w:p>
      <w:pPr>
        <w:spacing w:after="0" w:line="128"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i w:val="1"/>
          <w:iCs w:val="1"/>
          <w:color w:val="auto"/>
        </w:rPr>
        <w:t>Because We Conduct Business Internationally, We Face Additional Risks, including Risks Related to Global Political and Economic Conditions, Sanctions, Changes in Regulation and Currency Fluctuations</w:t>
      </w:r>
    </w:p>
    <w:p>
      <w:pPr>
        <w:spacing w:after="0" w:line="4"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Approximately 31% of our total revenues in fiscal year 2025 were derived from international sales. Conducting business internationally involves additional risks, including unexpected changes in laws, policies and regulatory requirements (including regulations related to import-export control and tariffs); increased cost of localizing systems in foreign countries; increased sales and marketing and R&amp;D expenses; timing and availability of export licenses; political and economic instability, wars, insurrections and other conflicts, such as the ongoing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right="20"/>
        <w:spacing w:after="0" w:line="238" w:lineRule="auto"/>
        <w:rPr>
          <w:sz w:val="20"/>
          <w:szCs w:val="20"/>
          <w:color w:val="auto"/>
        </w:rPr>
      </w:pPr>
      <w:r>
        <w:rPr>
          <w:rFonts w:ascii="Arial" w:cs="Arial" w:eastAsia="Arial" w:hAnsi="Arial"/>
          <w:sz w:val="18"/>
          <w:szCs w:val="18"/>
          <w:color w:val="auto"/>
        </w:rPr>
        <w:t>conflict between Russia and Ukraine; issues related to the political relationship between the United States and other countries; fluctuations in currency exchange rates (including their effect on sales denominated in foreign currencies), foreign exchange controls and restrictions on cash repatriation; compliance with international laws and U.S. laws affecting the activities of U.S. companies abroad, including existing and future privacy and cyber-related laws; challenges in staffing and managing foreign operations; difficulties in managing distributors; requirements for additional liquidity to fund our international operations; availability of suitable export financing; ineffective legal protection of our intellectual property rights in certain countries; potentially adverse tax consequences; potential difficulty in making adequate payment arrangements; potential difficulty in collecting accounts receivable; and imposition of taxes, tariffs (including recent U.S. tariffs imposed or threatened to be imposed on other countries and retaliatory actions taken by such countries), embargoes, sanctions and other trade barriers. In addition, some of our customer purchase agreements are governed by foreign laws, which may differ significantly from U.S. laws and we may be limited in our ability to enforce our rights under these agreements and to collect damages, if awarded. As a result of these and other risks, we may be unsuccessful in implementing our business plan for our business internationally, or we may not be able to achieve the revenues that we expect. If we are unable to address any of the risks described above, it could materially harm our business and impair the value of our common stock.</w:t>
      </w:r>
    </w:p>
    <w:p>
      <w:pPr>
        <w:spacing w:after="0" w:line="126"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Due to the global nature of our operations, we are subject to the complex and varying tax laws and rules of many countries and have material tax-related contingent liabilities that are difficult to predict or quantify. We are also subject to tax audits, including with respect to transfer pricing, in the United States and other jurisdictions and our tax positions may be challenged by tax authorities. There can be no assurance that our current tax provisions will be settled for the amounts accrued, that additional tax exposures will not be identified in the future or that additional tax reserves will not be necessary for any such exposures. Any increase in the amount of taxation incurred as a result of challenges to our tax filing positions could result in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May Harm Our Operating Results or Financial Condition</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a party to various lawsuits and claims in the normal course of our business. Moreover, significant transactions like the Inmarsat Acquisition are frequently subject to litigation or other legal proceedings, including actions alleging that our Board of Directors breached their fiduciary duties to our stockholders by entering into the transaction. Litigation can be expensive, lengthy and disruptive to normal business operations, including through the possible diversion of company resources or distraction of key personnel. Moreover, the results of complex legal proceedings are difficult to predict. An unfavorable resolution of a particular lawsuit, as well as defense costs and efforts even if successful,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Lower Our Stock Price and Dilute Existing Stockholders</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From time to time, we raise capital from equity financings and file universal shelf registration statements with the SEC for the future sale of an unlimited amount of common stock, preferred stock, warrants, rights, and other securities. For example, during fiscal year 2017 we sold 7.5 million shares of our common stock in an underwritten public offering, and during fiscal year 2021 we sold 4.5 million shares of our common stock to certain accredited investors in a private placement transaction.</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may also issue additional shares of common stock to finance acquisitions. For example, we issued 46.36 million shares of our common stock as consideration in the Inmarsat Acquisition. Additionally, a substantial number of shares of our common stock are available for future sale pursuant to stock options, warrants or issuance pursuant to our 1996 Equity Participation Plan of ViaSat, Inc. and the ViaSat, Inc. Employee Stock Purchase Plan. Future issuances of shares may be dilutive to existing stockholders.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 options and warrants or in connection with acquisition financing), or the perception that such sales could occur, may adversely affect prevailing market prices for our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Stock Price to Be Volatile, and You May Lose All or Some of Your Investment</w:t>
      </w:r>
    </w:p>
    <w:p>
      <w:pPr>
        <w:spacing w:after="0" w:line="75"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market price of our common stock has been volatile in the past. For example, between April 1, 2023 and March 31, 2025, the market price of our common stock ranged from $47.35 to $6.69. Trading prices may continue to fluctuate in response to a number of events and factors, including quarterly variations in operating results (or operating results falling below the expectations of analysts and investors), significant announcements by us or our competitors (including with respect to technological innovations, satellite construction and launch activities,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4" w:name="page35"/>
    <w:bookmarkEnd w:id="34"/>
    <w:p>
      <w:pPr>
        <w:ind w:right="60"/>
        <w:spacing w:after="0" w:line="247" w:lineRule="auto"/>
        <w:rPr>
          <w:sz w:val="20"/>
          <w:szCs w:val="20"/>
          <w:color w:val="auto"/>
        </w:rPr>
      </w:pPr>
      <w:r>
        <w:rPr>
          <w:rFonts w:ascii="Arial" w:cs="Arial" w:eastAsia="Arial" w:hAnsi="Arial"/>
          <w:sz w:val="18"/>
          <w:szCs w:val="18"/>
          <w:color w:val="auto"/>
        </w:rPr>
        <w:t>acquisitions and other material transactions), regulatory developments, or changes in market conditions in our industry or the economy as a whole. Any of these events may cause the market price of our common stock to fall. In addition, the stock market in general and the market prices for technology companies in particular have experienced significant volatility that is often unrelated to operating performance. These broad market and industry fluctuations may adversely affect the market price of our common stock, regardless of our operating performance.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Utilize All of Our Deferred Tax Assets</w:t>
      </w:r>
    </w:p>
    <w:p>
      <w:pPr>
        <w:spacing w:after="0" w:line="7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deferred tax asset valuation allowances are the result of uncertainties regarding the future realization of our deferred tax assets (consisting primarily of U.S. net operating loss and tax credit carryforwards, reserves and accruals that are not currently deductible for tax, and foreign net operating loss carryforwards). Current evidence does not suggest we will realize sufficient taxable income of the appropriate character within the carryforward period to allow us to realize these deferred tax benefits. If we were to identify and implement tax planning strategies to recover these deferred tax assets or generate sufficient income of the appropriate character in these jurisdictions in the future, it could lead to the reversal of these valuation allowances and a reduction of income tax expense. For the remaining deferred tax assets without valuation allowances (consisting primarily of U.K. and other foreign interest carryforwards subject to annual interest deduction limitations), certain transactions or material changes to our global financing arrangements could limit our right to use the deferred tax assets and make netting against deferred tax liabilities inappropriate, resulting in an increase to our valuation allowance and income tax expense.</w:t>
      </w:r>
    </w:p>
    <w:p>
      <w:pPr>
        <w:spacing w:after="0" w:line="12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Our ability to utilize our U.S.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rolling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3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Provisions in Our Certificate of Incorporation and Bylaws, under Delaware Law and in Our Credit Facilities May Discourage, Delay or Prevent a Change in Control or an Acquisition of Our Business at a Premium Price</w:t>
      </w:r>
    </w:p>
    <w:p>
      <w:pPr>
        <w:spacing w:after="0" w:line="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 permit the board of directors to increase its own size and fill the resulting vacancies, provide for a board comprised of three classes of directors with each serving a staggered three-year term, authorize the issuance of blank check preferred stock in one or more series, and prohibit stockholder action by written consent.</w:t>
      </w:r>
    </w:p>
    <w:p>
      <w:pPr>
        <w:spacing w:after="0" w:line="12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each of the indentures (collectively, the Indentures) governing our senior unsecured and senior secured notes (collectively, the Notes), if certain “change of control” events occur, each holder of Notes may require us to repurchase all of such holder’s Notes at a purchase price equal to 101% of the principal amount of such Notes. Additionally, Viasat’s and Inmarsat’s senior secured credit facilities (collectively, the Credit Facilities) provide for an event of default upon the occurrence of certain specified “change of control”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or Maintain Required Authorizations or Contractual Arrangements</w:t>
      </w:r>
    </w:p>
    <w:p>
      <w:pPr>
        <w:spacing w:after="0" w:line="7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ind w:right="100" w:firstLine="509"/>
        <w:spacing w:after="0" w:line="239"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2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the jurisdictions in which we provide service or that govern our network operations.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13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Changes in the Regulatory Environment Could Have a Material Adverse Impact on Our Competitive Position, Growth and Financial Performance</w:t>
      </w:r>
    </w:p>
    <w:p>
      <w:pPr>
        <w:spacing w:after="0" w:line="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RF spectrum, the ability to operate satellites at specific orbital locations in space, the licensing of earth stations and other radio transmitters, the provision of communications services, privacy and data security, and the design, manufacture, and marketing of communications systems and networking infrastructure. The space stations and ground network we use to provide our broadband and other services operate using some spectrum that is regulated for use on a primary basis for certain types of the satellite services we provide, some spectrum that is regulated for use on a shared basis with terrestrial wireless services and/or other satellite technologies,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12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laws, policies and regulations. We cannot predict when or whether applicable laws, policies, or regulations may come into effect or change, or what the cost and time necessary to comply with such new or updated laws or regulations may be. For example, cybersecurity and data privacy security and protection laws and regulations are evolving and present increasing compliance challenges, which may increase our costs, affect our competitiveness, cause reputational harm, and expose us to substantial fines or other penalties.</w:t>
      </w:r>
    </w:p>
    <w:p>
      <w:pPr>
        <w:spacing w:after="0" w:line="131"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Changes in laws or regulations, including changes in the way spectrum is regulated and/or in regulations governing our products and services, changes in the way spectrum is made available to us or is allowed to be used by others, or changes in the regulation of 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31"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6" w:name="page37"/>
    <w:bookmarkEnd w:id="36"/>
    <w:p>
      <w:pPr>
        <w:ind w:right="80"/>
        <w:spacing w:after="0" w:line="253" w:lineRule="auto"/>
        <w:rPr>
          <w:sz w:val="20"/>
          <w:szCs w:val="20"/>
          <w:color w:val="auto"/>
        </w:rPr>
      </w:pPr>
      <w:r>
        <w:rPr>
          <w:rFonts w:ascii="Arial" w:cs="Arial" w:eastAsia="Arial" w:hAnsi="Arial"/>
          <w:sz w:val="18"/>
          <w:szCs w:val="18"/>
          <w:color w:val="auto"/>
        </w:rPr>
        <w:t>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117"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Our International Sales and Operations Are Subject to Applicable Laws Relating to Trade, Sanctions, Export Controls and Foreign Corrupt Practices, the Violation of Which Could Have a Material Adverse Impact on Our Business</w:t>
      </w:r>
    </w:p>
    <w:p>
      <w:pPr>
        <w:spacing w:after="0" w:line="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(ECRA)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We are also subject to the Foreign Corrupt Practices Act and the UK Bribery Act, which generally bar bribes to foreign governments or officials. Although we have in place policies for our respective employees, directors and officers, and we have clauses in our contracts with our distribution partners, resellers and other intermediaries, we cannot be certain that any such activities are not undertaken, and cannot guarantee that our policies and contracts will prevent situations occurring, including actions by distribution partners, resellers and other intermediaries, for which we may be held responsible.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by the U.S. Government and other Governments</w:t>
      </w:r>
    </w:p>
    <w:p>
      <w:pPr>
        <w:spacing w:after="0" w:line="75"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26"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We are also subject to audit from time to time by other governments, including by the U.K. Government in respect of the package of economic undertakings agreed to by us and Inmarsat with the UK Government’s Department for Business, Energy and Industrial Strategy in March 2022, and an adverse review may impact our business, financial condition and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7" w:name="page38"/>
    <w:bookmarkEnd w:id="37"/>
    <w:p>
      <w:pPr>
        <w:ind w:right="80"/>
        <w:spacing w:after="0" w:line="278" w:lineRule="auto"/>
        <w:rPr>
          <w:sz w:val="20"/>
          <w:szCs w:val="20"/>
          <w:color w:val="auto"/>
        </w:rPr>
      </w:pPr>
      <w:r>
        <w:rPr>
          <w:rFonts w:ascii="Arial" w:cs="Arial" w:eastAsia="Arial" w:hAnsi="Arial"/>
          <w:sz w:val="18"/>
          <w:szCs w:val="18"/>
          <w:b w:val="1"/>
          <w:bCs w:val="1"/>
          <w:i w:val="1"/>
          <w:iCs w:val="1"/>
          <w:color w:val="auto"/>
        </w:rPr>
        <w:t>Risks Associated with Environmental, Social and Governance Matters, Including Global Climate Change, and Legal, Regulatory or Market Responses to These Matters Could Harm Our Reputation and Business</w:t>
      </w:r>
    </w:p>
    <w:p>
      <w:pPr>
        <w:spacing w:after="0" w:line="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recent years, there has been increased scrutiny by various stakeholders and policymakers regarding companies’ management of climate change, human capital, and other environmental, social and governance (ESG) matters. Shareholder ESG expectations, physical and transition risks associated with climate change, emerging ESG regulation (which regulation is not always uniform, increasing the cost and complexity of compliance and associated risks), contractual requirements and policy requirements present short, medium and long-term risks to our business and financial condition. While we engage in various initiatives (including voluntary disclosures) to manage such matters and address stakeholder expectations, such initiatives can be costly and may not have the desired effect. As with other companies, our approach to such matters also evolves, and we cannot guarantee that our approach will align with the expectations or preferences of any particular stakeholder. Changes in environmental and climate change laws or regulations could lead to additional operational restrictions and compliance requirements upon us. For example, various policymakers have adopted (or are considering adopting) requirements for certain ESG disclosures or consideration of ESG matters in procurement decisions, among other things. Changes in government procurement laws that mandate or include climate change considerations, such as the contractor’s greenhouse gas (GHG) emissions, lower emission products or other climate risks, in evaluating bids could result in costly changes to our operations or affect our competitiveness on future bids.</w:t>
      </w:r>
    </w:p>
    <w:p>
      <w:pPr>
        <w:spacing w:after="0" w:line="12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Compliance with current and future environmental laws and regulations may require significant operating and capital costs. Environmental laws and regulations may institute substantial fines and criminal sanctions to address violations and may require the installation of costly pollution control equipment or operational changes to limit emissions or discharges. Our suppliers may face similar business interruptions and incur additional costs that may be passed on to us. In addition, increasing scrutiny on ESG matters by various stakeholders may have various effects (including, for example, decreased demand for our products and services in the case of decreased air travel). However, stakeholders have different and, at times, conflicting expectations. Proponents and opponents of such matters are increasingly resorting to activism, including litigation, to advance their perspectives. Addressing stakeholder expectations or requirements entails costs and any failure to successfully navigate such expectations may result in reputational harm, loss of customers or contracts, regulatory or investor engagement, or other adverse impacts to our business. If our responses to new or evolving legal and regulatory requirements or other sustainability concerns are unsuccessful or perceived as inadequate for the U.S. or our international markets, we also may suffer damage to our reputation, which could have a material adverse impact on our business, financial condition and results of operations. Moreover, many of our customers and other stakeholders are subject to similar such expectations or requirements, which may augment existing or create additional risks. Any of the foregoing could be further exacerbated by changes to laws, regulation, standards and executive orders.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spacing w:after="0" w:line="24" w:lineRule="exact"/>
        <w:rPr>
          <w:sz w:val="20"/>
          <w:szCs w:val="20"/>
          <w:color w:val="auto"/>
        </w:rPr>
      </w:pPr>
    </w:p>
    <w:p>
      <w:pPr>
        <w:ind w:right="340" w:firstLine="509"/>
        <w:spacing w:after="0" w:line="242" w:lineRule="auto"/>
        <w:rPr>
          <w:sz w:val="20"/>
          <w:szCs w:val="20"/>
          <w:color w:val="auto"/>
        </w:rPr>
      </w:pPr>
      <w:r>
        <w:rPr>
          <w:rFonts w:ascii="Arial" w:cs="Arial" w:eastAsia="Arial" w:hAnsi="Arial"/>
          <w:sz w:val="18"/>
          <w:szCs w:val="18"/>
          <w:color w:val="auto"/>
        </w:rPr>
        <w:t>We have a significant amount of indebtedness. As of March 31, 2025, the aggregate principal amount of our total outstanding indebtedness was $7.2 billion (as more fully described in "Management's Discussion and Analysis of Financial Condition and Results of Operations" in Part II, Item 7 below). As of March 31, 2025, we had undrawn availability of $593.3 million under Viasat's $647.5 million revolving credit facility (the Viasat Revolving Credit Facility) and undrawn availability of $550.0 million under Inmarsat's $550.0 million revolving line of credit (the Inmarsat Revolving Credit Facility and, together with the Viasat Revolving Credit Facility, the Revolving Credit Facilities). Our high level of indebtedness could have important consequences. For example, it could:</w:t>
      </w:r>
    </w:p>
    <w:p>
      <w:pPr>
        <w:spacing w:after="0" w:line="44" w:lineRule="exact"/>
        <w:rPr>
          <w:sz w:val="20"/>
          <w:szCs w:val="20"/>
          <w:color w:val="auto"/>
        </w:rPr>
      </w:pPr>
    </w:p>
    <w:p>
      <w:pPr>
        <w:ind w:left="1020" w:right="2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debt obligations, obtain additional debt or equity financing or refinance existing debt on commercially reasonable terms (or at all);</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general adverse economic and industry conditions;</w:t>
      </w:r>
    </w:p>
    <w:p>
      <w:pPr>
        <w:spacing w:after="0" w:line="89"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general corporate purposes;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variable interest rate risk with respect to borrowings under our variable rate Credit Facilities;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flexibility in planning for, or reacting to, changes in our business and industry;</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9" w:right="379" w:bottom="1440" w:gutter="0" w:footer="0" w:header="0"/>
        </w:sectPr>
      </w:pPr>
    </w:p>
    <w:bookmarkStart w:id="38" w:name="page39"/>
    <w:bookmarkEnd w:id="38"/>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adjust to changing market conditions.</w:t>
      </w:r>
    </w:p>
    <w:p>
      <w:pPr>
        <w:spacing w:after="0" w:line="17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 We may also incur significant additional indebtedness in the future, which may include financing relating to future satellites, potential acquisitions, joint ventures and strategic alliances, working capital, capital expenditures or general corporate purposes. If our level of indebtedness increases significantly, the related risks would intensify.</w:t>
      </w:r>
    </w:p>
    <w:p>
      <w:pPr>
        <w:spacing w:after="0" w:line="124"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p>
    <w:p>
      <w:pPr>
        <w:spacing w:after="0" w:line="2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ability to make scheduled payments on or to refinance our indebtedness will depend on our future operating performance and ability to generate cash flow, which are subject to economic, financial, business, competitive, legislative, regulatory and other factors beyond our control. We cannot assure you that our business will generate sufficient cash flow from operations, or that future borrowings, including under our Revolving Credit Facilities, will be sufficient to enable us to pay our indebtedness when due, or to fund our other liquidity needs. In the event of satellite failure or loss, amounts recovered under insurance policies may be insufficient to adequately service our debt obligations. In addition, our term loan borrowings are subject to variable rates of interest and expose us to interest rate risk, and therefore high prevailing interest rates (as was experienced during fiscal years 2024 and 2025) may adversely impact our levels of interest expense. Moreover, there can be no assurance that we will be able to refinance our debt obligations on commercially reasonable terms, or at all.</w:t>
      </w:r>
    </w:p>
    <w:p>
      <w:pPr>
        <w:spacing w:after="0" w:line="12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dispose of material assets or operations, seek additional debt or equity capital or restructure or refinance our indebtedness. We may not be able to effect any such alternative measures on commercially reasonable terms or at all and, even if successful, such alternative measures may not allow us to meet our scheduled debt service obligations. Our Credit Facilities and Indentures restrict our ability to dispose of assets and use the proceeds from the disposition, and may also restrict our ability to raise debt or equity capital to repay or service our indebtedness.</w:t>
      </w:r>
    </w:p>
    <w:p>
      <w:pPr>
        <w:spacing w:after="0" w:line="125"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Agreements Could Limit Our Ability to Implement Our Business Plan</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Credit Facilities and Indentures contain covenants that may restrict our ability to implement our business plan, borrow under our Credit Facilities or secure additional financing, respond to changing conditions, and engage in opportunistic transactions. Our Credit Facilities and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 In addition, our Credit Facilities require us to comply with certain financial covenants, including a maximum total leverage ratio and minimum interest coverage ratio, as well as financial covenants under the Inmarsat Revolving Credit Facility.</w:t>
      </w:r>
    </w:p>
    <w:p>
      <w:pPr>
        <w:spacing w:after="0" w:line="13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Facilities,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8"/>
          <w:szCs w:val="18"/>
          <w:color w:val="auto"/>
        </w:rPr>
        <w:t>sufficient funds to repay all the outstanding amounts under our Credit Facilities or the Indentures, and any acceleration of amounts due would have a material adverse effect on our liquidity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Proprietary Technology Is Limited</w:t>
      </w:r>
    </w:p>
    <w:p>
      <w:pPr>
        <w:spacing w:after="0" w:line="7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success depends on our ability to protect our proprietary rights to the technologies we use in our products and services. We generally rely on a combination of patents, copyrights, trademarks and trade secret laws and contractual 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have been, and may in the future be required to commence litigation to protect our intellectual property rights or to determine the validity and scope of the proprietary rights of others.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Involvement in Litigation Relating to Intellectual Property Claims May Have a Material Adverse Effect on Our Business</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thereof.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Viasat Cybersecurity Risk Management, Strategy and Governance Disclosure</w:t>
      </w:r>
    </w:p>
    <w:p>
      <w:pPr>
        <w:spacing w:after="0" w:line="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Viasat builds, maintains, and operates satellite and telecommunications systems, infrastructure and services used by both government and commercial customers across the globe. We recognize the importance of building a resilient cybersecurity program focused on reducing cybersecurity risk to our customers, partners and our own organization. Our Cybersecurity Engineering organization, at the direction of the Board of Directors, has developed and implemented a cybersecurity risk management and technical assistance program intended to protect the confidentiality, integrity and availability of the services provided and the information stored, processed or transmitted by our critical systems and infrastructure, while assisting staff to develop, operate and maintain secure products and services.</w:t>
      </w:r>
    </w:p>
    <w:p>
      <w:pPr>
        <w:spacing w:after="0" w:line="12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Board of Directors considers cybersecurity risk as part of its risk oversight function and has delegated governance of cybersecurity and other technology risks to the Audit Committee (the Committee). Our executive management is ultimately responsible for assessing and managing risks from cybersecurity threats we face, and in this regard works closely with the Chief Information Security Officer (CISO) who reports to our Chief Corporate Officer. The Committee oversees management’s design and implementation of our cybersecurity risk management program and receives periodic reports, at least semi-annually, from the CISO on cybersecurity risks, the threat landscape, and our cybersecurity planning roadmap. In addition, the CISO updates the Committee, as necessary, regarding any material cybersecurity incidents, as well as other relevant incidents and potential or mitigated threats. The Committee reports to the Board of Directors regarding its activities, including those related to cybersecurity, and may request the CISO brief the Board of Directors on the status of cybersecurity and risk management programs, as well as relevant incidents and threats. Board members also receive periodic presentations on key cybersecurity topics from the CISO.</w:t>
      </w:r>
    </w:p>
    <w:p>
      <w:pPr>
        <w:spacing w:after="0" w:line="12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operational cybersecurity team is led by the CISO. The CISO has 31 years of experience in Information Technology and Security, with extensive experience designing, operating and protecting satellite and terrestrial telecommunications networks. The CISO also leads Viasat’s engagement with the private sector and government security communities, which includes facilitating active information sharing with these partners. As part of the acquisition and continuing integration of Inmarsat, the legacy Inmarsat cybersecurity team joined the Viasat Security Engineering organization. The engineering and operational cybersecurity teams of both legacy organizations jointly participate in local and national cybersecurity organizations, teach classes on cybersecurity, maintain numerous relevant certifications, and participate in training relevant to their field of expertise.</w:t>
      </w:r>
    </w:p>
    <w:p>
      <w:pPr>
        <w:spacing w:after="0" w:line="13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cybersecurity risk management program at Viasat is centered around an internally developed set of security principles and requirements, known as the “Foundational Security Principles”. The Foundational Security Principles, which we seek to apply across our products and services to promote security resiliency and repeatability, represents a minimum baseline of information security requirements. These principles have a focus on secure-by-design approaches for new products and services, and provide the basis for risk-informed control implementations for legacy networks and systems. Our Foundational Security Principals are designed with reference to the current published version of industry frameworks including, but not limited to, NIST Cybersecurity Framework, International Standards Organization (ISO) 27001, Payment Card Industry (PCI) Data Security Standard (DSS), National Institute of Standards and Technology (NIST) 800-171, and tailored baselines of NIST 800-53. This does not imply that we have implemented each, or any specific, technical standard, specification or configuration embedded in these frameworks but rather that they collectively inform and guide our identification, assessment and management of cybersecurity risks relevant to our businesses. Certain IT environments with higher risk or contractual, regulatory or customer requirements, or those environments where processing or storing sensitive types of information are required, are designed to comply with stricter sets of security requirements or security control frameworks.</w:t>
      </w:r>
    </w:p>
    <w:p>
      <w:pPr>
        <w:spacing w:after="0" w:line="12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Integration efforts continue between legacy Viasat and Inmarsat’s cybersecurity departments. Viasat is actively merging policies, processes, and operations security practices and operational footprints ensuring we have appropriate security tools and solutions that align with our business objectives and security requirements. The combined Viasat and Inmarsat cybersecurity organizations report to Viasat’s CISO and remain focused on the overall Viasat and Inmarsat satellite service network and corporate integration activities.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1" w:name="page42"/>
    <w:bookmarkEnd w:id="41"/>
    <w:p>
      <w:pPr>
        <w:ind w:firstLine="509"/>
        <w:spacing w:after="0" w:line="239" w:lineRule="auto"/>
        <w:rPr>
          <w:sz w:val="20"/>
          <w:szCs w:val="20"/>
          <w:color w:val="auto"/>
        </w:rPr>
      </w:pPr>
      <w:r>
        <w:rPr>
          <w:rFonts w:ascii="Arial" w:cs="Arial" w:eastAsia="Arial" w:hAnsi="Arial"/>
          <w:sz w:val="18"/>
          <w:szCs w:val="18"/>
          <w:color w:val="auto"/>
        </w:rPr>
        <w:t>Functionally, our cybersecurity team performs internal and external risk assessments and testing on both internally and externally developed systems, as well as certain third-party and supply chain partner ecosystems based on our assessment of their respective operational criticality and risk profile. Depending on the risks presented, this may include some combination of manual and automation-driven testing methods and supply chain risk management activities such as hardware and software assurance assessments, anti-counterfeit measures, and the use of trusted suppliers. Compliance with security policies, procedures, and standards are assessed, and depending on the potential risks posed to us, third-party assessments may be performed, including penetration tests, red team engagements, gap assessments, and compliance certification assessments. We also conduct several 3rd party compliance and audit assessments, including PCI DSS Tier 1 Merchant and Service Provider, ISO27001, UK Cyber Essentials Plus, and DFARS 252.204-7012 High Assurance assessments.</w:t>
      </w:r>
    </w:p>
    <w:p>
      <w:pPr>
        <w:spacing w:after="0" w:line="129"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The cybersecurity team also closely collaborates with our physical security team on planning, risk assessment, and incident response where appropriate, as well as developing and delivering a joint annual security training and education program that engages our employees, appropriate partners and third parties in a security training program that incorporates both cybersecurity and physical security elements.</w:t>
      </w:r>
    </w:p>
    <w:p>
      <w:pPr>
        <w:spacing w:after="0" w:line="2"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Additionally, our annual security training program supports additional focused security training for personnel handling certain sensitive information such as payment card information (PCI), controlled unclassified information (CUI), or personally identifiable information (PII).</w:t>
      </w:r>
    </w:p>
    <w:p>
      <w:pPr>
        <w:spacing w:after="0" w:line="9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To better understand Viasat’s threat landscape we partner with multiple U.S. government agencies to acquire and share cybersecurity threat intelligence related to threats, vulnerabilities, indicators of compromise, and current, relevant threat information that are expected as a cleared defense contractor and active Defense Industrial Base (DIB) member. Partner entities include the Defense Cyber Crime Center (DC3), Defense Cybersecurity Information Sharing Environment (DCISE), DCMA, National Security Agency Cybersecurity Collaboration Center (NSA CCC), and Defense Counterintelligence and Security Agency (DCSA). Viasat is also an active participant in several Information Sharing and Analysis Centers (ISACs), including the National Defense (ND-ISAC), Aviation (A-ISAC), and Space (Space ISAC).</w:t>
      </w:r>
    </w:p>
    <w:p>
      <w:pPr>
        <w:spacing w:after="0" w:line="12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cybersecurity engineering teams have personnel dedicated to detection engineering activities that leverage threat intel gathered to mitigate the impact of security events. Security detection and operations teams are responsible for detection activities including 7x24 staffed Cybersecurity Operations Centers responsible for monitoring our service provider networks and internal corporate and development environments. Various automated tools are used for detection and remediation, with support from experienced detection and response analysts and engineers.</w:t>
      </w:r>
    </w:p>
    <w:p>
      <w:pPr>
        <w:spacing w:after="0" w:line="12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When security events do occur, we employ a security incident response process that is designed to contain, eradicate, and recover operations as quickly as possible, while preserving forensic evidence for further analysis and potential attribution. We leverage multiple third parties for incident response and forensic support on retainer as necessary to assist during the incident response and remediation phases. We also maintain cybersecurity insurance in the event of cybersecurity related damages or data loss as a result of a cybersecurity incident or unauthorized data disclosure.</w:t>
      </w:r>
    </w:p>
    <w:p>
      <w:pPr>
        <w:spacing w:after="0" w:line="122"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During fiscal year 2025, we did not identify risks from known cybersecurity threats, including as a result of any prior cybersecurity incidents, that have materially affected or are reasonably likely to materially affect our operations, business strategy, results of operations, or financial condition. We face ongoing risks from certain cybersecurity threats that, if realized, are reasonably likely to materially affect us, including our operations, business strategy, results of operations, or financial condition. See “Risk Factors – Our Reputation and Business Could Be Materially Harmed as a Result of Data Breaches, Data Theft, Unauthorized Access or Hacking” in Part I, Item 1A of this report.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worldwide headquarters are located at our Carlsbad, California campus and our international headquarters are located in London, United Kingdom. In addition to our Carlsbad campus and international headquarters in London, each of which we lease, we own or lease facilities, offices and earth stations across the globe, including our leased facility in Tempe, Arizona. Each of our segments uses each of these facilities. Although we believe that our existing facilities are suitable and adequate for our present purposes, in fiscal year 2026 and beyond we will continue to evaluate our real estate needs and may further re-size our real estate footprint (based on utilization and operational needs, or as a part of our continuing integration efforts following the Inmarsat Acquisition, similar to the re-sizing undertaken in fiscal years 2023 and 2024), and/or add additional facilities as needed.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Our common stock is traded on the Nasdaq Global Select Market under the symbol “VSAT.” As of May 9, 2025, there were approximately 425 holders of record of our common stock. A substantially greater number of holders of Viasat common stock are “street name” or beneficial 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7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4" w:name="page45"/>
    <w:bookmarkEnd w:id="44"/>
    <w:p>
      <w:pPr>
        <w:ind w:right="1240"/>
        <w:spacing w:after="0" w:line="32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segments: communication services and defense and advanced technologies. We changed our segment reporting structure at the beginning of fiscal year 2025, and accordingly our results of operations for fiscal years 2024 and 2023 have been recast to reflect this new reporting structure in this report.</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Communication Services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 MEO and LEO.</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communication services segment:</w:t>
      </w:r>
    </w:p>
    <w:p>
      <w:pPr>
        <w:spacing w:after="0" w:line="77" w:lineRule="exact"/>
        <w:rPr>
          <w:sz w:val="20"/>
          <w:szCs w:val="20"/>
          <w:color w:val="auto"/>
        </w:rPr>
      </w:pPr>
    </w:p>
    <w:p>
      <w:pPr>
        <w:ind w:left="1020" w:right="20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Aviation, which includes industry-leading IFC services, narrowband safety operational data services and other complementary services and applications for commercial aircraft, business jets and unmanned aircraft.</w:t>
      </w:r>
    </w:p>
    <w:p>
      <w:pPr>
        <w:spacing w:after="0" w:line="19" w:lineRule="exact"/>
        <w:rPr>
          <w:rFonts w:ascii="Times New Roman" w:cs="Times New Roman" w:eastAsia="Times New Roman" w:hAnsi="Times New Roman"/>
          <w:sz w:val="18"/>
          <w:szCs w:val="18"/>
          <w:color w:val="auto"/>
        </w:rPr>
      </w:pPr>
    </w:p>
    <w:p>
      <w:pPr>
        <w:ind w:left="1020" w:right="200" w:hanging="503"/>
        <w:spacing w:after="0" w:line="246"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ISR services and LACE terminals.</w:t>
      </w:r>
    </w:p>
    <w:p>
      <w:pPr>
        <w:spacing w:after="0" w:line="41"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w:t>
      </w:r>
    </w:p>
    <w:p>
      <w:pPr>
        <w:spacing w:after="0" w:line="35" w:lineRule="exact"/>
        <w:rPr>
          <w:rFonts w:ascii="Times New Roman" w:cs="Times New Roman" w:eastAsia="Times New Roman" w:hAnsi="Times New Roman"/>
          <w:sz w:val="18"/>
          <w:szCs w:val="18"/>
          <w:color w:val="auto"/>
        </w:rPr>
      </w:pPr>
    </w:p>
    <w:p>
      <w:pPr>
        <w:ind w:left="1020" w:right="120" w:hanging="503"/>
        <w:spacing w:after="0" w:line="243"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Fixed services and other, which includes high-speed, high-quality, reliable fixed broadband internet services to businesses and residential users (primarily in the United States as well as in various countries in Europe and Latin America), enterprise connectivity solutions, IoT and other narrowband services (such as L-band managed services that enable real-time M2M position or high-value asset tracking), energy services, and prepaid internet services that provide innovative, affordable, satellite-based connectivity in communities that have little or no access to the internet.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left="260"/>
        <w:spacing w:after="0"/>
        <w:rPr>
          <w:sz w:val="20"/>
          <w:szCs w:val="20"/>
          <w:color w:val="auto"/>
        </w:rPr>
      </w:pPr>
      <w:r>
        <w:rPr>
          <w:rFonts w:ascii="Arial" w:cs="Arial" w:eastAsia="Arial" w:hAnsi="Arial"/>
          <w:sz w:val="18"/>
          <w:szCs w:val="18"/>
          <w:b w:val="1"/>
          <w:bCs w:val="1"/>
          <w:i w:val="1"/>
          <w:iCs w:val="1"/>
          <w:color w:val="auto"/>
        </w:rPr>
        <w:t>Defense and Advanced Technologies</w:t>
      </w:r>
    </w:p>
    <w:p>
      <w:pPr>
        <w:spacing w:after="0" w:line="75"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defense and advanced technologies segment:</w:t>
      </w:r>
    </w:p>
    <w:p>
      <w:pPr>
        <w:spacing w:after="0" w:line="77" w:lineRule="exact"/>
        <w:rPr>
          <w:sz w:val="20"/>
          <w:szCs w:val="20"/>
          <w:color w:val="auto"/>
        </w:rPr>
      </w:pPr>
    </w:p>
    <w:p>
      <w:pPr>
        <w:ind w:left="1020" w:hanging="503"/>
        <w:spacing w:after="0" w:line="243"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and cyber defense, which comprises a variety of high-quality networking, cybersecurity and information assurance products and services that provide advanced, high-speed IP-based “Type 1” and HAIPE®-compliant encryption solutions that enable military and government users to communicate information securely, and that protect the integrity of data stored on computers and storage devices. Information security and cyber defense also includes our MOJO expeditionary tactical gateway family of products.</w:t>
      </w:r>
    </w:p>
    <w:p>
      <w:pPr>
        <w:spacing w:after="0" w:line="44" w:lineRule="exact"/>
        <w:rPr>
          <w:rFonts w:ascii="Times New Roman" w:cs="Times New Roman" w:eastAsia="Times New Roman" w:hAnsi="Times New Roman"/>
          <w:sz w:val="18"/>
          <w:szCs w:val="18"/>
          <w:color w:val="auto"/>
        </w:rPr>
      </w:pPr>
    </w:p>
    <w:p>
      <w:pPr>
        <w:ind w:left="1020" w:right="140" w:hanging="503"/>
        <w:spacing w:after="0" w:line="239"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spacing w:after="0" w:line="51" w:lineRule="exact"/>
        <w:rPr>
          <w:rFonts w:ascii="Times New Roman" w:cs="Times New Roman" w:eastAsia="Times New Roman" w:hAnsi="Times New Roman"/>
          <w:sz w:val="18"/>
          <w:szCs w:val="18"/>
          <w:color w:val="auto"/>
        </w:rPr>
      </w:pPr>
    </w:p>
    <w:p>
      <w:pPr>
        <w:ind w:left="1020" w:right="20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Tactical networking, which provides resilient communications designed for on-the-move or on-the-pause operations in a multi-domain battlespace with friendly force tracking and narrowband solutions. Tactical networking includes the products and services offered by TrellisWare.</w:t>
      </w:r>
    </w:p>
    <w:p>
      <w:pPr>
        <w:spacing w:after="0" w:line="35" w:lineRule="exact"/>
        <w:rPr>
          <w:rFonts w:ascii="Times New Roman" w:cs="Times New Roman" w:eastAsia="Times New Roman" w:hAnsi="Times New Roman"/>
          <w:sz w:val="18"/>
          <w:szCs w:val="18"/>
          <w:color w:val="auto"/>
        </w:rPr>
      </w:pPr>
    </w:p>
    <w:p>
      <w:pPr>
        <w:jc w:val="both"/>
        <w:ind w:left="1020" w:right="30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77" w:lineRule="exact"/>
        <w:rPr>
          <w:sz w:val="20"/>
          <w:szCs w:val="20"/>
          <w:color w:val="auto"/>
        </w:rPr>
      </w:pPr>
    </w:p>
    <w:p>
      <w:pPr>
        <w:ind w:right="780" w:firstLine="509"/>
        <w:spacing w:after="0" w:line="271" w:lineRule="auto"/>
        <w:rPr>
          <w:sz w:val="20"/>
          <w:szCs w:val="20"/>
          <w:color w:val="auto"/>
        </w:rPr>
      </w:pPr>
      <w:r>
        <w:rPr>
          <w:rFonts w:ascii="Arial" w:cs="Arial" w:eastAsia="Arial" w:hAnsi="Arial"/>
          <w:sz w:val="18"/>
          <w:szCs w:val="18"/>
          <w:color w:val="auto"/>
        </w:rPr>
        <w:t>We believe that the performance of our business and our results of operations in a given period are driven by various factors, including:</w:t>
      </w:r>
    </w:p>
    <w:p>
      <w:pPr>
        <w:spacing w:after="0" w:line="19"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levels of competition in the markets in which we compete;</w:t>
      </w:r>
    </w:p>
    <w:p>
      <w:pPr>
        <w:spacing w:after="0" w:line="89" w:lineRule="exact"/>
        <w:rPr>
          <w:rFonts w:ascii="Times New Roman" w:cs="Times New Roman" w:eastAsia="Times New Roman" w:hAnsi="Times New Roman"/>
          <w:sz w:val="18"/>
          <w:szCs w:val="18"/>
          <w:color w:val="auto"/>
        </w:rPr>
      </w:pPr>
    </w:p>
    <w:p>
      <w:pPr>
        <w:ind w:left="1020" w:right="14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stage of our satellite design, construction and launch activities, the associated level of investment required, the impact of any construction or launch delays, operational or launch failures or satellite anomalies or deployment issues, and the impact of bringing newly launched satellites into commercial service and associated ramp-up activities and costs (see the discussion below under “Satellite-Related Activities”);</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available bandwidth ahead of new satellites entering commercial service;</w:t>
      </w:r>
    </w:p>
    <w:p>
      <w:pPr>
        <w:spacing w:after="0" w:line="89"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health, capacity, control and level of service of our satellite fleet, or the existence or occurrence of any malfunctions or anomalies in or other disruptions to our satellites;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third-party satellite bandwidth and network infrastructure that we rely on to provide our services;</w:t>
      </w:r>
    </w:p>
    <w:p>
      <w:pPr>
        <w:spacing w:after="0" w:line="89"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of growth in uptake of our in-flight services by commercial airlines and business jets, the number of aircraft retrofitted or installed with our IFC systems, and the rate of revenue growth in our IFC-related businesses in our communication services segment, as well as the impact of the grounding or slowdown in manufacture of aircraft related to aircraft safety, maintenance, OEM delays or other issues;</w:t>
      </w:r>
    </w:p>
    <w:p>
      <w:pPr>
        <w:spacing w:after="0" w:line="41"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growth in worldwide demand for mobile and fixed broadband connectivity, including growth in the number of aircraft and vessels in service, passengers, internet users, applications and connected devices;</w:t>
      </w:r>
    </w:p>
    <w:p>
      <w:pPr>
        <w:spacing w:after="0" w:line="19"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technological innovation and change in the industries in which we operate, and the introduction of new competing technologies, products and services by new and existing competitors;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46" w:name="page47"/>
    <w:bookmarkEnd w:id="46"/>
    <w:p>
      <w:pPr>
        <w:ind w:left="1020" w:right="26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global business environment and economic conditions, including changes in interest rates, credit conditions, debt levels, consumer confidence, discretionary spending levels, rates of inflation, unemployment rates, energy costs, geopolitical issues, tariffs and other macro-economic factors;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levels of our R&amp;D spending, including the effects of associated tax credits;</w:t>
      </w:r>
    </w:p>
    <w:p>
      <w:pPr>
        <w:spacing w:after="0" w:line="89"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acquisitions and divestitures (such as the Inmarsat Acquisition) and transaction-related or integration costs and any incurrence or repayment of indebtedness in connection therewith;</w:t>
      </w:r>
    </w:p>
    <w:p>
      <w:pPr>
        <w:spacing w:after="0" w:line="19" w:lineRule="exact"/>
        <w:rPr>
          <w:rFonts w:ascii="Times New Roman" w:cs="Times New Roman" w:eastAsia="Times New Roman" w:hAnsi="Times New Roman"/>
          <w:sz w:val="18"/>
          <w:szCs w:val="18"/>
          <w:color w:val="auto"/>
        </w:rPr>
      </w:pPr>
    </w:p>
    <w:p>
      <w:pPr>
        <w:ind w:left="1020" w:right="140" w:hanging="503"/>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seasonal effects related to the timing of contract awards, the timing and availability of U.S. Government funding, and the timing of product deliveries and customer acceptance, as well as increased demand for IFC services from airline passengers during peak holiday and summer travel periods and subscriber activity for our fixed broadband services related to traditional retail selling periods in our communication services segment;</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marketing and pricing strategies of our competitors with respect to competing technologies, products and services;</w:t>
      </w:r>
    </w:p>
    <w:p>
      <w:pPr>
        <w:spacing w:after="0" w:line="89" w:lineRule="exact"/>
        <w:rPr>
          <w:rFonts w:ascii="Times New Roman" w:cs="Times New Roman" w:eastAsia="Times New Roman" w:hAnsi="Times New Roman"/>
          <w:sz w:val="18"/>
          <w:szCs w:val="18"/>
          <w:color w:val="auto"/>
        </w:rPr>
      </w:pPr>
    </w:p>
    <w:p>
      <w:pPr>
        <w:ind w:left="1020" w:right="5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implement (on a timely basis) our technology roadmap and the associated investments and costs, as well as market acceptance and the timing of availability of our new products and services;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quantity and mix of products and services sold in each of our segments;</w:t>
      </w:r>
    </w:p>
    <w:p>
      <w:pPr>
        <w:spacing w:after="0" w:line="89" w:lineRule="exact"/>
        <w:rPr>
          <w:rFonts w:ascii="Times New Roman" w:cs="Times New Roman" w:eastAsia="Times New Roman" w:hAnsi="Times New Roman"/>
          <w:sz w:val="18"/>
          <w:szCs w:val="18"/>
          <w:color w:val="auto"/>
        </w:rPr>
      </w:pPr>
    </w:p>
    <w:p>
      <w:pPr>
        <w:jc w:val="both"/>
        <w:ind w:left="1020" w:right="16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complex and lengthy procurement process for many of our customers, particularly in our government satcom business and defense and advanced technologies segment, the impact of a failure to receive an expected order or a deferral of an order to a later period, and the timing of or effect of delays in obtaining government product certifications;</w:t>
      </w:r>
    </w:p>
    <w:p>
      <w:pPr>
        <w:spacing w:after="0" w:line="35"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in estimating costs over the life of a contract, which may require adjustment in future periods, and the impact of cost overruns (due to inflation or otherwise) on fixed-price development contracts;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customer payments under significant contracts;</w:t>
      </w:r>
    </w:p>
    <w:p>
      <w:pPr>
        <w:spacing w:after="0" w:line="89" w:lineRule="exact"/>
        <w:rPr>
          <w:rFonts w:ascii="Times New Roman" w:cs="Times New Roman" w:eastAsia="Times New Roman" w:hAnsi="Times New Roman"/>
          <w:sz w:val="18"/>
          <w:szCs w:val="18"/>
          <w:color w:val="auto"/>
        </w:rPr>
      </w:pPr>
    </w:p>
    <w:p>
      <w:pPr>
        <w:ind w:left="1020" w:right="26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a few significant customers, particularly agencies of the U.S. Government, for a significant percentage of our revenues, as a result of which the loss or decline in business with any of these customers may negatively impact our revenue and collectability of related accounts receivable;</w:t>
      </w:r>
    </w:p>
    <w:p>
      <w:pPr>
        <w:spacing w:after="0" w:line="35"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a global supply chain, including contract manufacturers and single-source or limited groups of suppliers; the impact of supply chain bottlenecks, and our ability to purchase or favorably price component parts that are periodically subject to shortages or supply chain disruptions resulting from surges in demand, natural disasters, tariffs, wars and other conflicts or other events;</w:t>
      </w:r>
    </w:p>
    <w:p>
      <w:pPr>
        <w:spacing w:after="0" w:line="41"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varying subscriber addition, churn and average revenue per user (ARPU) rates for our fixed broadband businesses and mix of wholesale and retail subscribers;</w:t>
      </w:r>
    </w:p>
    <w:p>
      <w:pPr>
        <w:spacing w:after="0" w:line="19"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one-time charges to operating income arising from items such as costs and expenses, relating to acquisitions or divestitures, impairment of assets and write-offs of assets related to customer non-payments or obsolescence;</w:t>
      </w:r>
    </w:p>
    <w:p>
      <w:pPr>
        <w:spacing w:after="0" w:line="19"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regulations and interpretations affecting our business, including changes affecting spectrum availability or permitted uses;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sufficient cash flows to repay our indebtedness; and</w:t>
      </w:r>
    </w:p>
    <w:p>
      <w:pPr>
        <w:spacing w:after="0" w:line="89"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public health crises, such as the COVID-19 pandemic, and the return to normalization after associated disruptions, such as the timing of return to normalization of government acquisition processes and pre-pandemic global airline traffic levels following COVID-19-related disruptions.</w:t>
      </w:r>
    </w:p>
    <w:p>
      <w:pPr>
        <w:spacing w:after="0" w:line="117" w:lineRule="exact"/>
        <w:rPr>
          <w:sz w:val="20"/>
          <w:szCs w:val="20"/>
          <w:color w:val="auto"/>
        </w:rPr>
      </w:pPr>
    </w:p>
    <w:p>
      <w:pPr>
        <w:jc w:val="both"/>
        <w:ind w:right="540" w:firstLine="509"/>
        <w:spacing w:after="0" w:line="253" w:lineRule="auto"/>
        <w:rPr>
          <w:sz w:val="20"/>
          <w:szCs w:val="20"/>
          <w:color w:val="auto"/>
        </w:rPr>
      </w:pPr>
      <w:r>
        <w:rPr>
          <w:rFonts w:ascii="Arial" w:cs="Arial" w:eastAsia="Arial" w:hAnsi="Arial"/>
          <w:sz w:val="18"/>
          <w:szCs w:val="18"/>
          <w:color w:val="auto"/>
        </w:rPr>
        <w:t>We may see some negative impacts on revenues and operating cash flows from our aviation businesses in fiscal year 2026 and potentially beyond, as a result of the impacts of regulatory oversight, approvals for new model aircraft and lingering global supply chain issues on the timely deliveries of aircraft to our commercial airline customers.</w:t>
      </w:r>
    </w:p>
    <w:p>
      <w:pPr>
        <w:spacing w:after="0" w:line="11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See also “Business–Segments” in Part I, Item 1 of this report for a discussion of what we believe to be key drivers for future growth in each of our segments.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Inmarsat Acquisition</w:t>
      </w:r>
    </w:p>
    <w:p>
      <w:pPr>
        <w:spacing w:after="0" w:line="77"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On May 30, 2023, we completed the acquisition of Connect Topco Limited, a private company limited by shares and incorporated in Guernsey (Inmarsat Holdings and, together with its subsidiaries, Inmarsat), in exchange for approximately $550.7 million in cash and 46.36 million shares of our common stock (the Inmarsat Acquisition).</w:t>
      </w:r>
    </w:p>
    <w:p>
      <w:pPr>
        <w:spacing w:after="0" w:line="34" w:lineRule="exact"/>
        <w:rPr>
          <w:sz w:val="20"/>
          <w:szCs w:val="20"/>
          <w:color w:val="auto"/>
        </w:rPr>
      </w:pPr>
    </w:p>
    <w:p>
      <w:pPr>
        <w:ind w:right="460" w:firstLine="509"/>
        <w:spacing w:after="0" w:line="271" w:lineRule="auto"/>
        <w:rPr>
          <w:sz w:val="20"/>
          <w:szCs w:val="20"/>
          <w:color w:val="auto"/>
        </w:rPr>
      </w:pPr>
      <w:r>
        <w:rPr>
          <w:rFonts w:ascii="Arial" w:cs="Arial" w:eastAsia="Arial" w:hAnsi="Arial"/>
          <w:sz w:val="18"/>
          <w:szCs w:val="18"/>
          <w:color w:val="auto"/>
        </w:rPr>
        <w:t>The assets and results of operations of Inmarsat are included in our communication services segment for the period following the closing of the Inmarsat Acquisition on May 30,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Link-16 TDL Business</w:t>
      </w:r>
    </w:p>
    <w:p>
      <w:pPr>
        <w:spacing w:after="0" w:line="77"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On January 3, 2023, we completed the sale of certain assets and assigned certain liabilities comprising our Link-16 TDL Business to L3Harris in exchange for approximately $1.96 billion in cash, subject to certain adjustments. Unless otherwise noted, discussion throughout this Item 7 relates to our continuing operations only and excludes the Link-16 TDL Business. See Note 5 — Discontinued Operations to our consolidated financial statements for additional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Satellite-Related Activities</w:t>
      </w:r>
    </w:p>
    <w:p>
      <w:pPr>
        <w:spacing w:after="0" w:line="7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complementary fleet of 23 in service or operational satellites spans the Ka-, L- and S-bands, enabling us to provide a wide array of high-quality broadband and narrowband services with near global coverage (including strong oceanic coverage) with greater redundancy and resiliency.</w:t>
      </w:r>
    </w:p>
    <w:p>
      <w:pPr>
        <w:spacing w:after="0" w:line="34"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We launched the first of our third-generation ViaSat-3 class satellites, ViaSat-3 F1, into orbit on April 30, 2023, and on July 12, 2023, we reported a reflector deployment issue that materially impacted the performance of the ViaSat-3 F1 satellite. On August 24, 2023, we reported that the I-6 F2 satellite, which was launched in February 2023, suffered a power subsystem anomaly during its orbit raising phase, and concluded that the satellite would not operate as intended. See Note 1 — The Company and a Summary of Its Significant Accounting Policies — Property, equipment and satellites to our consolidated financial statements for more information.</w:t>
      </w:r>
    </w:p>
    <w:p>
      <w:pPr>
        <w:spacing w:after="0" w:line="12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GSO and NGSO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spacing w:after="0" w:line="13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for information as of March 31, 2025 regarding our future minimum payments under our satellite construction contracts and other satellite-related purchase commitments (including satellite performance incentive obligations) for the next five fiscal years and thereafter .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ind w:firstLine="509"/>
        <w:spacing w:after="0" w:line="237"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7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120"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spacing w:after="0" w:line="11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revenues are primarily derived from two types of contracts: fixed-price and cost-reimbursement contracts. Fixed-price contracts (which require us to provide products and services under a contract at a specified price) comprised approximately 96%, 95% and 93% of our total revenues for fiscal years 2025, 2024 and 2023, respectively, a majority of which were reported in our communication services segment. The remainder of our revenues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which contracts were mainly reported within our defense and advanced technologies segment.</w:t>
      </w:r>
    </w:p>
    <w:p>
      <w:pPr>
        <w:spacing w:after="0" w:line="125"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The Company and a Summary of Its Significant Accounting Policies to our consolidated financial statements for additional information.</w:t>
      </w:r>
    </w:p>
    <w:p>
      <w:pPr>
        <w:spacing w:after="0" w:line="12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spacing w:after="0" w:line="12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(ASC 842). As discussed in Note 1 — The Company and a Summary of Its Significant Accounting Policies — Leases to our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0" w:name="page51"/>
    <w:bookmarkEnd w:id="50"/>
    <w:p>
      <w:pPr>
        <w:ind w:right="80" w:firstLine="509"/>
        <w:spacing w:after="0" w:line="237" w:lineRule="auto"/>
        <w:rPr>
          <w:sz w:val="20"/>
          <w:szCs w:val="20"/>
          <w:color w:val="auto"/>
        </w:rPr>
      </w:pPr>
      <w:r>
        <w:rPr>
          <w:rFonts w:ascii="Arial" w:cs="Arial" w:eastAsia="Arial" w:hAnsi="Arial"/>
          <w:sz w:val="18"/>
          <w:szCs w:val="18"/>
          <w:color w:val="auto"/>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2025 would change our income (loss) before income taxes by an insignificant amount.</w:t>
      </w:r>
    </w:p>
    <w:p>
      <w:pPr>
        <w:spacing w:after="0" w:line="12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ind w:right="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communication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75"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ind w:right="40" w:firstLine="509"/>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9"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5"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our exit from certain locations in EMEA markets, disposal of certain related assets and termination of certain related long-term contracts in the fourth quarter of fiscal year 2025, the impairment related to certain of our satellites under construction and satellite programs in the second and third quarters of fiscal year 2024 (as discussed in Note 1 — The Company and a Summary of Its Significant Accounting Policies — Property, equipment and satellites below), and the impairment of certain right-of-use assets in the fourth quarter of fiscal year 2023, no other material impairments were recorded by us for fiscal years 2025, 2024 and 2023. See Note 7 — Leases to our consolidated financial statements for additional information.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ind w:right="20" w:firstLine="509"/>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26"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Furthermore, in addition to qualitative analysis, we believe it is appropriate to conduct a quantitative analysis periodically as a prudent review of our reporting unit goodwill fair values. Our quantitative analysis estimates the fair values of the reporting units using discounted cash flows and other indicators of fair value. The forecast of future cash flow is based on our best estimate of each reporting unit’s future revenue and operating costs, based primarily on existing firm orders, expected future orders, contracts with suppliers, labor resources, general market conditions, successful launch of our satellites currently under construction and other relevant factors. Based on a quantitative analysis for fiscal year 2025, we concluded that estimated fair values of our reporting units exceed their respective carrying values.</w:t>
      </w:r>
    </w:p>
    <w:p>
      <w:pPr>
        <w:spacing w:after="0" w:line="111"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Based on our qualitative and quantitative assessment performed during the fourth quarter of fiscal year 2025, we concluded that it was more likely than not that the estimated fair value of each of our reporting units exceeded their related carrying value as of March 31, 2025.</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spacing w:after="0" w:line="12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spacing w:after="0" w:line="12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ind w:firstLine="509"/>
        <w:spacing w:after="0" w:line="242"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following table presents, as a percentage of total revenues, income statement data of our continuing operations for the periods indicated: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left="148"/>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6"/>
          </w:tcPr>
          <w:p>
            <w:pPr>
              <w:jc w:val="right"/>
              <w:ind w:right="680"/>
              <w:spacing w:after="0" w:line="147" w:lineRule="exact"/>
              <w:rPr>
                <w:sz w:val="20"/>
                <w:szCs w:val="20"/>
                <w:color w:val="auto"/>
              </w:rPr>
            </w:pPr>
            <w:r>
              <w:rPr>
                <w:rFonts w:ascii="Arial" w:cs="Arial" w:eastAsia="Arial" w:hAnsi="Arial"/>
                <w:sz w:val="14"/>
                <w:szCs w:val="14"/>
                <w:b w:val="1"/>
                <w:bCs w:val="1"/>
                <w:color w:val="auto"/>
              </w:rPr>
              <w:t>March 31,</w:t>
            </w:r>
          </w:p>
        </w:tc>
        <w:tc>
          <w:tcPr>
            <w:tcW w:w="960" w:type="dxa"/>
            <w:vAlign w:val="bottom"/>
            <w:gridSpan w:val="2"/>
          </w:tcPr>
          <w:p>
            <w:pPr>
              <w:jc w:val="right"/>
              <w:ind w:right="141"/>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100%</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Service revenues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99"/>
              </w:rPr>
              <w:t>71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Product revenues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29</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Cost of service revenues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46</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Cost of product revenues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w w:val="99"/>
              </w:rPr>
              <w:t>21</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20" w:type="dxa"/>
            <w:vAlign w:val="bottom"/>
            <w:gridSpan w:val="3"/>
            <w:shd w:val="clear" w:color="auto" w:fill="CFF0FC"/>
          </w:tcPr>
          <w:p>
            <w:pPr>
              <w:ind w:left="120"/>
              <w:spacing w:after="0" w:line="183" w:lineRule="exact"/>
              <w:rPr>
                <w:sz w:val="20"/>
                <w:szCs w:val="20"/>
                <w:color w:val="auto"/>
              </w:rPr>
            </w:pPr>
            <w:r>
              <w:rPr>
                <w:rFonts w:ascii="Arial" w:cs="Arial" w:eastAsia="Arial" w:hAnsi="Arial"/>
                <w:sz w:val="18"/>
                <w:szCs w:val="18"/>
                <w:color w:val="auto"/>
              </w:rPr>
              <w:t>Selling, general and administrative (including ground network</w:t>
            </w:r>
          </w:p>
        </w:tc>
        <w:tc>
          <w:tcPr>
            <w:tcW w:w="3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20" w:type="dxa"/>
            <w:vAlign w:val="bottom"/>
            <w:gridSpan w:val="6"/>
            <w:shd w:val="clear" w:color="auto" w:fill="CFF0FC"/>
          </w:tcPr>
          <w:p>
            <w:pPr>
              <w:ind w:left="120"/>
              <w:spacing w:after="0" w:line="202" w:lineRule="exact"/>
              <w:rPr>
                <w:sz w:val="20"/>
                <w:szCs w:val="20"/>
                <w:color w:val="auto"/>
              </w:rPr>
            </w:pPr>
            <w:r>
              <w:rPr>
                <w:rFonts w:ascii="Arial" w:cs="Arial" w:eastAsia="Arial" w:hAnsi="Arial"/>
                <w:sz w:val="18"/>
                <w:szCs w:val="18"/>
                <w:color w:val="auto"/>
              </w:rPr>
              <w:t>(FY25), satellite (FY24) impairment and related charges, net —</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see Note 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26</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Independent research and development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acquired intangible assets</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spacing w:after="0" w:line="196" w:lineRule="exact"/>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14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 income, net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ind w:left="120"/>
              <w:spacing w:after="0" w:line="202" w:lineRule="exact"/>
              <w:rPr>
                <w:sz w:val="20"/>
                <w:szCs w:val="20"/>
                <w:color w:val="auto"/>
              </w:rPr>
            </w:pPr>
            <w:r>
              <w:rPr>
                <w:rFonts w:ascii="Arial" w:cs="Arial" w:eastAsia="Arial" w:hAnsi="Arial"/>
                <w:sz w:val="18"/>
                <w:szCs w:val="18"/>
                <w:color w:val="auto"/>
              </w:rPr>
              <w:t>(Loss) gain on extinguishment of debt, net (see Note 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020" w:type="dxa"/>
            <w:vAlign w:val="bottom"/>
            <w:gridSpan w:val="3"/>
            <w:shd w:val="clear" w:color="auto" w:fill="CFF0FC"/>
          </w:tcPr>
          <w:p>
            <w:pPr>
              <w:spacing w:after="0" w:line="196" w:lineRule="exact"/>
              <w:rPr>
                <w:sz w:val="20"/>
                <w:szCs w:val="20"/>
                <w:color w:val="auto"/>
              </w:rPr>
            </w:pPr>
            <w:r>
              <w:rPr>
                <w:rFonts w:ascii="Arial" w:cs="Arial" w:eastAsia="Arial" w:hAnsi="Arial"/>
                <w:sz w:val="18"/>
                <w:szCs w:val="18"/>
                <w:color w:val="auto"/>
              </w:rPr>
              <w:t>Income (loss) from continuing operations before income taxes</w:t>
            </w: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168"/>
              <w:spacing w:after="0" w:line="196" w:lineRule="exact"/>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line="183" w:lineRule="exact"/>
              <w:rPr>
                <w:sz w:val="20"/>
                <w:szCs w:val="20"/>
                <w:color w:val="auto"/>
              </w:rPr>
            </w:pPr>
            <w:r>
              <w:rPr>
                <w:rFonts w:ascii="Arial" w:cs="Arial" w:eastAsia="Arial" w:hAnsi="Arial"/>
                <w:sz w:val="18"/>
                <w:szCs w:val="18"/>
                <w:color w:val="auto"/>
              </w:rPr>
              <w:t>(Provision for) benefit from income taxes from continuing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000" w:type="dxa"/>
            <w:vAlign w:val="bottom"/>
            <w:gridSpan w:val="2"/>
          </w:tcPr>
          <w:p>
            <w:pPr>
              <w:ind w:left="2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5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from continuing operations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tcPr>
          <w:p>
            <w:pPr>
              <w:spacing w:after="0" w:line="202" w:lineRule="exact"/>
              <w:rPr>
                <w:sz w:val="20"/>
                <w:szCs w:val="20"/>
                <w:color w:val="auto"/>
              </w:rPr>
            </w:pPr>
            <w:r>
              <w:rPr>
                <w:rFonts w:ascii="Arial" w:cs="Arial" w:eastAsia="Arial" w:hAnsi="Arial"/>
                <w:sz w:val="18"/>
                <w:szCs w:val="18"/>
                <w:color w:val="auto"/>
              </w:rPr>
              <w:t>Net income (loss) from discontinued operations, net of tax</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168"/>
              <w:spacing w:after="0" w:line="202" w:lineRule="exact"/>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Fiscal Year 2025 Compared to Fiscal Year 2024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580" w:type="dxa"/>
            <w:vAlign w:val="bottom"/>
            <w:gridSpan w:val="3"/>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24"/>
                <w:szCs w:val="24"/>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880" w:type="dxa"/>
            <w:vAlign w:val="bottom"/>
            <w:gridSpan w:val="3"/>
          </w:tcPr>
          <w:p>
            <w:pPr>
              <w:jc w:val="right"/>
              <w:ind w:right="108"/>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Service revenues</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3,225.8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3,004.6</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221.2</w:t>
            </w:r>
          </w:p>
        </w:tc>
        <w:tc>
          <w:tcPr>
            <w:tcW w:w="1420" w:type="dxa"/>
            <w:vAlign w:val="bottom"/>
            <w:gridSpan w:val="5"/>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Product revenues</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1,293.8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1,279.2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14.6</w:t>
            </w:r>
          </w:p>
        </w:tc>
        <w:tc>
          <w:tcPr>
            <w:tcW w:w="14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0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4,519.6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4,283.8</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235.8</w:t>
            </w:r>
          </w:p>
        </w:tc>
        <w:tc>
          <w:tcPr>
            <w:tcW w:w="1420" w:type="dxa"/>
            <w:vAlign w:val="bottom"/>
            <w:gridSpan w:val="5"/>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-2493645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-2493645</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-2493645</wp:posOffset>
            </wp:positionV>
            <wp:extent cx="1117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Our total revenues increased by $235.8 million as a result of a $221.2 million increase in service revenues and a $14.6 million increase in product revenues. The increase in service revenues was primarily due to a $223.8 million increase in our communication services segment. The increase in product revenues was due to an increase of $81.5 million in our defense and advanced technologies segment, partially offset by a $66.9 million decrease in our communication services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ind w:left="34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Increase</w:t>
            </w: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r>
      <w:tr>
        <w:trPr>
          <w:trHeight w:val="196"/>
        </w:trPr>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2,091.7</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1,928.7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163.0</w:t>
            </w: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8%</w:t>
            </w:r>
          </w:p>
        </w:tc>
      </w:tr>
      <w:tr>
        <w:trPr>
          <w:trHeight w:val="203"/>
        </w:trPr>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Cost of product revenues</w:t>
            </w:r>
          </w:p>
        </w:tc>
        <w:tc>
          <w:tcPr>
            <w:tcW w:w="1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973.4</w:t>
            </w:r>
          </w:p>
        </w:tc>
        <w:tc>
          <w:tcPr>
            <w:tcW w:w="12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(35.5)</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3,029.6</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2,902.1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127.5</w:t>
            </w:r>
          </w:p>
        </w:tc>
        <w:tc>
          <w:tcPr>
            <w:tcW w:w="14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w:t>
            </w:r>
          </w:p>
        </w:tc>
      </w:tr>
    </w:tbl>
    <w:p>
      <w:pPr>
        <w:spacing w:after="0" w:line="17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Cost of revenues increased by $127.5 million due to a $163.0 million increase in cost of service revenues, partially offset by a $35.5 million decrease in cost of product revenues. The increase in cost of service revenues was primarily due to increased service revenues, mainly driven by our communication services segment, resulting in a $142.0 million increase in cost of service revenues on a constant margin basis, as well as lower margins primarily in our defense and advanced technologies segment. The cost of product revenue decrease was primarily attributable to higher margins, mainly in our defense and advanced technologies segment, due to a higher mix of our product revenues associated with royalty and licensing agreements versus hardware and other product related revenues.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62"/>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Increase</w:t>
            </w:r>
          </w:p>
        </w:tc>
        <w:tc>
          <w:tcPr>
            <w:tcW w:w="13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1,181.1</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1,893.7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(712.6)</w:t>
            </w:r>
          </w:p>
        </w:tc>
        <w:tc>
          <w:tcPr>
            <w:tcW w:w="1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(38)%</w:t>
            </w:r>
          </w:p>
        </w:tc>
      </w:tr>
    </w:tbl>
    <w:p>
      <w:pPr>
        <w:spacing w:after="0" w:line="18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experienced net losses of $905.5 million related to satellite impairment, including liabilities associated with the termination of certain subcontractor agreements, net of estimated insurance claim receivables in fiscal year 2024, and $169.4 million impairment related to ground network as a result of our exit activities from certain locations in EMEA markets in fiscal year 2025, which were recorded in our communication services segment for both periods. After excluding these net losses, selling, general and administrative (SG&amp;A) expenses increased by $23.5 million, primarily driven by a $50.2 million increase in support costs and partially offset by a $24.7 million decrease in sales and marketing costs, both of which were mainly in our communication services segment.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6"/>
          </w:tcPr>
          <w:p>
            <w:pPr>
              <w:ind w:left="34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62"/>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Increase</w:t>
            </w: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r>
      <w:tr>
        <w:trPr>
          <w:trHeight w:val="196"/>
        </w:trPr>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142.4</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150.7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(8.3)</w:t>
            </w: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w:t>
            </w:r>
          </w:p>
        </w:tc>
      </w:tr>
    </w:tbl>
    <w:p>
      <w:pPr>
        <w:spacing w:after="0" w:line="170"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$8.3 million decrease in IR&amp;D expenses was primarily attributable to a $21.5 million decrease in our communication services segment (primarily related to next-generation consumer broadband integrated networking technologies), partially offset by a $13.3 million increase in our defense and advanced technologies segment (primarily related to other advanced technologies).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30" w:right="45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7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12 years. The $36.8 million increase in amortization of acquired intangible assets in fiscal year 2025 compared to the prior fiscal year was primarily related to a full year of amortization of acquired intangibles as a result of the Inmarsat Acquisition in May 2023, compared to only ten months in the prior year period. Expected amortization expense for acquired intangible assets for each of the following periods is as follows:</w:t>
      </w:r>
    </w:p>
    <w:p>
      <w:pPr>
        <w:sectPr>
          <w:pgSz w:w="11900" w:h="16838" w:orient="portrait"/>
          <w:cols w:equalWidth="0" w:num="1">
            <w:col w:w="11240"/>
          </w:cols>
          <w:pgMar w:left="320" w:top="123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Expected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Expected for fiscal year 2027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Expected for fiscal year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Expected for fiscal year 2029</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Expected for fiscal year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191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 thousands)</w:t>
      </w:r>
    </w:p>
    <w:p>
      <w:pPr>
        <w:ind w:left="1220" w:hanging="1218"/>
        <w:spacing w:after="0" w:line="234"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263,329</w:t>
      </w:r>
    </w:p>
    <w:p>
      <w:pPr>
        <w:ind w:left="1220"/>
        <w:spacing w:after="0" w:line="234" w:lineRule="auto"/>
        <w:rPr>
          <w:rFonts w:ascii="Arial" w:cs="Arial" w:eastAsia="Arial" w:hAnsi="Arial"/>
          <w:sz w:val="18"/>
          <w:szCs w:val="18"/>
          <w:color w:val="auto"/>
        </w:rPr>
      </w:pPr>
      <w:r>
        <w:rPr>
          <w:rFonts w:ascii="Arial" w:cs="Arial" w:eastAsia="Arial" w:hAnsi="Arial"/>
          <w:sz w:val="18"/>
          <w:szCs w:val="18"/>
          <w:color w:val="auto"/>
        </w:rPr>
        <w:t>263,329</w:t>
      </w:r>
    </w:p>
    <w:p>
      <w:pPr>
        <w:ind w:left="1220"/>
        <w:spacing w:after="0" w:line="234" w:lineRule="auto"/>
        <w:rPr>
          <w:rFonts w:ascii="Arial" w:cs="Arial" w:eastAsia="Arial" w:hAnsi="Arial"/>
          <w:sz w:val="18"/>
          <w:szCs w:val="18"/>
          <w:color w:val="auto"/>
        </w:rPr>
      </w:pPr>
      <w:r>
        <w:rPr>
          <w:rFonts w:ascii="Arial" w:cs="Arial" w:eastAsia="Arial" w:hAnsi="Arial"/>
          <w:sz w:val="18"/>
          <w:szCs w:val="18"/>
          <w:color w:val="auto"/>
        </w:rPr>
        <w:t>263,291</w:t>
      </w:r>
    </w:p>
    <w:p>
      <w:pPr>
        <w:ind w:left="1220"/>
        <w:spacing w:after="0" w:line="234" w:lineRule="auto"/>
        <w:rPr>
          <w:rFonts w:ascii="Arial" w:cs="Arial" w:eastAsia="Arial" w:hAnsi="Arial"/>
          <w:sz w:val="18"/>
          <w:szCs w:val="18"/>
          <w:color w:val="auto"/>
        </w:rPr>
      </w:pPr>
      <w:r>
        <w:rPr>
          <w:rFonts w:ascii="Arial" w:cs="Arial" w:eastAsia="Arial" w:hAnsi="Arial"/>
          <w:sz w:val="18"/>
          <w:szCs w:val="18"/>
          <w:color w:val="auto"/>
        </w:rPr>
        <w:t>262,266</w:t>
      </w:r>
    </w:p>
    <w:p>
      <w:pPr>
        <w:ind w:left="1220"/>
        <w:spacing w:after="0" w:line="234" w:lineRule="auto"/>
        <w:rPr>
          <w:rFonts w:ascii="Arial" w:cs="Arial" w:eastAsia="Arial" w:hAnsi="Arial"/>
          <w:sz w:val="18"/>
          <w:szCs w:val="18"/>
          <w:color w:val="auto"/>
        </w:rPr>
      </w:pPr>
      <w:r>
        <w:rPr>
          <w:rFonts w:ascii="Arial" w:cs="Arial" w:eastAsia="Arial" w:hAnsi="Arial"/>
          <w:sz w:val="18"/>
          <w:szCs w:val="18"/>
          <w:color w:val="auto"/>
        </w:rPr>
        <w:t>247,160</w:t>
      </w:r>
    </w:p>
    <w:p>
      <w:pPr>
        <w:ind w:left="1220"/>
        <w:spacing w:after="0"/>
        <w:rPr>
          <w:rFonts w:ascii="Arial" w:cs="Arial" w:eastAsia="Arial" w:hAnsi="Arial"/>
          <w:sz w:val="18"/>
          <w:szCs w:val="18"/>
          <w:color w:val="auto"/>
        </w:rPr>
      </w:pPr>
      <w:r>
        <w:rPr>
          <w:rFonts w:ascii="Arial" w:cs="Arial" w:eastAsia="Arial" w:hAnsi="Arial"/>
          <w:sz w:val="18"/>
          <w:szCs w:val="18"/>
          <w:color w:val="auto"/>
        </w:rPr>
        <w:t>971,402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11912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1080" w:hanging="1078"/>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2,270,777</w:t>
      </w:r>
    </w:p>
    <w:p>
      <w:pPr>
        <w:spacing w:after="0" w:line="583" w:lineRule="exact"/>
        <w:rPr>
          <w:sz w:val="20"/>
          <w:szCs w:val="20"/>
          <w:color w:val="auto"/>
        </w:rPr>
      </w:pPr>
    </w:p>
    <w:p>
      <w:pPr>
        <w:sectPr>
          <w:pgSz w:w="11900" w:h="16838" w:orient="portrait"/>
          <w:cols w:equalWidth="0" w:num="2">
            <w:col w:w="8520" w:space="720"/>
            <w:col w:w="2000"/>
          </w:cols>
          <w:pgMar w:left="320" w:top="1230" w:right="339" w:bottom="1440" w:gutter="0" w:footer="0" w:header="0"/>
          <w:type w:val="continuous"/>
        </w:sectPr>
      </w:pPr>
    </w:p>
    <w:p>
      <w:pPr>
        <w:ind w:right="160" w:firstLine="509"/>
        <w:spacing w:after="0" w:line="253" w:lineRule="auto"/>
        <w:rPr>
          <w:sz w:val="20"/>
          <w:szCs w:val="20"/>
          <w:color w:val="auto"/>
        </w:rPr>
      </w:pPr>
      <w:r>
        <w:rPr>
          <w:rFonts w:ascii="Arial" w:cs="Arial" w:eastAsia="Arial" w:hAnsi="Arial"/>
          <w:sz w:val="18"/>
          <w:szCs w:val="18"/>
          <w:color w:val="auto"/>
        </w:rPr>
        <w:t>The $12.3 million decrease in interest income for fiscal year 2025 compared to fiscal year 2024 was primarily due to the interest income received from a litigation settlement in the prior year period (see Note 15 — Contingencies to our consolidated financial statements) and the lower interest earned as a result of lower average invested balance in combination with lower interest rate.</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$21.5 million increase in interest expense in fiscal year 2025 compared to fiscal year 2024 was primarily the result of the effects of increased interest expense arising from our increased level of indebtedness following the closing of the Inmarsat Acquisition in May 2023 and the refinancing of certain debt at a higher interest rate.</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income tax benefit in fiscal year 2025 primarily reflected the tax benefit from our loss before income taxes, partially offset by a valuation allowance recorded against our U.S. net deferred tax assets. The income tax benefit in fiscal year 2024 primarily reflected the tax benefit from our loss before income taxes, partially offset by a valuation allowance recorded against our U.S. net deferred tax assets. Our valuation allowance against deferred tax assets increased from $353.6 million at March 31, 2024 to $430.5 million at March 31, 2025. The valuation allowance relates to federal, state, and foreign net operating loss carryforwards, federal and state R&amp;D tax credit carryforwards and foreign tax credit carryforwards.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Segment Results for Fiscal Year 2025 Compared to Fiscal Year 2024</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199"/>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(Decrease)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3,022.3</w:t>
            </w:r>
          </w:p>
        </w:tc>
        <w:tc>
          <w:tcPr>
            <w:tcW w:w="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2,798.5</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223.8</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line="202"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276.1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(66.9)</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3,298.5</w:t>
            </w:r>
          </w:p>
        </w:tc>
        <w:tc>
          <w:tcPr>
            <w:tcW w:w="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3,141.5</w:t>
            </w:r>
          </w:p>
        </w:tc>
        <w:tc>
          <w:tcPr>
            <w:tcW w:w="36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156.9</w:t>
            </w:r>
          </w:p>
        </w:tc>
        <w:tc>
          <w:tcPr>
            <w:tcW w:w="2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communication services segment revenues increased by $156.9 million due to a $223.8 million increase in service revenues, partially offset by a $66.9 million decrease in product revenues. The Inmarsat Acquisition contributed approximately $329.6 million to the increase in service revenues in our communication services segment, as a result of a full year of contribution compared to only ten months in the prior year period coupled with higher revenues contributed by Inmarsat in the current year period. Furthermore, with respect to segment service revenues, the inclusion of a full year of contribution from Inmarsat, the Inmarsat service revenue increase year-over-year and growth in our aviation services were partially offset by an expected decrease in service revenues from fixed services and other as we continued to allocate a greater proportion of our bandwidth to our IFC business in preference to our U.S. fixed services business due to bandwidth constraints. The IFC service revenue increase was driven primarily by the increase in the number of commercial aircraft and business jets receiving our in-flight services through our IFC systems, with our IFC systems installed and in service on approximately 4,120 commercial aircraft (of which approximately 90 were inactive mostly due to standard aircraft maintenance) and approximately 2,000 business jets as of March 31, 2025, compared to approximately 3,720 commercial aircraft (of which approximately 70 were inactive at quarter end mostly due to standard aircraft maintenance) and approximately 1,800 business jets as of March 31, 2024. The decrease in segment product revenues was primarily driven by a $56.0 million decrease in aviation products, due to accelerated IFC terminal deliveries in the prior year period, and a $16.4 million decrease in government satcom.</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March 31,</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9"/>
              <w:spacing w:after="0" w:line="147"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(50.2)</w:t>
            </w:r>
          </w:p>
        </w:tc>
        <w:tc>
          <w:tcPr>
            <w:tcW w:w="2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(817.1)</w:t>
            </w:r>
          </w:p>
        </w:tc>
        <w:tc>
          <w:tcPr>
            <w:tcW w:w="1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766.8</w:t>
            </w:r>
          </w:p>
        </w:tc>
        <w:tc>
          <w:tcPr>
            <w:tcW w:w="1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39"/>
        </w:trPr>
        <w:tc>
          <w:tcPr>
            <w:tcW w:w="46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3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decrease in our communication services segment operating loss was primarily due to the recording of satellite impairment and related charges, net of estimated insurance claim receivables of approximately $905.5 million in the prior year period, as described above, and higher earnings contributions of $ 40.7 million, mainly due to increased service revenues as a result of the Inmarsat Acquisition. We also experienced a $21.5 million decrease in IR&amp;D expenses (primarily related to next-generation consumer broadband integrated networking technologies). The decrease in segment operating loss was partially offset by a $169.4 million impairment related to ground network as a result of our exit activities from certain locations in EMEA markets, recorded in the fourth quarter of fiscal year 2025, as well as an increase of $31.5 million in SG&amp;A expenses (reflecting the inclusion of a full year of Inmarsat SG&amp;A costs in the current year period compared to only ten months of Inmarsat SG&amp;A costs in the prior year period).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7"/>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Increase</w:t>
            </w:r>
          </w:p>
        </w:tc>
        <w:tc>
          <w:tcPr>
            <w:tcW w:w="13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r>
      <w:tr>
        <w:trPr>
          <w:trHeight w:val="196"/>
        </w:trPr>
        <w:tc>
          <w:tcPr>
            <w:tcW w:w="51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203.4</w:t>
            </w: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206.1</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w:t>
            </w: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Segment product revenues</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1,017.7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81.5</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1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1,221.1</w:t>
            </w:r>
          </w:p>
        </w:tc>
        <w:tc>
          <w:tcPr>
            <w:tcW w:w="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1,142.2</w:t>
            </w:r>
          </w:p>
        </w:tc>
        <w:tc>
          <w:tcPr>
            <w:tcW w:w="2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78.9</w:t>
            </w:r>
          </w:p>
        </w:tc>
        <w:tc>
          <w:tcPr>
            <w:tcW w:w="13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7%</w:t>
            </w:r>
          </w:p>
        </w:tc>
      </w:tr>
    </w:tbl>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Our defense and advanced technologies segment revenues increased by $78.9 million due to an $81.5 million increase in product revenues, partially offset by a $2.7 million decrease in service revenues. The increase in segment product revenues was primarily due to a $117.5 million increase in tactical networking (mostly related to tactical terrestrial networking), and a $23.4 million increase in information security and cyber defense. The increase in segment product revenues was partially offset by $58.2 million of lower contributions from certain licensing agreements related to a litigation settlement, in advanced technologies and other in the current year period (see Note 15 — Contingencies to our consolidated financial statements for more information). The decrease in segment service revenues was primarily due to a $6.6 million decrease in information security and cyber defense, partially offset by a $3.9 million increase in space and mission systems.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560"/>
              <w:spacing w:after="0" w:line="147" w:lineRule="exact"/>
              <w:rPr>
                <w:sz w:val="20"/>
                <w:szCs w:val="20"/>
                <w:color w:val="auto"/>
              </w:rPr>
            </w:pPr>
            <w:r>
              <w:rPr>
                <w:rFonts w:ascii="Arial" w:cs="Arial" w:eastAsia="Arial" w:hAnsi="Arial"/>
                <w:sz w:val="14"/>
                <w:szCs w:val="14"/>
                <w:b w:val="1"/>
                <w:bCs w:val="1"/>
                <w:color w:val="auto"/>
              </w:rPr>
              <w:t>March 31,</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9"/>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43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216.7</w:t>
            </w:r>
          </w:p>
        </w:tc>
        <w:tc>
          <w:tcPr>
            <w:tcW w:w="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154.4</w:t>
            </w:r>
          </w:p>
        </w:tc>
        <w:tc>
          <w:tcPr>
            <w:tcW w:w="2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62.3</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39"/>
        </w:trPr>
        <w:tc>
          <w:tcPr>
            <w:tcW w:w="43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3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increase in our defense and advanced technologies segment operating profit was primarily due to higher earnings contributions of $67.6 million, mainly driven by increased revenues and improved margins in tactical networking products, with a higher mix of our tactical terrestrial networking product revenues associated with royalty and licensing agreements versus hardware and other product related revenues, as well as lower SG&amp;A costs of $8.0 million. The increase in operating profit was partially offset by a $13.3 million increase in IR&amp;D expenses (primarily related to other advanced technologies products).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30"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Fiscal Year 2024 Compared to Fiscal Year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73"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ind w:right="117"/>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9"/>
              <w:spacing w:after="0" w:line="147"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2"/>
                <w:szCs w:val="12"/>
                <w:color w:val="auto"/>
              </w:rPr>
            </w:pPr>
          </w:p>
        </w:tc>
        <w:tc>
          <w:tcPr>
            <w:tcW w:w="12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Service revenues</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3,004.6</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1,602.0</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1,402.6</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Product revenues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1,279.2</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325.0</w:t>
            </w:r>
          </w:p>
        </w:tc>
        <w:tc>
          <w:tcPr>
            <w:tcW w:w="14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4,283.8</w:t>
            </w:r>
          </w:p>
        </w:tc>
        <w:tc>
          <w:tcPr>
            <w:tcW w:w="3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2,556.2</w:t>
            </w:r>
          </w:p>
        </w:tc>
        <w:tc>
          <w:tcPr>
            <w:tcW w:w="3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1,727.6</w:t>
            </w:r>
          </w:p>
        </w:tc>
        <w:tc>
          <w:tcPr>
            <w:tcW w:w="14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Our total revenues grew by $1,727.6 million as a result of a $1,402.6 million increase in service revenues and a $325.0 million increase in product revenues, which increases reflected ten months of contribution from the Inmarsat Acquisition in fiscal year 2024. The service revenue increase was due to increases of $ 1,362.9 million in our communication services segment and $39.7 million in our defense and advanced technologies segment. The increase in product revenues was driven primarily by increases of $251.1 million in our defense and advanced technologies segment and $73.9 million in our communication services segment.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7"/>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4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Cost of service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1,928.7</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1,098.3</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830.4</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Cost of product revenues</w:t>
            </w:r>
          </w:p>
        </w:tc>
        <w:tc>
          <w:tcPr>
            <w:tcW w:w="1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736.4</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236.9</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5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2,902.1</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1,834.8</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1,067.3</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58%</w:t>
            </w:r>
          </w:p>
        </w:tc>
      </w:tr>
    </w:tbl>
    <w:p>
      <w:pPr>
        <w:spacing w:after="0" w:line="25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Cost of revenues increased by $1,067.3 million due to an increase of $830.4 million in cost of service revenues and $ 236.9 million in cost of product revenues. The cost of service revenues increase was primarily due to increased service revenues, mainly in our communication services segment, causing a $961.6 million increase in cost of service revenues on a constant margin basis. The increase in cost of service revenues was partially offset by higher margins, primarily driven by our communication services segment. The cost of product revenue increase was primarily due to increased product revenues, mainly from our defense and advanced technologies segment, causing a $230.3 million increase in cost of product revenues on a constant margin basis, prior to the effects of product revenues related to the one-time benefit from a litigation settlement (see Note 15 — Contingencies to our consolidated financial statements for more information). The increase in cost of product revenues was further increased by lower margins, primarily driven by our communication services segment.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2"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82"/>
              <w:spacing w:after="0" w:line="147"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44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1,893.7</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718.6</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1,175.0</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164%</w:t>
            </w:r>
          </w:p>
        </w:tc>
      </w:tr>
    </w:tbl>
    <w:p>
      <w:pPr>
        <w:spacing w:after="0" w:line="17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$ 1,175.0 million increase in SG&amp;A expenses was driven primarily by a net loss of approximately $905.5 million related to satellite impairment, including liabilities associated with the termination of certain subcontractor agreements, net of estimated insurance claim receivables recorded in our communication services segment, and also reflected acquisition and integration costs associated with the Inmarsat Acquisition. See Note 1 — The Company and a Summary of Its Significant Accounting Policies — Property, equipment and satellites to our consolidated financial statements for more information. Additionally, we experienced an increase in support costs of $212.6 million, primarily in our communication services segment, which reflected the inclusion of ten months of support costs relating to the Inmarsat business for the period following the Inmarsat Acquisition. The increase in SG&amp;A expenses was also driven by $59.5 million in higher selling costs, reflected primarily in our communication services segment.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92"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5"/>
          </w:tcPr>
          <w:p>
            <w:pPr>
              <w:ind w:left="46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4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March 31,</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02"/>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4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Independent research and development</w:t>
            </w:r>
          </w:p>
        </w:tc>
        <w:tc>
          <w:tcPr>
            <w:tcW w:w="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150.7</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128.9</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21.7</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r>
    </w:tbl>
    <w:p>
      <w:pPr>
        <w:spacing w:after="0" w:line="170"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$21.7 million increase in IR&amp;D expenses was mainly the result of a $16.3 million increase in our defense and advanced technologies segment (primarily related to tactical satcom radio products and information assurance projects) and a $5.4 million increase in our communication services segment (primarily related to the inclusion of IR&amp;D expenses relating to the Inmarsat business for the period following the Inmarsat Acquisition).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75" w:lineRule="exact"/>
        <w:rPr>
          <w:sz w:val="20"/>
          <w:szCs w:val="20"/>
          <w:color w:val="auto"/>
        </w:rPr>
      </w:pPr>
    </w:p>
    <w:p>
      <w:pPr>
        <w:ind w:right="440" w:firstLine="509"/>
        <w:spacing w:after="0" w:line="271" w:lineRule="auto"/>
        <w:rPr>
          <w:sz w:val="20"/>
          <w:szCs w:val="20"/>
          <w:color w:val="auto"/>
        </w:rPr>
      </w:pPr>
      <w:r>
        <w:rPr>
          <w:rFonts w:ascii="Arial" w:cs="Arial" w:eastAsia="Arial" w:hAnsi="Arial"/>
          <w:sz w:val="18"/>
          <w:szCs w:val="18"/>
          <w:color w:val="auto"/>
        </w:rPr>
        <w:t>The $197.4 million increase in amortization of acquired intangible assets in fiscal year 2024 compared to the prior fiscal year was primarily related to the amortization of acquired intangibles as a result of the Inmarsat Acquisition in May 2023.</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$76.7 million increase in interest income for fiscal year 2024 compared to fiscal year 2023 was primarily due to the interest earned on the invested portion of the cash related to proceeds of approximately $1.96 billion received from L3Harris in the Link-16 TDL Sale as well as cash acquired as part of the Inmarsat Acquisition.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5"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The $373.6 million increase in interest expense in fiscal year 2024 compared to fiscal year 2023 was primarily the result of the effects of increased interest expense arising from our increased level of indebtedness following the closing of the Inmarsat Acquisition in May 2023. The increase in interest expense was partially offset by an increase in the amount of interest capitalized during fiscal year 2024 compared to the prior year period.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income tax benefit in fiscal year 2024 primarily reflected the tax benefit from our loss before income taxes, partially offset by a valuation allowance recorded against our U.S. net deferred tax assets. The income tax provision in fiscal year 2023 primarily reflected the establishment of a valuation allowance on the deferred tax asset for California R&amp;D tax credits and the expense for tax deficiencies upon settlement of stock-based compensation during the period, partially offset by the benefit of federal R&amp;D tax credits. Our valuation allowance against deferred tax assets increased from $150.0 million at March 31, 2023 to $353.6 million at March 31, 2024. The valuation allowance relates to federal, state, and foreign net operating loss carryforwards, federal and state R&amp;D tax credit carryforwards and foreign tax credit carryforwards.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2024 Compared to Fiscal Year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8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7"/>
              <w:spacing w:after="0" w:line="147"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3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1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(Decrease)</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2,798.5</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1,435.6</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1,362.9</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269.1</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73.9</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2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3,141.5</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1,704.8</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1,436.8</w:t>
            </w:r>
          </w:p>
        </w:tc>
        <w:tc>
          <w:tcPr>
            <w:tcW w:w="13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communication services segment revenues increased by $1,436.8 million due to a $1,362.9 million increase in service revenues and a $73.9 million increase in product revenues. The increase in segment service revenues was primarily attributable to the Inmarsat Acquisition in May 2023 (which contributed to a $1,363.4 million increase in segment service revenues) and a $160.5 million increase in aviation service revenues (reflecting a continued increase in both the number of commercial aircraft receiving our in-flight services through IFC systems and passenger air traffic), partially offset by an expected decrease in revenues from fixed services and other as we continued to allocate a greater proportion of our bandwidth to our IFC business in preference to our U.S. fixed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0" w:right="379" w:bottom="1440" w:gutter="0" w:footer="0" w:header="0"/>
        </w:sectPr>
      </w:pPr>
    </w:p>
    <w:bookmarkStart w:id="62" w:name="page63"/>
    <w:bookmarkEnd w:id="62"/>
    <w:p>
      <w:pPr>
        <w:ind w:right="520"/>
        <w:spacing w:after="0" w:line="271" w:lineRule="auto"/>
        <w:rPr>
          <w:sz w:val="20"/>
          <w:szCs w:val="20"/>
          <w:color w:val="auto"/>
        </w:rPr>
      </w:pPr>
      <w:r>
        <w:rPr>
          <w:rFonts w:ascii="Arial" w:cs="Arial" w:eastAsia="Arial" w:hAnsi="Arial"/>
          <w:sz w:val="18"/>
          <w:szCs w:val="18"/>
          <w:color w:val="auto"/>
        </w:rPr>
        <w:t>services business due to bandwidth constraints. The increase in segment product revenues was primarily attributable to a $72.5 million contribution from the Inmarsat Acquisition.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5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9"/>
              <w:spacing w:after="0" w:line="147"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rPr>
              <w:t>(Increase)</w:t>
            </w: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r>
      <w:tr>
        <w:trPr>
          <w:trHeight w:val="196"/>
        </w:trPr>
        <w:tc>
          <w:tcPr>
            <w:tcW w:w="56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(817.1)</w:t>
            </w:r>
          </w:p>
        </w:tc>
        <w:tc>
          <w:tcPr>
            <w:tcW w:w="24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line="196" w:lineRule="exact"/>
              <w:rPr>
                <w:sz w:val="20"/>
                <w:szCs w:val="20"/>
                <w:color w:val="auto"/>
              </w:rPr>
            </w:pPr>
            <w:r>
              <w:rPr>
                <w:rFonts w:ascii="Arial" w:cs="Arial" w:eastAsia="Arial" w:hAnsi="Arial"/>
                <w:sz w:val="18"/>
                <w:szCs w:val="18"/>
                <w:color w:val="auto"/>
              </w:rPr>
              <w:t>(189.4)</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(627.7)</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(331)%</w:t>
            </w:r>
          </w:p>
        </w:tc>
      </w:tr>
      <w:tr>
        <w:trPr>
          <w:trHeight w:val="239"/>
        </w:trPr>
        <w:tc>
          <w:tcPr>
            <w:tcW w:w="56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34"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increase in our communication services segment operating loss was primarily due to the recording of satellite impairment and related charges, net of estimated insurance claim receivables of approximately $905.5 million in fiscal year 2024, as described above, as well as a $239.4 million increase in SG&amp;A costs and a $5.4 million increase in IR&amp;D expenses (primarily related to the inclusion of expenses related to the Inmarsat business for the period following the Inmarsat Acquisition). The increase in our segment operating loss was partially offset by higher earnings contributions of $522.7 million, mainly due to an increase in segment service revenues as a result of the Inmarsat Acquisition and improved margins in our aviation services as they continued to scale.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42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7"/>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5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service revenues</w:t>
            </w:r>
          </w:p>
        </w:tc>
        <w:tc>
          <w:tcPr>
            <w:tcW w:w="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206.1</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166.4</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39.7</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Segment product revenues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251.1</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segment revenues</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1,142.2</w:t>
            </w:r>
          </w:p>
        </w:tc>
        <w:tc>
          <w:tcPr>
            <w:tcW w:w="3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851.4</w:t>
            </w: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290.8</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r>
    </w:tbl>
    <w:p>
      <w:pPr>
        <w:spacing w:after="0" w:line="170"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defense and advanced technologies segment revenues increased by $290.8 million due to a $251.1 million increase in product revenues and a $39.7 million increase in service revenues. The increase in segment product revenues was primarily due to increases of $120.5 million in information security and cyber defense, $57.7 million in advanced technologies and other, mainly related to higher contributions from certain licensing agreements in advanced technologies and other in fiscal year 2024 compared to fiscal year 2023 (see Note 15 — Contingencies to our consolidated financial statements for more information), $50.0 million in space and mission systems, $23.0 million in tactical networking. The increase in segment service revenues was primarily driven by increases of $18.7 million in space and mission systems, $7.4 million in tactical networking, $7.0 million in advanced technologies and other and $6.5 million in information security and cyber defense.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Fiscal Years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46"/>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March 31,</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9"/>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Increase</w:t>
            </w:r>
          </w:p>
        </w:tc>
        <w:tc>
          <w:tcPr>
            <w:tcW w:w="13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Increase</w:t>
            </w:r>
          </w:p>
        </w:tc>
      </w:tr>
      <w:tr>
        <w:trPr>
          <w:trHeight w:val="171"/>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60" w:type="dxa"/>
            <w:vAlign w:val="bottom"/>
          </w:tcPr>
          <w:p>
            <w:pPr>
              <w:spacing w:after="0"/>
              <w:rPr>
                <w:sz w:val="14"/>
                <w:szCs w:val="14"/>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Segment operating profit (loss)</w:t>
            </w:r>
          </w:p>
        </w:tc>
        <w:tc>
          <w:tcPr>
            <w:tcW w:w="3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154.4</w:t>
            </w:r>
          </w:p>
        </w:tc>
        <w:tc>
          <w:tcPr>
            <w:tcW w:w="2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63.3</w:t>
            </w:r>
          </w:p>
        </w:tc>
        <w:tc>
          <w:tcPr>
            <w:tcW w:w="20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91.2</w:t>
            </w:r>
          </w:p>
        </w:tc>
        <w:tc>
          <w:tcPr>
            <w:tcW w:w="1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34"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The increase in our defense and advanced technologies segment operating profit was primarily due to higher earnings contributions of $137.5 million, mainly due to an increase in segment product revenues. The increase in our segment operating profit was partially offset by a $30.1 million increase in SG&amp;A costs and a $16.3 million increase in IR&amp;D expenses (primarily related to tactical satcom radio products and information assurance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Backlog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firm and funded backlog as of March 31, 2025 is reflected in the table below.</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71"/>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March 31, 2025</w:t>
            </w:r>
          </w:p>
        </w:tc>
      </w:tr>
      <w:tr>
        <w:trPr>
          <w:trHeight w:val="156"/>
        </w:trPr>
        <w:tc>
          <w:tcPr>
            <w:tcW w:w="60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03"/>
        </w:trPr>
        <w:tc>
          <w:tcPr>
            <w:tcW w:w="60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Firm backlog</w:t>
            </w:r>
          </w:p>
        </w:tc>
        <w:tc>
          <w:tcPr>
            <w:tcW w:w="2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Communication services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2,568.8</w:t>
            </w:r>
          </w:p>
        </w:tc>
        <w:tc>
          <w:tcPr>
            <w:tcW w:w="80" w:type="dxa"/>
            <w:vAlign w:val="bottom"/>
          </w:tcPr>
          <w:p>
            <w:pPr>
              <w:spacing w:after="0"/>
              <w:rPr>
                <w:sz w:val="17"/>
                <w:szCs w:val="17"/>
                <w:color w:val="auto"/>
              </w:rPr>
            </w:pPr>
          </w:p>
        </w:tc>
      </w:tr>
      <w:tr>
        <w:trPr>
          <w:trHeight w:val="202"/>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Defense and advanced technologies</w:t>
            </w: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984.0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3,552.8</w:t>
            </w:r>
          </w:p>
        </w:tc>
        <w:tc>
          <w:tcPr>
            <w:tcW w:w="8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60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Funded backlog</w:t>
            </w:r>
          </w:p>
        </w:tc>
        <w:tc>
          <w:tcPr>
            <w:tcW w:w="2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203"/>
        </w:trPr>
        <w:tc>
          <w:tcPr>
            <w:tcW w:w="6020" w:type="dxa"/>
            <w:vAlign w:val="bottom"/>
          </w:tcPr>
          <w:p>
            <w:pPr>
              <w:spacing w:after="0" w:line="202" w:lineRule="exact"/>
              <w:rPr>
                <w:sz w:val="20"/>
                <w:szCs w:val="20"/>
                <w:color w:val="auto"/>
              </w:rPr>
            </w:pPr>
            <w:r>
              <w:rPr>
                <w:rFonts w:ascii="Arial" w:cs="Arial" w:eastAsia="Arial" w:hAnsi="Arial"/>
                <w:sz w:val="18"/>
                <w:szCs w:val="18"/>
                <w:color w:val="auto"/>
              </w:rPr>
              <w:t>Communication services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2,496.3</w:t>
            </w:r>
          </w:p>
        </w:tc>
        <w:tc>
          <w:tcPr>
            <w:tcW w:w="80" w:type="dxa"/>
            <w:vAlign w:val="bottom"/>
          </w:tcPr>
          <w:p>
            <w:pPr>
              <w:spacing w:after="0"/>
              <w:rPr>
                <w:sz w:val="17"/>
                <w:szCs w:val="17"/>
                <w:color w:val="auto"/>
              </w:rPr>
            </w:pPr>
          </w:p>
        </w:tc>
      </w:tr>
      <w:tr>
        <w:trPr>
          <w:trHeight w:val="203"/>
        </w:trPr>
        <w:tc>
          <w:tcPr>
            <w:tcW w:w="6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Defense and advanced technologies</w:t>
            </w:r>
          </w:p>
        </w:tc>
        <w:tc>
          <w:tcPr>
            <w:tcW w:w="2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817.0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020" w:type="dxa"/>
            <w:vAlign w:val="bottom"/>
          </w:tcPr>
          <w:p>
            <w:pPr>
              <w:ind w:left="14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3,313.3</w:t>
            </w:r>
          </w:p>
        </w:tc>
        <w:tc>
          <w:tcPr>
            <w:tcW w:w="80" w:type="dxa"/>
            <w:vAlign w:val="bottom"/>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-711200</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-162560</wp:posOffset>
            </wp:positionV>
            <wp:extent cx="4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firm backlog does not include contract options. As of March 31, 2025, approximately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March 31, 2025, our IFC systems were installed and in service on approximately 4,120 commercial aircraft, of which approximately 90 were inactive at fiscal year end (mostly due to standard aircraft maintenance). We anticipate that approximately 1,600 additional commercial aircraft will be put into service with our IFC systems under existing customer agreements with commercial airlines. Due to the nature of commercial airline contracts, there can be no assurance that all anticipated purchase orders and requests will be placed or that anticipated IFC services will be activated on all such additional commercial aircraft.</w:t>
      </w:r>
    </w:p>
    <w:p>
      <w:pPr>
        <w:spacing w:after="0" w:line="129"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Our total new awards which exclude future revenue under recurring consumer commitment arrangements were approximately $4.7 billion for fiscal year 2025 and $4.2 billion for fiscal year 2024.</w:t>
      </w:r>
    </w:p>
    <w:p>
      <w:pPr>
        <w:spacing w:after="0" w:line="100"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March 31, 2025, we had $1.6 billion in cash and cash equivalents, $1.2 billion in working capital, no outstanding borrowings and borrowing availability of $ 593.3 million under the Viasat Revolving Credit Facility and no outstanding borrowings and borrowing availability of $ 550.0 million under the Inmarsat Revolving Credit Facility. At March 31, 2024, we had $1.9 billion in cash and cash equivalents, $2.2 billion in working capital, no outstanding borrowings and borrowing availability of $591.5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ind w:right="240" w:firstLine="509"/>
        <w:spacing w:after="0" w:line="253" w:lineRule="auto"/>
        <w:rPr>
          <w:sz w:val="20"/>
          <w:szCs w:val="20"/>
          <w:color w:val="auto"/>
        </w:rPr>
      </w:pPr>
      <w:r>
        <w:rPr>
          <w:rFonts w:ascii="Arial" w:cs="Arial" w:eastAsia="Arial" w:hAnsi="Arial"/>
          <w:sz w:val="18"/>
          <w:szCs w:val="18"/>
          <w:color w:val="auto"/>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spacing w:after="0" w:line="34" w:lineRule="exact"/>
        <w:rPr>
          <w:sz w:val="20"/>
          <w:szCs w:val="20"/>
          <w:color w:val="auto"/>
        </w:rPr>
      </w:pPr>
    </w:p>
    <w:p>
      <w:pPr>
        <w:ind w:left="1020" w:right="28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cash needs of our communication services segment tend to be driven by the timing and amount of capital expenditures (e.g., payments under satellite construction and launch contracts and investments in ground infrastructure roll-out), the timing and amount of investments in IR&amp;D activities (including with respect to next-generation satellite payload technologies), investments in joint ventures, strategic partnering arrangements, network expansion activities, investments to obtain STCs to enable the retrofit installation of our IFC and W-IFE equipment and investments in platforms and software to support our services and entry into new markets, as well as the quality of customer, type of contract and payment terms, and timing and amount of recoveries under satellite insurance claims.</w:t>
      </w:r>
    </w:p>
    <w:p>
      <w:pPr>
        <w:spacing w:after="0" w:line="48" w:lineRule="exact"/>
        <w:rPr>
          <w:rFonts w:ascii="Times New Roman" w:cs="Times New Roman" w:eastAsia="Times New Roman" w:hAnsi="Times New Roman"/>
          <w:sz w:val="18"/>
          <w:szCs w:val="18"/>
          <w:color w:val="auto"/>
        </w:rPr>
      </w:pPr>
    </w:p>
    <w:p>
      <w:pPr>
        <w:ind w:left="1020" w:right="100" w:hanging="503"/>
        <w:spacing w:after="0" w:line="243"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 our defense and advanced technologies segment, the primary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spacing w:after="0" w:line="126"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w:t>
      </w:r>
    </w:p>
    <w:p>
      <w:pPr>
        <w:spacing w:after="0" w:line="10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a result of the divestiture of the Link-16 TDL Business, we took measures to mitigate the impact of stranded costs and to right-size our remaining businesses by reducing discretionary spending and by undertaking cost-reduction measures, including reducing our real estate footprint and workforce, which measures resulted in approximately $40 million of expenses during the fourth quarter of fiscal year 2023, primarily recorded in our SG&amp;A.</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November 2023, we announced an important milestone in our integration program following our Inmarsat Acquisition. As part of our ongoing strategy to streamline operations and better serve our growing customer base, we completed our work on the rationalization of roles in our global business, which was intended to achieve both operational and cost efficiencies. As part of the role rationalization, we reduced our global workforce by approximately 800 positions, or approximately 10%, and recorded total costs (primarily related to employee severance payments, benefits and related termination costs) of approximately $48 million during fiscal year 2024. These one-time costs were recorded within operating expenses in our consolidated statements of operations and comprehensive income (loss) in both of our segments.</w:t>
      </w:r>
    </w:p>
    <w:p>
      <w:pPr>
        <w:spacing w:after="0" w:line="12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 as well as divestitures of non-core assets or businesses, such as the divestiture of our energy services system integration business in December 2024.</w:t>
      </w:r>
    </w:p>
    <w:p>
      <w:pPr>
        <w:spacing w:after="0" w:line="12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may, from time to time, seek to retire, prepay or repurchase our outstanding debt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During fiscal year 2025, we repurchased $257.5 million in aggregate principal amount of Viasat’s 5.625% Senior Notes due 2025 (the 2025 Notes)) in open market transactions and redeemed the Inmarsat 2026 Notes in full. As a result, in fiscal year 2025, we recorded a net loss on extinguishment of debt of approximately $99.8 million in (loss) gain on extinguishment of debt, net, mainly related to the redemption of the Inmarsat 2026 Notes (attributable to the related unamortized fair value adjustment made in purchase accounting). Subsequent to fiscal year end, we redeemed all remaining 2025 Notes in full. 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fiscal year 2025 was $908.2 million compared to $688.2 million for fiscal year 2024.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$220.0 million increase was driven by a $211.7 million year-over-year decrease in cash used to fund net operating assets and our operating</w:t>
      </w:r>
    </w:p>
    <w:p>
      <w:pPr>
        <w:spacing w:after="0" w:line="234" w:lineRule="auto"/>
        <w:rPr>
          <w:sz w:val="20"/>
          <w:szCs w:val="20"/>
          <w:color w:val="auto"/>
        </w:rPr>
      </w:pPr>
      <w:r>
        <w:rPr>
          <w:rFonts w:ascii="Arial" w:cs="Arial" w:eastAsia="Arial" w:hAnsi="Arial"/>
          <w:sz w:val="18"/>
          <w:szCs w:val="18"/>
          <w:color w:val="auto"/>
        </w:rPr>
        <w:t>results (net income (loss) adjusted for depreciation, amortization and other non-cash charges) which resulted in $8.3 million of higher cash</w:t>
      </w:r>
    </w:p>
    <w:p>
      <w:pPr>
        <w:spacing w:after="0" w:line="235" w:lineRule="auto"/>
        <w:rPr>
          <w:sz w:val="20"/>
          <w:szCs w:val="20"/>
          <w:color w:val="auto"/>
        </w:rPr>
      </w:pPr>
      <w:r>
        <w:rPr>
          <w:rFonts w:ascii="Arial" w:cs="Arial" w:eastAsia="Arial" w:hAnsi="Arial"/>
          <w:sz w:val="18"/>
          <w:szCs w:val="18"/>
          <w:color w:val="auto"/>
        </w:rPr>
        <w:t>provided by operating activities year-over-year. The decrease in cash used to fund net operating assets during fiscal year 2025 when</w:t>
      </w:r>
    </w:p>
    <w:p>
      <w:pPr>
        <w:spacing w:after="0" w:line="235" w:lineRule="auto"/>
        <w:rPr>
          <w:sz w:val="20"/>
          <w:szCs w:val="20"/>
          <w:color w:val="auto"/>
        </w:rPr>
      </w:pPr>
      <w:r>
        <w:rPr>
          <w:rFonts w:ascii="Arial" w:cs="Arial" w:eastAsia="Arial" w:hAnsi="Arial"/>
          <w:sz w:val="18"/>
          <w:szCs w:val="18"/>
          <w:color w:val="auto"/>
        </w:rPr>
        <w:t>compared to the prior year period was primarily due to timing of payments related to our income tax payables, accrued liabilities and</w:t>
      </w:r>
    </w:p>
    <w:p>
      <w:pPr>
        <w:spacing w:after="0" w:line="235" w:lineRule="auto"/>
        <w:rPr>
          <w:sz w:val="20"/>
          <w:szCs w:val="20"/>
          <w:color w:val="auto"/>
        </w:rPr>
      </w:pPr>
      <w:r>
        <w:rPr>
          <w:rFonts w:ascii="Arial" w:cs="Arial" w:eastAsia="Arial" w:hAnsi="Arial"/>
          <w:sz w:val="18"/>
          <w:szCs w:val="18"/>
          <w:color w:val="auto"/>
        </w:rPr>
        <w:t>accounts payable. Cash paid for income taxes, net, during fiscal years 2025 and 2024 was $196.3 million and $200.6 million, respectively.</w:t>
      </w:r>
    </w:p>
    <w:p>
      <w:pPr>
        <w:spacing w:after="0"/>
        <w:rPr>
          <w:sz w:val="20"/>
          <w:szCs w:val="20"/>
          <w:color w:val="auto"/>
        </w:rPr>
      </w:pPr>
      <w:r>
        <w:rPr>
          <w:rFonts w:ascii="Arial" w:cs="Arial" w:eastAsia="Arial" w:hAnsi="Arial"/>
          <w:sz w:val="18"/>
          <w:szCs w:val="18"/>
          <w:color w:val="auto"/>
        </w:rPr>
        <w:t>Cash paid for interest (net of amounts capitalized) during fiscal years 2025 and 2024 was $390.0 million and $229.0 million, respectively.</w:t>
      </w:r>
    </w:p>
    <w:p>
      <w:pPr>
        <w:spacing w:after="0" w:line="140"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Cash used in investing activities for fiscal year 2025 was $758.4 million compared to $1.3 billion for fiscal year 2024. This $532.8 million decrease in cash used in investing activities year-over-year reflected a decrease of $509.2 million in cash used for capital expenditures as well as the $ 342.6 million in cash (net of cash acquired) used for the Inmarsat Acquisition in fiscal year 2024, partially offset by a $257.1 million decrease in cash receipts related to satellite insurance claim proceeds year-over-year.</w:t>
      </w:r>
    </w:p>
    <w:p>
      <w:pPr>
        <w:spacing w:after="0" w:line="12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Cash used in financing activities for fiscal year 2025 was $442.6 million compared to cash provided by financing activities of $1.1 billion for fiscal year 2024. Cash used in financing activities in fiscal year 2025 was primarily comprised of debt repayments of $2.4 billion, partially offset by proceeds from debt borrowings of $ 2.0 billion (which primarily related to the repurchase and refinancing of the Inmarsat 2026 Notes). Cash provided by financing activities in fiscal year 2024 was primarily comprised of proceeds from debt borrowings of approximately $1.7 billion primarily incurred in connection with the Inmarsat Acquisition, partially offset by debt repayments of $567.0 million. See Note 8 — Senior Notes and Other Long-Term Debt for further information.</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Capital expenditures in fiscal year 2025 of $1.0 billion were 33% lower than fiscal year 2024, reflecting efforts to continue to optimize our capital expenditures as we integrate our businesses and prioritize our investments. Our total capital expenditures in fiscal year 2026 may be slightly higher compared to fiscal year 2025, due to timing, however we expect to continue to manage investments in our business as a whole and remain committed to meaningfully reducing aggregate capital expenditures as part of our Inmarsat integration strategy and as satellites currently under construction are completed. See Note 14 — Commitments to our consolidated financial statements for information as of March 31, 2025 regarding our future minimum payments under our satellite construction contracts and other satellite-related purchase commitments (including satellite performance incentive obligations relating to the ViaSat-1 and ViaSat-2 satellites) for the next five fiscal years and thereafter.</w:t>
      </w:r>
    </w:p>
    <w:p>
      <w:pPr>
        <w:spacing w:after="0" w:line="12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Our IR&amp;D investments are expected to continue through fiscal year 2026 and beyond to support our growth, acceleration of new opportunities and entry into new markets (for example direct-to-device). IR&amp;D expenses were approximately 3%, 4% and 5% of total revenues in fiscal years 2025, 2024 and 2023, respectively. As a government contractor, we are able to recover a portion of our IR&amp;D expenses pursuant to our government contracts.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2025, the aggregate principal amount of our total outstanding indebtedness was $7.2 billion, which was comprised of</w:t>
      </w:r>
    </w:p>
    <w:p>
      <w:pPr>
        <w:spacing w:after="0" w:line="14" w:lineRule="exact"/>
        <w:rPr>
          <w:sz w:val="20"/>
          <w:szCs w:val="20"/>
          <w:color w:val="auto"/>
        </w:rPr>
      </w:pPr>
    </w:p>
    <w:p>
      <w:pPr>
        <w:jc w:val="both"/>
        <w:ind w:right="440" w:firstLine="8"/>
        <w:spacing w:after="0" w:line="234"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$442.6 million in aggregate principal amount of the 2025 Notes (which were redeemed in full subsequent to fiscal year end), $600.0 million in aggregate principal amount of Viasat's 5.625% Senior Secured Notes due 2027 (the 2027 Notes), $400.0 million in aggregate principal amount of Viasat's 6.500% Senior Notes due 2028 (the 2028 Notes), $1.975 billion in aggregate principal amount of Inmarsat's</w:t>
      </w:r>
    </w:p>
    <w:p>
      <w:pPr>
        <w:spacing w:after="0" w:line="2" w:lineRule="exact"/>
        <w:rPr>
          <w:rFonts w:ascii="Arial" w:cs="Arial" w:eastAsia="Arial" w:hAnsi="Arial"/>
          <w:sz w:val="18"/>
          <w:szCs w:val="18"/>
          <w:color w:val="auto"/>
        </w:rPr>
      </w:pPr>
    </w:p>
    <w:p>
      <w:pPr>
        <w:spacing w:after="0" w:line="237" w:lineRule="auto"/>
        <w:rPr>
          <w:rFonts w:ascii="Arial" w:cs="Arial" w:eastAsia="Arial" w:hAnsi="Arial"/>
          <w:sz w:val="18"/>
          <w:szCs w:val="18"/>
          <w:color w:val="auto"/>
        </w:rPr>
      </w:pPr>
      <w:r>
        <w:rPr>
          <w:rFonts w:ascii="Arial" w:cs="Arial" w:eastAsia="Arial" w:hAnsi="Arial"/>
          <w:sz w:val="18"/>
          <w:szCs w:val="18"/>
          <w:color w:val="auto"/>
        </w:rPr>
        <w:t>9.000% Senior Secured Notes due 2029 (the Inmarsat 2029 Notes) and $733.4 million in aggregate principal amount of Viasat's 7.500% Senior Notes due 2031 (the 2031 Notes), (2) $680.8 million in principal amount of outstanding borrowings under Viasat's $700.0 million senior secured term loan facility (the 2022 Term Loan Facility), $607.5 million in principal amount of outstanding borrowings under Viasat's $616.7 million senior secured term loan facility (the 2023 Term Loan Facility), $1.6 billion in principal amount of outstanding borrowings under Inmarsat's $1.6 billion senior secured term loan facilities (the Inmarsat Term Loan Facilities), no outstanding borrowings under our Revolving Credit Facilities, and $19.7 million in principal amount of outstanding borrowings under Viasat's direct loan facility with the Export-Import Bank of the United States (the Ex-Im Credit Facility), and (3) $158.5 million of finance lease obligations. For information regarding our outstanding indebtedness, refer to Note 8 — Senior Notes and Other Long-Term Debt to our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Contractual Obligations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Next 12 months</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leases</w:t>
            </w:r>
          </w:p>
        </w:tc>
        <w:tc>
          <w:tcPr>
            <w:tcW w:w="36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89,029</w:t>
            </w:r>
          </w:p>
        </w:tc>
        <w:tc>
          <w:tcPr>
            <w:tcW w:w="5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614,612</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Senior notes and other long-term debt (1)(2)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1,070,565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8,672,616</w:t>
            </w:r>
          </w:p>
        </w:tc>
      </w:tr>
      <w:tr>
        <w:trPr>
          <w:trHeight w:val="203"/>
        </w:trPr>
        <w:tc>
          <w:tcPr>
            <w:tcW w:w="75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Purchase commitments including satellite-related agreements</w:t>
            </w:r>
          </w:p>
        </w:tc>
        <w:tc>
          <w:tcPr>
            <w:tcW w:w="1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806,973</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1,450,251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1,966,567</w:t>
            </w:r>
          </w:p>
        </w:tc>
        <w:tc>
          <w:tcPr>
            <w:tcW w:w="5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10,737,479</w:t>
            </w: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80" w:firstLine="8"/>
        <w:spacing w:after="0" w:line="245" w:lineRule="auto"/>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March 31, 2025 until the applicable maturity date.</w:t>
      </w:r>
    </w:p>
    <w:p>
      <w:pPr>
        <w:ind w:left="400" w:hanging="392"/>
        <w:spacing w:after="0"/>
        <w:tabs>
          <w:tab w:leader="none" w:pos="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2025 Notes, which were redeemed in full subsequent to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6686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20"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spacing w:after="0" w:line="126"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Our consolidated balance sheets included $ 2.2 billion and $2.5 billion of “other liabilities” as of March 31, 2025 and March 31, 2024, respectively, which primarily consisted of deferred income taxes and the long-term portion of deferred revenues. These remaining liabilities have been excluded from the above table as the timing and/or the amount of any cash payment is uncertain.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7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had no material off-balance sheet arrangements at March 31, 2025 as defined in Regulation S-K Item 303(b) other than as discussed under “Contractual Obligations” above or disclosed in the notes to our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7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For information regarding recently adopted and issued accounting pronouncements, see Note 1 — The Company and a Summary of Its Significant Accounting Policies to the consolidated financial statements</w:t>
      </w:r>
      <w:r>
        <w:rPr>
          <w:rFonts w:ascii="Arial" w:cs="Arial" w:eastAsia="Arial" w:hAnsi="Arial"/>
          <w:sz w:val="18"/>
          <w:szCs w:val="18"/>
          <w:i w:val="1"/>
          <w:iCs w:val="1"/>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7" w:name="page68"/>
    <w:bookmarkEnd w:id="67"/>
    <w:p>
      <w:pPr>
        <w:ind w:right="4040"/>
        <w:spacing w:after="0" w:line="328"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Our financial instruments consist of cash and cash equivalents, restricted cash,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spacing w:after="0" w:line="12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3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primary interest rate under our variable rate Credit Facilities is the forward-looking term SOFR rate plus an applicable margin. As of March 31, 2025, the effective interest rate on our outstanding borrowings under the 2022 Term Loan Facility was 9.47% and under the 2023 Term Loan Facility was 9.93%. As of March 31, 2025, the weighted average effective interest rate under the Inmarsat Term Loan Facilities was approximately 9.17%. As of March 31, 2024, the effective interest rate that would have been applied to any new SOFR-based borrowings under the Viasat Revolving Credit Facility was approximately 7.05%, and under the Inmarsat Revolving Credit Facility was approximately 7.07%. As of March 31, 2025,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by approximately $25.5 million over a 12-month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fiscal years ended March 31, 2025 and 2024.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consolidated financial statements at March 31, 2025 and March 31, 2024 and for each of the three fiscal years in the period ended March 31, 2025, and the Report of PricewaterhouseCoopers LLP, Independent Registered Public Accounting Firm (PCAOB ID 238), are included in this report on pages F-1 through F-53.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2025 and 2024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1st Quarter</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3rd Quarter</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14"/>
                <w:szCs w:val="14"/>
                <w:color w:val="auto"/>
              </w:rPr>
            </w:pPr>
          </w:p>
        </w:tc>
      </w:tr>
      <w:tr>
        <w:trPr>
          <w:trHeight w:val="155"/>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gridSpan w:val="6"/>
          </w:tcPr>
          <w:p>
            <w:pPr>
              <w:jc w:val="right"/>
              <w:ind w:right="46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2025</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1,126,460</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1,122,262</w:t>
            </w:r>
          </w:p>
        </w:tc>
        <w:tc>
          <w:tcPr>
            <w:tcW w:w="160" w:type="dxa"/>
            <w:vAlign w:val="bottom"/>
          </w:tcPr>
          <w:p>
            <w:pPr>
              <w:spacing w:after="0"/>
              <w:rPr>
                <w:sz w:val="17"/>
                <w:szCs w:val="17"/>
                <w:color w:val="auto"/>
              </w:rPr>
            </w:pPr>
          </w:p>
        </w:tc>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1,123,767</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1,147,082</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59,735</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(24,678)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21,248</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(153,785)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 from continuing operations</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(21,687)</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(121,796)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(146,907)</w:t>
            </w:r>
          </w:p>
        </w:tc>
        <w:tc>
          <w:tcPr>
            <w:tcW w:w="2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(240,735)</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from discontinued operations, net of tax</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(21,687)</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(121,796)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(146,907)</w:t>
            </w:r>
          </w:p>
        </w:tc>
        <w:tc>
          <w:tcPr>
            <w:tcW w:w="2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(240,735)</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(32,912)</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(137,584)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(158,413)</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(246,053)</w:t>
            </w:r>
          </w:p>
        </w:tc>
      </w:tr>
      <w:tr>
        <w:trPr>
          <w:trHeight w:val="184"/>
        </w:trPr>
        <w:tc>
          <w:tcPr>
            <w:tcW w:w="4960" w:type="dxa"/>
            <w:vAlign w:val="bottom"/>
          </w:tcPr>
          <w:p>
            <w:pPr>
              <w:spacing w:after="0" w:line="183" w:lineRule="exact"/>
              <w:rPr>
                <w:sz w:val="20"/>
                <w:szCs w:val="20"/>
                <w:color w:val="auto"/>
              </w:rPr>
            </w:pPr>
            <w:r>
              <w:rPr>
                <w:rFonts w:ascii="Arial" w:cs="Arial" w:eastAsia="Arial" w:hAnsi="Arial"/>
                <w:sz w:val="18"/>
                <w:szCs w:val="18"/>
                <w:color w:val="auto"/>
              </w:rPr>
              <w:t>Income (loss) per share attributable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4960" w:type="dxa"/>
            <w:vAlign w:val="bottom"/>
          </w:tcPr>
          <w:p>
            <w:pPr>
              <w:ind w:left="160"/>
              <w:spacing w:after="0"/>
              <w:rPr>
                <w:sz w:val="20"/>
                <w:szCs w:val="20"/>
                <w:color w:val="auto"/>
              </w:rPr>
            </w:pPr>
            <w:r>
              <w:rPr>
                <w:rFonts w:ascii="Arial" w:cs="Arial" w:eastAsia="Arial" w:hAnsi="Arial"/>
                <w:sz w:val="18"/>
                <w:szCs w:val="18"/>
                <w:color w:val="auto"/>
              </w:rPr>
              <w:t>to Viasat, Inc. common stockholders - basic:</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9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w:t>
            </w:r>
          </w:p>
        </w:tc>
      </w:tr>
      <w:tr>
        <w:trPr>
          <w:trHeight w:val="203"/>
        </w:trPr>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9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(loss)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(1.89)</w:t>
            </w:r>
          </w:p>
        </w:tc>
      </w:tr>
      <w:tr>
        <w:trPr>
          <w:trHeight w:val="164"/>
        </w:trPr>
        <w:tc>
          <w:tcPr>
            <w:tcW w:w="4960" w:type="dxa"/>
            <w:vAlign w:val="bottom"/>
            <w:tcBorders>
              <w:top w:val="single" w:sz="8" w:color="CFF0FC"/>
            </w:tcBorders>
          </w:tcPr>
          <w:p>
            <w:pPr>
              <w:spacing w:after="0" w:line="164" w:lineRule="exact"/>
              <w:rPr>
                <w:sz w:val="20"/>
                <w:szCs w:val="20"/>
                <w:color w:val="auto"/>
              </w:rPr>
            </w:pPr>
            <w:r>
              <w:rPr>
                <w:rFonts w:ascii="Arial" w:cs="Arial" w:eastAsia="Arial" w:hAnsi="Arial"/>
                <w:sz w:val="18"/>
                <w:szCs w:val="18"/>
                <w:color w:val="auto"/>
              </w:rPr>
              <w:t>Income (loss) per share attributable</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221"/>
        </w:trPr>
        <w:tc>
          <w:tcPr>
            <w:tcW w:w="4960" w:type="dxa"/>
            <w:vAlign w:val="bottom"/>
          </w:tcPr>
          <w:p>
            <w:pPr>
              <w:ind w:left="160"/>
              <w:spacing w:after="0"/>
              <w:rPr>
                <w:sz w:val="20"/>
                <w:szCs w:val="20"/>
                <w:color w:val="auto"/>
              </w:rPr>
            </w:pPr>
            <w:r>
              <w:rPr>
                <w:rFonts w:ascii="Arial" w:cs="Arial" w:eastAsia="Arial" w:hAnsi="Arial"/>
                <w:sz w:val="18"/>
                <w:szCs w:val="18"/>
                <w:color w:val="auto"/>
              </w:rPr>
              <w:t>to Viasat, Inc. common stockholders - diluted: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49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(1.89)</w:t>
            </w:r>
          </w:p>
        </w:tc>
      </w:tr>
      <w:tr>
        <w:trPr>
          <w:trHeight w:val="203"/>
        </w:trPr>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Discontinued operations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9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Income (loss)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color w:val="auto"/>
              </w:rPr>
              <w:t>(26.00)</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(1.07)</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(1.23)</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(1.89)</w:t>
            </w:r>
          </w:p>
        </w:tc>
      </w:tr>
      <w:tr>
        <w:trPr>
          <w:trHeight w:val="183"/>
        </w:trPr>
        <w:tc>
          <w:tcPr>
            <w:tcW w:w="49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2024</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779,791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1,225,415</w:t>
            </w:r>
          </w:p>
        </w:tc>
        <w:tc>
          <w:tcPr>
            <w:tcW w:w="1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1,128,539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1,150,013</w:t>
            </w:r>
          </w:p>
        </w:tc>
        <w:tc>
          <w:tcPr>
            <w:tcW w:w="100" w:type="dxa"/>
            <w:vAlign w:val="bottom"/>
            <w:shd w:val="clear" w:color="auto" w:fill="CFF0FC"/>
          </w:tcPr>
          <w:p>
            <w:pPr>
              <w:spacing w:after="0"/>
              <w:rPr>
                <w:sz w:val="17"/>
                <w:szCs w:val="17"/>
                <w:color w:val="auto"/>
              </w:rPr>
            </w:pPr>
          </w:p>
        </w:tc>
      </w:tr>
      <w:tr>
        <w:trPr>
          <w:trHeight w:val="202"/>
        </w:trPr>
        <w:tc>
          <w:tcPr>
            <w:tcW w:w="4960" w:type="dxa"/>
            <w:vAlign w:val="bottom"/>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(41,516)</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(804,667)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(43,918)</w:t>
            </w:r>
          </w:p>
        </w:tc>
        <w:tc>
          <w:tcPr>
            <w:tcW w:w="2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295</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 from continuing operations</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(76,902)</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(765,763)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(119,349)</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(85,483)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 from discontinued operations, net of tax</w:t>
            </w:r>
          </w:p>
        </w:tc>
        <w:tc>
          <w:tcPr>
            <w:tcW w:w="200" w:type="dxa"/>
            <w:vAlign w:val="bottom"/>
          </w:tcPr>
          <w:p>
            <w:pPr>
              <w:spacing w:after="0"/>
              <w:rPr>
                <w:sz w:val="17"/>
                <w:szCs w:val="17"/>
                <w:color w:val="auto"/>
              </w:rPr>
            </w:pPr>
          </w:p>
        </w:tc>
        <w:tc>
          <w:tcPr>
            <w:tcW w:w="14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(10,422)</w:t>
            </w:r>
          </w:p>
        </w:tc>
      </w:tr>
      <w:tr>
        <w:trPr>
          <w:trHeight w:val="203"/>
        </w:trPr>
        <w:tc>
          <w:tcPr>
            <w:tcW w:w="4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(76,902)</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(765,763)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(119,349)</w:t>
            </w: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(95,905)</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Net income (loss) attributable to Viasat, Inc.</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(77,004)</w:t>
            </w:r>
          </w:p>
        </w:tc>
        <w:tc>
          <w:tcPr>
            <w:tcW w:w="1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(767,238)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(124,399)</w:t>
            </w:r>
          </w:p>
        </w:tc>
        <w:tc>
          <w:tcPr>
            <w:tcW w:w="20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(100,263)</w:t>
            </w:r>
          </w:p>
        </w:tc>
      </w:tr>
      <w:tr>
        <w:trPr>
          <w:trHeight w:val="184"/>
        </w:trPr>
        <w:tc>
          <w:tcPr>
            <w:tcW w:w="49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Income (loss) per share attributable</w:t>
            </w: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49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Viasat, Inc. common stockholders - basic:</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3"/>
        </w:trPr>
        <w:tc>
          <w:tcPr>
            <w:tcW w:w="4960" w:type="dxa"/>
            <w:vAlign w:val="bottom"/>
          </w:tcPr>
          <w:p>
            <w:pPr>
              <w:ind w:left="140"/>
              <w:spacing w:after="0" w:line="202" w:lineRule="exact"/>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(0.83)</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(0.99)</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(0.71)</w:t>
            </w:r>
          </w:p>
        </w:tc>
      </w:tr>
      <w:tr>
        <w:trPr>
          <w:trHeight w:val="203"/>
        </w:trPr>
        <w:tc>
          <w:tcPr>
            <w:tcW w:w="49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(0.08)</w:t>
            </w:r>
          </w:p>
        </w:tc>
      </w:tr>
      <w:tr>
        <w:trPr>
          <w:trHeight w:val="20"/>
        </w:trPr>
        <w:tc>
          <w:tcPr>
            <w:tcW w:w="4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60" w:type="dxa"/>
            <w:vAlign w:val="bottom"/>
          </w:tcPr>
          <w:p>
            <w:pPr>
              <w:ind w:left="140"/>
              <w:spacing w:after="0" w:line="196" w:lineRule="exact"/>
              <w:rPr>
                <w:sz w:val="20"/>
                <w:szCs w:val="20"/>
                <w:color w:val="auto"/>
              </w:rPr>
            </w:pPr>
            <w:r>
              <w:rPr>
                <w:rFonts w:ascii="Arial" w:cs="Arial" w:eastAsia="Arial" w:hAnsi="Arial"/>
                <w:sz w:val="18"/>
                <w:szCs w:val="18"/>
                <w:color w:val="auto"/>
              </w:rPr>
              <w:t>Income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(0.83)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(0.99)</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(0.80)</w:t>
            </w:r>
          </w:p>
        </w:tc>
      </w:tr>
      <w:tr>
        <w:trPr>
          <w:trHeight w:val="20"/>
        </w:trPr>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4"/>
        </w:trPr>
        <w:tc>
          <w:tcPr>
            <w:tcW w:w="4960" w:type="dxa"/>
            <w:vAlign w:val="bottom"/>
            <w:shd w:val="clear" w:color="auto" w:fill="CFF0FC"/>
          </w:tcPr>
          <w:p>
            <w:pPr>
              <w:spacing w:after="0" w:line="164" w:lineRule="exact"/>
              <w:rPr>
                <w:sz w:val="20"/>
                <w:szCs w:val="20"/>
                <w:color w:val="auto"/>
              </w:rPr>
            </w:pPr>
            <w:r>
              <w:rPr>
                <w:rFonts w:ascii="Arial" w:cs="Arial" w:eastAsia="Arial" w:hAnsi="Arial"/>
                <w:sz w:val="18"/>
                <w:szCs w:val="18"/>
                <w:color w:val="auto"/>
              </w:rPr>
              <w:t>Income (loss) per share attributable</w:t>
            </w: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21"/>
        </w:trPr>
        <w:tc>
          <w:tcPr>
            <w:tcW w:w="49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 Viasat, Inc. common stockholders - diluted:</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96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(0.71)</w:t>
            </w:r>
          </w:p>
        </w:tc>
      </w:tr>
      <w:tr>
        <w:trPr>
          <w:trHeight w:val="203"/>
        </w:trPr>
        <w:tc>
          <w:tcPr>
            <w:tcW w:w="49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(0.08)</w:t>
            </w:r>
          </w:p>
        </w:tc>
      </w:tr>
      <w:tr>
        <w:trPr>
          <w:trHeight w:val="20"/>
        </w:trPr>
        <w:tc>
          <w:tcPr>
            <w:tcW w:w="49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960" w:type="dxa"/>
            <w:vAlign w:val="bottom"/>
          </w:tcPr>
          <w:p>
            <w:pPr>
              <w:ind w:left="140"/>
              <w:spacing w:after="0" w:line="196" w:lineRule="exact"/>
              <w:rPr>
                <w:sz w:val="20"/>
                <w:szCs w:val="20"/>
                <w:color w:val="auto"/>
              </w:rPr>
            </w:pPr>
            <w:r>
              <w:rPr>
                <w:rFonts w:ascii="Arial" w:cs="Arial" w:eastAsia="Arial" w:hAnsi="Arial"/>
                <w:sz w:val="18"/>
                <w:szCs w:val="18"/>
                <w:color w:val="auto"/>
              </w:rPr>
              <w:t>Income (loss)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(0.83)</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(6.16)</w:t>
            </w: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(0.99)</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(0.80)</w:t>
            </w:r>
          </w:p>
        </w:tc>
      </w:tr>
      <w:tr>
        <w:trPr>
          <w:trHeight w:val="20"/>
        </w:trPr>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-2965450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-2948305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-2965450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-2948305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-2965450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-2948305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-2287905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-2271395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-2287905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-2271395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-2287905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-2271395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-847725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-847725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-847725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-161925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-161925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-161925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In the fourth quarter of fiscal year 2025, we recorded $169.4 million in impairment charges and other liabilities related to the exit from certain locations in EMEA markets, in selling, general and administrative expenses (see Note 1 — The Company and a Summary of Its Significant Accounting Policies to our consolidated financial statements for more information).</w:t>
      </w:r>
    </w:p>
    <w:p>
      <w:pPr>
        <w:spacing w:after="0" w:line="11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In the second quarter of fiscal year 2024, we recorded a one-time benefit from a litigation settlement of $95.3 million in revenues (see Note 15 — Contingencies to our consolidated financial statements for more information). Additionally, in the second quarter of fiscal year 2024, we recorded a reduction to the carrying value of satellites under construction of approximately $1.67 billion, which was partially offset by total insurance claim receivables of approximately $770.0 million, resulting in a net loss of approximately $905.5 million recorded in selling, general and administrative expenses (see Note 1 — The Company and a Summary of Its Significant Accounting Policies to our consolidated financial statements for more information).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9" w:name="page70"/>
    <w:bookmarkEnd w:id="69"/>
    <w:p>
      <w:pPr>
        <w:ind w:right="320" w:firstLine="509"/>
        <w:spacing w:after="0" w:line="253" w:lineRule="auto"/>
        <w:rPr>
          <w:sz w:val="20"/>
          <w:szCs w:val="20"/>
          <w:color w:val="auto"/>
        </w:rPr>
      </w:pPr>
      <w:r>
        <w:rPr>
          <w:rFonts w:ascii="Arial" w:cs="Arial" w:eastAsia="Arial" w:hAnsi="Arial"/>
          <w:sz w:val="18"/>
          <w:szCs w:val="18"/>
          <w:color w:val="auto"/>
        </w:rPr>
        <w:t>The summarized quarterly data above includes the operating results of Inmarsat from the date of acquisition on May 30, 2023. Therefore, the first quarter of fiscal year 2024 only included one month of Inmarsat's operating results, whereas the remaining quarters of fiscal year 2024 included a full quarter of Inmarsat's operating results.</w:t>
      </w:r>
    </w:p>
    <w:p>
      <w:pPr>
        <w:spacing w:after="0" w:line="115"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(loss)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1"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2025, the end of the period covered by this report. Based upon the foregoing, our Chief Executive Officer and Chief Financial Officer concluded that our disclosure controls and procedures were effective at a reasonable assurance level as of March 31, 2025.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2025.</w:t>
      </w:r>
    </w:p>
    <w:p>
      <w:pPr>
        <w:spacing w:after="0" w:line="125"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1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2025, as stated in their report which appears on page F-1.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2025, there were no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the three months ended March 31, 2025, no director or officer, as defined in Rule 16a-1(f), adopted or terminated any contract, instruction or written plan for the purchase or sale of our securities that was intended to satisfy the affirmative defense conditions of Rule 10b5-1(c) or any “non Rule 10b5-1 trading arrangement” as defined in Item 408 of Regulation S-K.</w:t>
      </w:r>
    </w:p>
    <w:p>
      <w:pPr>
        <w:spacing w:after="0" w:line="34"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On June 30, 2025, Craig Miller will transition from his current role as Senior Vice President, Strategic Initiatives to a new position as Senior Vice President and President, Government.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71" w:name="page72"/>
    <w:bookmarkEnd w:id="71"/>
    <w:p>
      <w:pPr>
        <w:ind w:left="52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77"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2025 Annual Meeting of Stockholders (the Proxy Statement) under the headings “Corporate Governance Principles and Board Matters,” “Election of Directors” and “Ownership of Securities,” and is incorporated herein by reference.</w:t>
      </w:r>
    </w:p>
    <w:p>
      <w:pPr>
        <w:spacing w:after="0" w:line="115"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0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7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1"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7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77"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94"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Page</w:t>
      </w:r>
    </w:p>
    <w:p>
      <w:pPr>
        <w:spacing w:after="0" w:line="15"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-1905</wp:posOffset>
            </wp:positionV>
            <wp:extent cx="5740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-19050</wp:posOffset>
            </wp:positionV>
            <wp:extent cx="2921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21635"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u w:val="single" w:color="auto"/>
          <w:color w:val="0000FF"/>
        </w:rPr>
        <w:t>Consolidated Balance Sheets as of March 31, 2025 and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-7620</wp:posOffset>
            </wp:positionV>
            <wp:extent cx="36518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7" w:lineRule="exact"/>
        <w:rPr>
          <w:sz w:val="20"/>
          <w:szCs w:val="20"/>
          <w:color w:val="auto"/>
        </w:rPr>
      </w:pPr>
    </w:p>
    <w:p>
      <w:pPr>
        <w:ind w:left="1080" w:right="840"/>
        <w:spacing w:after="0" w:line="234" w:lineRule="auto"/>
        <w:rPr>
          <w:sz w:val="20"/>
          <w:szCs w:val="20"/>
          <w:color w:val="auto"/>
        </w:rPr>
      </w:pPr>
      <w:r>
        <w:rPr>
          <w:rFonts w:ascii="Arial" w:cs="Arial" w:eastAsia="Arial" w:hAnsi="Arial"/>
          <w:sz w:val="18"/>
          <w:szCs w:val="18"/>
          <w:u w:val="single" w:color="auto"/>
          <w:color w:val="0000FF"/>
        </w:rPr>
        <w:t>Consolidated Statements of Operations and Comprehensive Income (Loss) for the fiscal years ended March 31, 2025, March 31, 2024 and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-143510</wp:posOffset>
            </wp:positionV>
            <wp:extent cx="56838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8388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-15240</wp:posOffset>
            </wp:positionV>
            <wp:extent cx="2159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ind w:left="1080" w:right="940"/>
        <w:spacing w:after="0" w:line="234" w:lineRule="auto"/>
        <w:rPr>
          <w:sz w:val="20"/>
          <w:szCs w:val="20"/>
          <w:color w:val="auto"/>
        </w:rPr>
      </w:pPr>
      <w:r>
        <w:rPr>
          <w:rFonts w:ascii="Arial" w:cs="Arial" w:eastAsia="Arial" w:hAnsi="Arial"/>
          <w:sz w:val="18"/>
          <w:szCs w:val="18"/>
          <w:u w:val="single" w:color="auto"/>
          <w:color w:val="0000FF"/>
        </w:rPr>
        <w:t>Consolidated Statements of Cash Flows for the fiscal years ended March 31, 2025, March 31, 2024 and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-143510</wp:posOffset>
            </wp:positionV>
            <wp:extent cx="56267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2673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-15240</wp:posOffset>
            </wp:positionV>
            <wp:extent cx="4445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44500" cy="8255"/>
                    </a:xfrm>
                    <a:prstGeom prst="rect">
                      <a:avLst/>
                    </a:prstGeom>
                    <a:noFill/>
                  </pic:spPr>
                </pic:pic>
              </a:graphicData>
            </a:graphic>
          </wp:anchor>
        </w:drawing>
      </w:r>
    </w:p>
    <w:p>
      <w:pPr>
        <w:ind w:left="1080" w:right="1080"/>
        <w:spacing w:after="0" w:line="234" w:lineRule="auto"/>
        <w:rPr>
          <w:sz w:val="20"/>
          <w:szCs w:val="20"/>
          <w:color w:val="auto"/>
        </w:rPr>
      </w:pPr>
      <w:r>
        <w:rPr>
          <w:rFonts w:ascii="Arial" w:cs="Arial" w:eastAsia="Arial" w:hAnsi="Arial"/>
          <w:sz w:val="18"/>
          <w:szCs w:val="18"/>
          <w:u w:val="single" w:color="auto"/>
          <w:color w:val="0000FF"/>
        </w:rPr>
        <w:t>Consolidated Statements of Equity for the fiscal years ended March 31, 2025, March 31, 2024 and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-143510</wp:posOffset>
            </wp:positionV>
            <wp:extent cx="5537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-15240</wp:posOffset>
            </wp:positionV>
            <wp:extent cx="2540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u w:val="single" w:color="auto"/>
          <w:color w:val="0000FF"/>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-19050</wp:posOffset>
            </wp:positionV>
            <wp:extent cx="24130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ind w:left="1080" w:hanging="563"/>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0000FF"/>
        </w:rPr>
        <w:t>Schedule II — Valuation and Qualifying Accounts for the three fiscal years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-19050</wp:posOffset>
            </wp:positionV>
            <wp:extent cx="4947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47285" cy="8255"/>
                    </a:xfrm>
                    <a:prstGeom prst="rect">
                      <a:avLst/>
                    </a:prstGeom>
                    <a:noFill/>
                  </pic:spPr>
                </pic:pic>
              </a:graphicData>
            </a:graphic>
          </wp:anchor>
        </w:drawing>
      </w:r>
    </w:p>
    <w:p>
      <w:pPr>
        <w:spacing w:after="0" w:line="17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9"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br w:type="column"/>
      </w:r>
    </w:p>
    <w:p>
      <w:pPr>
        <w:jc w:val="both"/>
        <w:ind w:right="60"/>
        <w:spacing w:after="0" w:line="318" w:lineRule="auto"/>
        <w:rPr>
          <w:sz w:val="20"/>
          <w:szCs w:val="20"/>
          <w:color w:val="auto"/>
        </w:rPr>
      </w:pPr>
      <w:r>
        <w:rPr>
          <w:rFonts w:ascii="Arial" w:cs="Arial" w:eastAsia="Arial" w:hAnsi="Arial"/>
          <w:sz w:val="17"/>
          <w:szCs w:val="17"/>
          <w:color w:val="auto"/>
        </w:rPr>
        <w:t>F-1 F-3</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F-4</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F-6</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II-1</w:t>
      </w:r>
    </w:p>
    <w:p>
      <w:pPr>
        <w:spacing w:after="0" w:line="1092" w:lineRule="exact"/>
        <w:rPr>
          <w:sz w:val="20"/>
          <w:szCs w:val="20"/>
          <w:color w:val="auto"/>
        </w:rPr>
      </w:pPr>
    </w:p>
    <w:p>
      <w:pPr>
        <w:sectPr>
          <w:pgSz w:w="11900" w:h="16838" w:orient="portrait"/>
          <w:cols w:equalWidth="0" w:num="2">
            <w:col w:w="10820" w:space="100"/>
            <w:col w:w="320"/>
          </w:cols>
          <w:pgMar w:left="320" w:top="985" w:right="339" w:bottom="1440" w:gutter="0" w:footer="0" w:header="0"/>
          <w:type w:val="continuous"/>
        </w:sectPr>
      </w:pPr>
    </w:p>
    <w:tbl>
      <w:tblPr>
        <w:tblLayout w:type="fixed"/>
        <w:tblInd w:w="140" w:type="dxa"/>
        <w:tblCellMar>
          <w:top w:w="0" w:type="dxa"/>
          <w:left w:w="0" w:type="dxa"/>
          <w:bottom w:w="0" w:type="dxa"/>
          <w:right w:w="0" w:type="dxa"/>
        </w:tblCellMar>
      </w:tblPr>
      <w:tr>
        <w:trPr>
          <w:trHeight w:val="158"/>
        </w:trPr>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Incorporated by Reference</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Filed or</w:t>
            </w:r>
          </w:p>
        </w:tc>
        <w:tc>
          <w:tcPr>
            <w:tcW w:w="0" w:type="dxa"/>
            <w:vAlign w:val="bottom"/>
          </w:tcPr>
          <w:p>
            <w:pPr>
              <w:spacing w:after="0"/>
              <w:rPr>
                <w:sz w:val="1"/>
                <w:szCs w:val="1"/>
                <w:color w:val="auto"/>
              </w:rPr>
            </w:pPr>
          </w:p>
        </w:tc>
      </w:tr>
      <w:tr>
        <w:trPr>
          <w:trHeight w:val="34"/>
        </w:trPr>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Exhibit</w:t>
            </w: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10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60" w:type="dxa"/>
            <w:vAlign w:val="bottom"/>
            <w:gridSpan w:val="15"/>
            <w:vMerge w:val="restart"/>
          </w:tcPr>
          <w:p>
            <w:pPr>
              <w:ind w:left="200"/>
              <w:spacing w:after="0"/>
              <w:rPr>
                <w:sz w:val="20"/>
                <w:szCs w:val="20"/>
                <w:color w:val="auto"/>
              </w:rPr>
            </w:pPr>
            <w:r>
              <w:rPr>
                <w:rFonts w:ascii="Arial" w:cs="Arial" w:eastAsia="Arial" w:hAnsi="Arial"/>
                <w:sz w:val="12"/>
                <w:szCs w:val="12"/>
                <w:b w:val="1"/>
                <w:bCs w:val="1"/>
                <w:color w:val="auto"/>
              </w:rPr>
              <w:t>Exhibit Description</w:t>
            </w:r>
          </w:p>
        </w:tc>
        <w:tc>
          <w:tcPr>
            <w:tcW w:w="100" w:type="dxa"/>
            <w:vAlign w:val="bottom"/>
            <w:vMerge w:val="restart"/>
          </w:tcPr>
          <w:p>
            <w:pPr>
              <w:spacing w:after="0"/>
              <w:rPr>
                <w:sz w:val="9"/>
                <w:szCs w:val="9"/>
                <w:color w:val="auto"/>
              </w:rPr>
            </w:pPr>
          </w:p>
        </w:tc>
        <w:tc>
          <w:tcPr>
            <w:tcW w:w="134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File No.</w:t>
            </w:r>
          </w:p>
        </w:tc>
        <w:tc>
          <w:tcPr>
            <w:tcW w:w="120" w:type="dxa"/>
            <w:vAlign w:val="bottom"/>
          </w:tcPr>
          <w:p>
            <w:pPr>
              <w:spacing w:after="0"/>
              <w:rPr>
                <w:sz w:val="9"/>
                <w:szCs w:val="9"/>
                <w:color w:val="auto"/>
              </w:rPr>
            </w:pPr>
          </w:p>
        </w:tc>
        <w:tc>
          <w:tcPr>
            <w:tcW w:w="7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Exhibit</w:t>
            </w:r>
          </w:p>
        </w:tc>
        <w:tc>
          <w:tcPr>
            <w:tcW w:w="140" w:type="dxa"/>
            <w:vAlign w:val="bottom"/>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Filing Date</w:t>
            </w:r>
          </w:p>
        </w:tc>
        <w:tc>
          <w:tcPr>
            <w:tcW w:w="140" w:type="dxa"/>
            <w:vAlign w:val="bottom"/>
          </w:tcPr>
          <w:p>
            <w:pPr>
              <w:spacing w:after="0"/>
              <w:rPr>
                <w:sz w:val="9"/>
                <w:szCs w:val="9"/>
                <w:color w:val="auto"/>
              </w:rPr>
            </w:pPr>
          </w:p>
        </w:tc>
        <w:tc>
          <w:tcPr>
            <w:tcW w:w="68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58"/>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15"/>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Herewith</w:t>
            </w:r>
          </w:p>
        </w:tc>
        <w:tc>
          <w:tcPr>
            <w:tcW w:w="0" w:type="dxa"/>
            <w:vAlign w:val="bottom"/>
          </w:tcPr>
          <w:p>
            <w:pPr>
              <w:spacing w:after="0"/>
              <w:rPr>
                <w:sz w:val="1"/>
                <w:szCs w:val="1"/>
                <w:color w:val="auto"/>
              </w:rPr>
            </w:pPr>
          </w:p>
        </w:tc>
      </w:tr>
      <w:tr>
        <w:trPr>
          <w:trHeight w:val="426"/>
        </w:trPr>
        <w:tc>
          <w:tcPr>
            <w:tcW w:w="100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20"/>
          </w:tcPr>
          <w:p>
            <w:pPr>
              <w:spacing w:after="0"/>
              <w:rPr>
                <w:rFonts w:ascii="Arial" w:cs="Arial" w:eastAsia="Arial" w:hAnsi="Arial"/>
                <w:sz w:val="16"/>
                <w:szCs w:val="16"/>
                <w:color w:val="0000FF"/>
              </w:rPr>
            </w:pPr>
            <w:hyperlink r:id="rId138">
              <w:r>
                <w:rPr>
                  <w:rFonts w:ascii="Arial" w:cs="Arial" w:eastAsia="Arial" w:hAnsi="Arial"/>
                  <w:sz w:val="16"/>
                  <w:szCs w:val="16"/>
                  <w:color w:val="0000FF"/>
                </w:rPr>
                <w:t>Share Purchase Agreement, dated as of November 8, 2021,</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2.1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11/08/2021</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by and among Viasat, Inc. and the shareholders of Connect</w:t>
              </w:r>
            </w:hyperlink>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2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Topco Limited party thereto</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jc w:val="center"/>
              <w:spacing w:after="0"/>
              <w:rPr>
                <w:sz w:val="20"/>
                <w:szCs w:val="20"/>
                <w:color w:val="auto"/>
              </w:rPr>
            </w:pPr>
            <w:r>
              <w:rPr>
                <w:rFonts w:ascii="Arial" w:cs="Arial" w:eastAsia="Arial" w:hAnsi="Arial"/>
                <w:sz w:val="16"/>
                <w:szCs w:val="16"/>
                <w:color w:val="auto"/>
              </w:rPr>
              <w:t>2.1(A)</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39">
              <w:r>
                <w:rPr>
                  <w:rFonts w:ascii="Arial" w:cs="Arial" w:eastAsia="Arial" w:hAnsi="Arial"/>
                  <w:sz w:val="16"/>
                  <w:szCs w:val="16"/>
                  <w:color w:val="0000FF"/>
                </w:rPr>
                <w:t>Letter agreement, dated as of April 11, 2023, by and among</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10-K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2.1(A)</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05/22/2023</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4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Viasat, Inc. and the shareholders of Connect Topco Limited</w:t>
              </w:r>
            </w:hyperlink>
          </w:p>
        </w:tc>
        <w:tc>
          <w:tcPr>
            <w:tcW w:w="12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0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party thereto</w:t>
              </w:r>
            </w:hyperlink>
          </w:p>
        </w:tc>
        <w:tc>
          <w:tcPr>
            <w:tcW w:w="160" w:type="dxa"/>
            <w:vAlign w:val="bottom"/>
            <w:gridSpan w:val="4"/>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40">
              <w:r>
                <w:rPr>
                  <w:rFonts w:ascii="Arial" w:cs="Arial" w:eastAsia="Arial" w:hAnsi="Arial"/>
                  <w:sz w:val="16"/>
                  <w:szCs w:val="16"/>
                  <w:color w:val="0000FF"/>
                </w:rPr>
                <w:t>Asset Purchase Agreement, dated as of October 1, 2022, by</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2.1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10/03/2022</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40">
              <w:r>
                <w:rPr>
                  <w:rFonts w:ascii="Arial" w:cs="Arial" w:eastAsia="Arial" w:hAnsi="Arial"/>
                  <w:sz w:val="16"/>
                  <w:szCs w:val="16"/>
                  <w:color w:val="0000FF"/>
                </w:rPr>
                <w:t>and between Viasat, Inc. and L3Harris Technologies, Inc.</w:t>
              </w:r>
            </w:hyperlink>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jc w:val="center"/>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41">
              <w:r>
                <w:rPr>
                  <w:rFonts w:ascii="Arial" w:cs="Arial" w:eastAsia="Arial" w:hAnsi="Arial"/>
                  <w:sz w:val="16"/>
                  <w:szCs w:val="16"/>
                  <w:color w:val="0000FF"/>
                </w:rPr>
                <w:t>Second Amended and Restated Certificate of Incorporation</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10-Q</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11/14/2000</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1">
              <w:r>
                <w:rPr>
                  <w:rFonts w:ascii="Arial" w:cs="Arial" w:eastAsia="Arial" w:hAnsi="Arial"/>
                  <w:sz w:val="16"/>
                  <w:szCs w:val="16"/>
                  <w:color w:val="0000FF"/>
                </w:rPr>
                <w:t>of ViaSat, Inc.</w:t>
              </w:r>
            </w:hyperlink>
          </w:p>
        </w:tc>
        <w:tc>
          <w:tcPr>
            <w:tcW w:w="180" w:type="dxa"/>
            <w:vAlign w:val="bottom"/>
            <w:gridSpan w:val="5"/>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jc w:val="center"/>
              <w:spacing w:after="0"/>
              <w:rPr>
                <w:sz w:val="20"/>
                <w:szCs w:val="20"/>
                <w:color w:val="auto"/>
              </w:rPr>
            </w:pPr>
            <w:r>
              <w:rPr>
                <w:rFonts w:ascii="Arial" w:cs="Arial" w:eastAsia="Arial" w:hAnsi="Arial"/>
                <w:sz w:val="16"/>
                <w:szCs w:val="16"/>
                <w:color w:val="auto"/>
              </w:rPr>
              <w:t>3.1.2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42">
              <w:r>
                <w:rPr>
                  <w:rFonts w:ascii="Arial" w:cs="Arial" w:eastAsia="Arial" w:hAnsi="Arial"/>
                  <w:sz w:val="16"/>
                  <w:szCs w:val="16"/>
                  <w:color w:val="0000FF"/>
                </w:rPr>
                <w:t>Certificate of Amendment to the Second Amended and</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06/02/2023</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142">
              <w:r>
                <w:rPr>
                  <w:rFonts w:ascii="Arial" w:cs="Arial" w:eastAsia="Arial" w:hAnsi="Arial"/>
                  <w:sz w:val="16"/>
                  <w:szCs w:val="16"/>
                  <w:color w:val="0000FF"/>
                </w:rPr>
                <w:t>Restated Certificate of Incorporation of Viasat, Inc.</w:t>
              </w:r>
            </w:hyperlink>
          </w:p>
        </w:tc>
        <w:tc>
          <w:tcPr>
            <w:tcW w:w="340" w:type="dxa"/>
            <w:vAlign w:val="bottom"/>
            <w:tcBorders>
              <w:top w:val="single" w:sz="8" w:color="0000FF"/>
            </w:tcBorders>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6"/>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00" w:type="dxa"/>
            <w:vAlign w:val="bottom"/>
          </w:tcPr>
          <w:p>
            <w:pPr>
              <w:jc w:val="center"/>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tcBorders>
              <w:bottom w:val="single" w:sz="8" w:color="0000FF"/>
            </w:tcBorders>
            <w:gridSpan w:val="6"/>
          </w:tcPr>
          <w:p>
            <w:pPr>
              <w:spacing w:after="0"/>
              <w:rPr>
                <w:rFonts w:ascii="Arial" w:cs="Arial" w:eastAsia="Arial" w:hAnsi="Arial"/>
                <w:sz w:val="16"/>
                <w:szCs w:val="16"/>
                <w:color w:val="0000FF"/>
              </w:rPr>
            </w:pPr>
            <w:hyperlink r:id="rId143">
              <w:r>
                <w:rPr>
                  <w:rFonts w:ascii="Arial" w:cs="Arial" w:eastAsia="Arial" w:hAnsi="Arial"/>
                  <w:sz w:val="16"/>
                  <w:szCs w:val="16"/>
                  <w:color w:val="0000FF"/>
                </w:rPr>
                <w:t>Amended and Restated Bylaws of ViaSat, Inc.</w:t>
              </w:r>
            </w:hyperlink>
          </w:p>
        </w:tc>
        <w:tc>
          <w:tcPr>
            <w:tcW w:w="1140" w:type="dxa"/>
            <w:vAlign w:val="bottom"/>
            <w:gridSpan w:val="14"/>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rPr>
              <w:t>10-Q</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3.1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11/09/2023</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1000" w:type="dxa"/>
            <w:vAlign w:val="bottom"/>
          </w:tcPr>
          <w:p>
            <w:pPr>
              <w:jc w:val="center"/>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gridSpan w:val="20"/>
          </w:tcPr>
          <w:p>
            <w:pPr>
              <w:spacing w:after="0"/>
              <w:rPr>
                <w:sz w:val="20"/>
                <w:szCs w:val="20"/>
                <w:color w:val="auto"/>
              </w:rPr>
            </w:pPr>
            <w:r>
              <w:rPr>
                <w:rFonts w:ascii="Arial" w:cs="Arial" w:eastAsia="Arial" w:hAnsi="Arial"/>
                <w:sz w:val="16"/>
                <w:szCs w:val="16"/>
                <w:color w:val="auto"/>
              </w:rPr>
              <w:t>Form of Common Stock Certificate (p)</w:t>
            </w:r>
          </w:p>
        </w:tc>
        <w:tc>
          <w:tcPr>
            <w:tcW w:w="1340" w:type="dxa"/>
            <w:vAlign w:val="bottom"/>
          </w:tcPr>
          <w:p>
            <w:pPr>
              <w:jc w:val="center"/>
              <w:spacing w:after="0"/>
              <w:rPr>
                <w:sz w:val="20"/>
                <w:szCs w:val="20"/>
                <w:color w:val="auto"/>
              </w:rPr>
            </w:pPr>
            <w:r>
              <w:rPr>
                <w:rFonts w:ascii="Arial" w:cs="Arial" w:eastAsia="Arial" w:hAnsi="Arial"/>
                <w:sz w:val="16"/>
                <w:szCs w:val="16"/>
                <w:color w:val="auto"/>
              </w:rPr>
              <w:t>S-1/A</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333-13183</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4.1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11/05/1996</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00" w:type="dxa"/>
            <w:vAlign w:val="bottom"/>
          </w:tcPr>
          <w:p>
            <w:pPr>
              <w:jc w:val="center"/>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60" w:type="dxa"/>
            <w:vAlign w:val="bottom"/>
            <w:gridSpan w:val="20"/>
          </w:tcPr>
          <w:p>
            <w:pPr>
              <w:spacing w:after="0"/>
              <w:rPr>
                <w:rFonts w:ascii="Arial" w:cs="Arial" w:eastAsia="Arial" w:hAnsi="Arial"/>
                <w:sz w:val="16"/>
                <w:szCs w:val="16"/>
                <w:color w:val="0000FF"/>
              </w:rPr>
            </w:pPr>
            <w:hyperlink r:id="rId144">
              <w:r>
                <w:rPr>
                  <w:rFonts w:ascii="Arial" w:cs="Arial" w:eastAsia="Arial" w:hAnsi="Arial"/>
                  <w:sz w:val="16"/>
                  <w:szCs w:val="16"/>
                  <w:color w:val="0000FF"/>
                </w:rPr>
                <w:t>Indenture, dated as of March 27, 2019, between Viasat, Inc.</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4.1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and Wilmington Trust, National Association, as trustee and</w:t>
              </w:r>
            </w:hyperlink>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as collateral trustee</w:t>
              </w:r>
            </w:hyperlink>
          </w:p>
        </w:tc>
        <w:tc>
          <w:tcPr>
            <w:tcW w:w="200" w:type="dxa"/>
            <w:vAlign w:val="bottom"/>
            <w:gridSpan w:val="6"/>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0" w:type="dxa"/>
            <w:vAlign w:val="bottom"/>
          </w:tcPr>
          <w:p>
            <w:pPr>
              <w:jc w:val="center"/>
              <w:spacing w:after="0"/>
              <w:rPr>
                <w:sz w:val="20"/>
                <w:szCs w:val="20"/>
                <w:color w:val="auto"/>
              </w:rPr>
            </w:pPr>
            <w:r>
              <w:rPr>
                <w:rFonts w:ascii="Arial" w:cs="Arial" w:eastAsia="Arial" w:hAnsi="Arial"/>
                <w:sz w:val="16"/>
                <w:szCs w:val="16"/>
                <w:color w:val="auto"/>
              </w:rPr>
              <w:t>4.2.1</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44">
              <w:r>
                <w:rPr>
                  <w:rFonts w:ascii="Arial" w:cs="Arial" w:eastAsia="Arial" w:hAnsi="Arial"/>
                  <w:sz w:val="16"/>
                  <w:szCs w:val="16"/>
                  <w:color w:val="0000FF"/>
                </w:rPr>
                <w:t>Form of 5.625% Senior Secured Note due 2027 of Viasat,</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4.1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03/27/2019</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Inc. (attached as Exhibit A to the Indenture filed as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0" w:type="dxa"/>
            <w:vAlign w:val="bottom"/>
            <w:gridSpan w:val="12"/>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hereto)</w:t>
              </w:r>
            </w:hyperlink>
          </w:p>
        </w:tc>
        <w:tc>
          <w:tcPr>
            <w:tcW w:w="40" w:type="dxa"/>
            <w:vAlign w:val="bottom"/>
          </w:tcPr>
          <w:p>
            <w:pPr>
              <w:spacing w:after="0"/>
              <w:rPr>
                <w:sz w:val="14"/>
                <w:szCs w:val="14"/>
                <w:color w:val="auto"/>
              </w:rPr>
            </w:pPr>
          </w:p>
        </w:tc>
        <w:tc>
          <w:tcPr>
            <w:tcW w:w="220" w:type="dxa"/>
            <w:vAlign w:val="bottom"/>
            <w:gridSpan w:val="7"/>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jc w:val="center"/>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60" w:type="dxa"/>
            <w:vAlign w:val="bottom"/>
            <w:gridSpan w:val="20"/>
          </w:tcPr>
          <w:p>
            <w:pPr>
              <w:spacing w:after="0"/>
              <w:rPr>
                <w:rFonts w:ascii="Arial" w:cs="Arial" w:eastAsia="Arial" w:hAnsi="Arial"/>
                <w:sz w:val="16"/>
                <w:szCs w:val="16"/>
                <w:color w:val="0000FF"/>
              </w:rPr>
            </w:pPr>
            <w:hyperlink r:id="rId145">
              <w:r>
                <w:rPr>
                  <w:rFonts w:ascii="Arial" w:cs="Arial" w:eastAsia="Arial" w:hAnsi="Arial"/>
                  <w:sz w:val="16"/>
                  <w:szCs w:val="16"/>
                  <w:color w:val="0000FF"/>
                </w:rPr>
                <w:t>Indenture, dated as of June 24, 2020, between Viasat, Inc.</w:t>
              </w:r>
            </w:hyperlink>
          </w:p>
        </w:tc>
        <w:tc>
          <w:tcPr>
            <w:tcW w:w="1340" w:type="dxa"/>
            <w:vAlign w:val="bottom"/>
          </w:tcPr>
          <w:p>
            <w:pPr>
              <w:jc w:val="center"/>
              <w:spacing w:after="0"/>
              <w:rPr>
                <w:sz w:val="20"/>
                <w:szCs w:val="20"/>
                <w:color w:val="auto"/>
              </w:rPr>
            </w:pPr>
            <w:r>
              <w:rPr>
                <w:rFonts w:ascii="Arial" w:cs="Arial" w:eastAsia="Arial" w:hAnsi="Arial"/>
                <w:sz w:val="16"/>
                <w:szCs w:val="16"/>
                <w:color w:val="auto"/>
              </w:rPr>
              <w:t>8-K</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000-21767</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rPr>
              <w:t>4.1</w:t>
            </w:r>
          </w:p>
        </w:tc>
        <w:tc>
          <w:tcPr>
            <w:tcW w:w="118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06/24/2020</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and Wilmington Trust, National Association, as trustee</w:t>
              </w:r>
            </w:hyperlink>
          </w:p>
        </w:tc>
        <w:tc>
          <w:tcPr>
            <w:tcW w:w="220" w:type="dxa"/>
            <w:vAlign w:val="bottom"/>
            <w:gridSpan w:val="7"/>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4.3.1</w:t>
            </w:r>
          </w:p>
        </w:tc>
        <w:tc>
          <w:tcPr>
            <w:tcW w:w="4380" w:type="dxa"/>
            <w:vAlign w:val="bottom"/>
            <w:gridSpan w:val="35"/>
          </w:tcPr>
          <w:p>
            <w:pPr>
              <w:spacing w:after="0"/>
              <w:rPr>
                <w:rFonts w:ascii="Arial" w:cs="Arial" w:eastAsia="Arial" w:hAnsi="Arial"/>
                <w:sz w:val="16"/>
                <w:szCs w:val="16"/>
                <w:color w:val="0000FF"/>
              </w:rPr>
            </w:pPr>
            <w:hyperlink r:id="rId145">
              <w:r>
                <w:rPr>
                  <w:rFonts w:ascii="Arial" w:cs="Arial" w:eastAsia="Arial" w:hAnsi="Arial"/>
                  <w:sz w:val="16"/>
                  <w:szCs w:val="16"/>
                  <w:color w:val="0000FF"/>
                </w:rPr>
                <w:t>Form of 6.500% Senior Note due 2028 of Viasat, Inc.</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(attached as Exhibit A to the Indenture filed as Exhibit</w:t>
              </w:r>
            </w:hyperlink>
          </w:p>
        </w:tc>
        <w:tc>
          <w:tcPr>
            <w:tcW w:w="260" w:type="dxa"/>
            <w:vAlign w:val="bottom"/>
            <w:tcBorders>
              <w:bottom w:val="single" w:sz="8" w:color="0000FF"/>
            </w:tcBorders>
            <w:gridSpan w:val="7"/>
          </w:tcPr>
          <w:p>
            <w:pPr>
              <w:jc w:val="right"/>
              <w:ind w:right="20"/>
              <w:spacing w:after="0" w:line="169" w:lineRule="exact"/>
              <w:rPr>
                <w:rFonts w:ascii="Arial" w:cs="Arial" w:eastAsia="Arial" w:hAnsi="Arial"/>
                <w:sz w:val="16"/>
                <w:szCs w:val="16"/>
                <w:color w:val="0000FF"/>
                <w:w w:val="98"/>
              </w:rPr>
            </w:pPr>
            <w:hyperlink r:id="rId145">
              <w:r>
                <w:rPr>
                  <w:rFonts w:ascii="Arial" w:cs="Arial" w:eastAsia="Arial" w:hAnsi="Arial"/>
                  <w:sz w:val="16"/>
                  <w:szCs w:val="16"/>
                  <w:color w:val="0000FF"/>
                  <w:w w:val="98"/>
                </w:rPr>
                <w:t>4.3</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500" w:type="dxa"/>
            <w:vAlign w:val="bottom"/>
            <w:tcBorders>
              <w:bottom w:val="single" w:sz="8" w:color="0000FF"/>
            </w:tcBorders>
            <w:gridSpan w:val="3"/>
          </w:tcPr>
          <w:p>
            <w:pPr>
              <w:spacing w:after="0" w:line="169" w:lineRule="exact"/>
              <w:rPr>
                <w:rFonts w:ascii="Arial" w:cs="Arial" w:eastAsia="Arial" w:hAnsi="Arial"/>
                <w:sz w:val="16"/>
                <w:szCs w:val="16"/>
                <w:color w:val="0000FF"/>
                <w:w w:val="94"/>
              </w:rPr>
            </w:pPr>
            <w:hyperlink r:id="rId145">
              <w:r>
                <w:rPr>
                  <w:rFonts w:ascii="Arial" w:cs="Arial" w:eastAsia="Arial" w:hAnsi="Arial"/>
                  <w:sz w:val="16"/>
                  <w:szCs w:val="16"/>
                  <w:color w:val="0000FF"/>
                  <w:w w:val="94"/>
                </w:rPr>
                <w:t>hereto)</w:t>
              </w:r>
            </w:hyperlink>
          </w:p>
        </w:tc>
        <w:tc>
          <w:tcPr>
            <w:tcW w:w="20" w:type="dxa"/>
            <w:vAlign w:val="bottom"/>
            <w:tcBorders>
              <w:bottom w:val="single" w:sz="8" w:color="0000EE"/>
            </w:tcBorders>
          </w:tcPr>
          <w:p>
            <w:pPr>
              <w:spacing w:after="0"/>
              <w:rPr>
                <w:sz w:val="14"/>
                <w:szCs w:val="14"/>
                <w:color w:val="auto"/>
              </w:rPr>
            </w:pPr>
          </w:p>
        </w:tc>
        <w:tc>
          <w:tcPr>
            <w:tcW w:w="3660" w:type="dxa"/>
            <w:vAlign w:val="bottom"/>
            <w:gridSpan w:val="2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4.4</w:t>
            </w:r>
          </w:p>
        </w:tc>
        <w:tc>
          <w:tcPr>
            <w:tcW w:w="4380" w:type="dxa"/>
            <w:vAlign w:val="bottom"/>
            <w:gridSpan w:val="35"/>
          </w:tcPr>
          <w:p>
            <w:pPr>
              <w:spacing w:after="0"/>
              <w:rPr>
                <w:rFonts w:ascii="Arial" w:cs="Arial" w:eastAsia="Arial" w:hAnsi="Arial"/>
                <w:sz w:val="16"/>
                <w:szCs w:val="16"/>
                <w:color w:val="0000FF"/>
              </w:rPr>
            </w:pPr>
            <w:hyperlink r:id="rId147">
              <w:r>
                <w:rPr>
                  <w:rFonts w:ascii="Arial" w:cs="Arial" w:eastAsia="Arial" w:hAnsi="Arial"/>
                  <w:sz w:val="16"/>
                  <w:szCs w:val="16"/>
                  <w:color w:val="0000FF"/>
                </w:rPr>
                <w:t>Indenture, dated as of September 28, 2023, between Viasat,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4320" w:type="dxa"/>
            <w:vAlign w:val="bottom"/>
            <w:gridSpan w:val="34"/>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Inc. and Wilmington Trust, National Association, as trustee</w:t>
              </w:r>
            </w:hyperlink>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4.4.1</w:t>
            </w:r>
          </w:p>
        </w:tc>
        <w:tc>
          <w:tcPr>
            <w:tcW w:w="4380" w:type="dxa"/>
            <w:vAlign w:val="bottom"/>
            <w:gridSpan w:val="35"/>
          </w:tcPr>
          <w:p>
            <w:pPr>
              <w:spacing w:after="0"/>
              <w:rPr>
                <w:rFonts w:ascii="Arial" w:cs="Arial" w:eastAsia="Arial" w:hAnsi="Arial"/>
                <w:sz w:val="16"/>
                <w:szCs w:val="16"/>
                <w:color w:val="0000FF"/>
              </w:rPr>
            </w:pPr>
            <w:hyperlink r:id="rId147">
              <w:r>
                <w:rPr>
                  <w:rFonts w:ascii="Arial" w:cs="Arial" w:eastAsia="Arial" w:hAnsi="Arial"/>
                  <w:sz w:val="16"/>
                  <w:szCs w:val="16"/>
                  <w:color w:val="0000FF"/>
                </w:rPr>
                <w:t>Form of 7.500% Senior Notes due 2031 of Viasat, Inc.</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(attached as Exhibit A to the Indenture filed as Exhibit</w:t>
              </w:r>
            </w:hyperlink>
          </w:p>
        </w:tc>
        <w:tc>
          <w:tcPr>
            <w:tcW w:w="220" w:type="dxa"/>
            <w:vAlign w:val="bottom"/>
            <w:tcBorders>
              <w:bottom w:val="single" w:sz="8" w:color="0000FF"/>
            </w:tcBorders>
            <w:gridSpan w:val="6"/>
          </w:tcPr>
          <w:p>
            <w:pPr>
              <w:jc w:val="right"/>
              <w:ind w:right="20"/>
              <w:spacing w:after="0" w:line="169" w:lineRule="exact"/>
              <w:rPr>
                <w:rFonts w:ascii="Arial" w:cs="Arial" w:eastAsia="Arial" w:hAnsi="Arial"/>
                <w:sz w:val="16"/>
                <w:szCs w:val="16"/>
                <w:color w:val="0000FF"/>
                <w:w w:val="80"/>
              </w:rPr>
            </w:pPr>
            <w:hyperlink r:id="rId147">
              <w:r>
                <w:rPr>
                  <w:rFonts w:ascii="Arial" w:cs="Arial" w:eastAsia="Arial" w:hAnsi="Arial"/>
                  <w:sz w:val="16"/>
                  <w:szCs w:val="16"/>
                  <w:color w:val="0000FF"/>
                  <w:w w:val="80"/>
                </w:rPr>
                <w:t>4.4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500" w:type="dxa"/>
            <w:vAlign w:val="bottom"/>
            <w:tcBorders>
              <w:bottom w:val="single" w:sz="8" w:color="0000FF"/>
            </w:tcBorders>
            <w:gridSpan w:val="3"/>
          </w:tcPr>
          <w:p>
            <w:pPr>
              <w:spacing w:after="0" w:line="169" w:lineRule="exact"/>
              <w:rPr>
                <w:rFonts w:ascii="Arial" w:cs="Arial" w:eastAsia="Arial" w:hAnsi="Arial"/>
                <w:sz w:val="16"/>
                <w:szCs w:val="16"/>
                <w:color w:val="0000FF"/>
                <w:w w:val="94"/>
              </w:rPr>
            </w:pPr>
            <w:hyperlink r:id="rId147">
              <w:r>
                <w:rPr>
                  <w:rFonts w:ascii="Arial" w:cs="Arial" w:eastAsia="Arial" w:hAnsi="Arial"/>
                  <w:sz w:val="16"/>
                  <w:szCs w:val="16"/>
                  <w:color w:val="0000FF"/>
                  <w:w w:val="94"/>
                </w:rPr>
                <w:t>hereto)</w:t>
              </w:r>
            </w:hyperlink>
          </w:p>
        </w:tc>
        <w:tc>
          <w:tcPr>
            <w:tcW w:w="3660" w:type="dxa"/>
            <w:vAlign w:val="bottom"/>
            <w:gridSpan w:val="25"/>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4.5</w:t>
            </w:r>
          </w:p>
        </w:tc>
        <w:tc>
          <w:tcPr>
            <w:tcW w:w="4380" w:type="dxa"/>
            <w:vAlign w:val="bottom"/>
            <w:gridSpan w:val="35"/>
          </w:tcPr>
          <w:p>
            <w:pPr>
              <w:spacing w:after="0"/>
              <w:rPr>
                <w:rFonts w:ascii="Arial" w:cs="Arial" w:eastAsia="Arial" w:hAnsi="Arial"/>
                <w:sz w:val="16"/>
                <w:szCs w:val="16"/>
                <w:color w:val="0000FF"/>
              </w:rPr>
            </w:pPr>
            <w:hyperlink r:id="rId148">
              <w:r>
                <w:rPr>
                  <w:rFonts w:ascii="Arial" w:cs="Arial" w:eastAsia="Arial" w:hAnsi="Arial"/>
                  <w:sz w:val="16"/>
                  <w:szCs w:val="16"/>
                  <w:color w:val="0000FF"/>
                </w:rPr>
                <w:t>Indenture, dated as of September 25, 2024, by and among</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6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Connect Finco SARL, Connect U.S. Finco LLC, the</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68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guarantors party thereto and Wilmington Trust, as</w:t>
              </w:r>
            </w:hyperlink>
          </w:p>
        </w:tc>
        <w:tc>
          <w:tcPr>
            <w:tcW w:w="700" w:type="dxa"/>
            <w:vAlign w:val="bottom"/>
            <w:gridSpan w:val="20"/>
          </w:tcPr>
          <w:p>
            <w:pPr>
              <w:jc w:val="right"/>
              <w:ind w:right="300"/>
              <w:spacing w:after="0" w:line="169" w:lineRule="exact"/>
              <w:rPr>
                <w:rFonts w:ascii="Arial" w:cs="Arial" w:eastAsia="Arial" w:hAnsi="Arial"/>
                <w:sz w:val="16"/>
                <w:szCs w:val="16"/>
                <w:color w:val="0000FF"/>
                <w:w w:val="77"/>
              </w:rPr>
            </w:pPr>
            <w:hyperlink r:id="rId148">
              <w:r>
                <w:rPr>
                  <w:rFonts w:ascii="Arial" w:cs="Arial" w:eastAsia="Arial" w:hAnsi="Arial"/>
                  <w:sz w:val="16"/>
                  <w:szCs w:val="16"/>
                  <w:color w:val="0000FF"/>
                  <w:w w:val="77"/>
                </w:rPr>
                <w:t>trustee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84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w w:val="99"/>
              </w:rPr>
            </w:pPr>
            <w:hyperlink r:id="rId148">
              <w:r>
                <w:rPr>
                  <w:rFonts w:ascii="Arial" w:cs="Arial" w:eastAsia="Arial" w:hAnsi="Arial"/>
                  <w:sz w:val="16"/>
                  <w:szCs w:val="16"/>
                  <w:color w:val="0000FF"/>
                  <w:w w:val="99"/>
                </w:rPr>
                <w:t>and notes collateral agent</w:t>
              </w:r>
            </w:hyperlink>
          </w:p>
        </w:tc>
        <w:tc>
          <w:tcPr>
            <w:tcW w:w="228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4.5.1</w:t>
            </w:r>
          </w:p>
        </w:tc>
        <w:tc>
          <w:tcPr>
            <w:tcW w:w="4380" w:type="dxa"/>
            <w:vAlign w:val="bottom"/>
            <w:gridSpan w:val="35"/>
          </w:tcPr>
          <w:p>
            <w:pPr>
              <w:spacing w:after="0"/>
              <w:rPr>
                <w:rFonts w:ascii="Arial" w:cs="Arial" w:eastAsia="Arial" w:hAnsi="Arial"/>
                <w:sz w:val="16"/>
                <w:szCs w:val="16"/>
                <w:color w:val="0000FF"/>
              </w:rPr>
            </w:pPr>
            <w:hyperlink r:id="rId148">
              <w:r>
                <w:rPr>
                  <w:rFonts w:ascii="Arial" w:cs="Arial" w:eastAsia="Arial" w:hAnsi="Arial"/>
                  <w:sz w:val="16"/>
                  <w:szCs w:val="16"/>
                  <w:color w:val="0000FF"/>
                </w:rPr>
                <w:t>Form of 9.000% Senior Secured Notes due 2029 of Connect</w:t>
              </w:r>
            </w:hyperlink>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4320" w:type="dxa"/>
            <w:vAlign w:val="bottom"/>
            <w:gridSpan w:val="34"/>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Finco SARL and Connect U.S. Finco LLC (attached as</w:t>
              </w:r>
            </w:hyperlink>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Exhibit A to the Indenture filed as Exhibit 4.5 hereto)</w:t>
              </w:r>
            </w:hyperlink>
          </w:p>
        </w:tc>
        <w:tc>
          <w:tcPr>
            <w:tcW w:w="200" w:type="dxa"/>
            <w:vAlign w:val="bottom"/>
            <w:tcBorders>
              <w:top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4.6</w:t>
            </w:r>
          </w:p>
        </w:tc>
        <w:tc>
          <w:tcPr>
            <w:tcW w:w="4380" w:type="dxa"/>
            <w:vAlign w:val="bottom"/>
            <w:gridSpan w:val="35"/>
          </w:tcPr>
          <w:p>
            <w:pPr>
              <w:spacing w:after="0"/>
              <w:rPr>
                <w:rFonts w:ascii="Arial" w:cs="Arial" w:eastAsia="Arial" w:hAnsi="Arial"/>
                <w:sz w:val="16"/>
                <w:szCs w:val="16"/>
                <w:color w:val="0000FF"/>
              </w:rPr>
            </w:pPr>
            <w:hyperlink r:id="rId149">
              <w:r>
                <w:rPr>
                  <w:rFonts w:ascii="Arial" w:cs="Arial" w:eastAsia="Arial" w:hAnsi="Arial"/>
                  <w:sz w:val="16"/>
                  <w:szCs w:val="16"/>
                  <w:color w:val="0000FF"/>
                </w:rPr>
                <w:t>Description of Registered Securities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6"/>
              </w:rPr>
              <w:t>10.1*</w:t>
            </w:r>
          </w:p>
        </w:tc>
        <w:tc>
          <w:tcPr>
            <w:tcW w:w="4380" w:type="dxa"/>
            <w:vAlign w:val="bottom"/>
            <w:gridSpan w:val="35"/>
          </w:tcPr>
          <w:p>
            <w:pPr>
              <w:spacing w:after="0"/>
              <w:rPr>
                <w:rFonts w:ascii="Arial" w:cs="Arial" w:eastAsia="Arial" w:hAnsi="Arial"/>
                <w:sz w:val="16"/>
                <w:szCs w:val="16"/>
                <w:color w:val="0000FF"/>
              </w:rPr>
            </w:pPr>
            <w:hyperlink r:id="rId150">
              <w:r>
                <w:rPr>
                  <w:rFonts w:ascii="Arial" w:cs="Arial" w:eastAsia="Arial" w:hAnsi="Arial"/>
                  <w:sz w:val="16"/>
                  <w:szCs w:val="16"/>
                  <w:color w:val="0000FF"/>
                </w:rPr>
                <w:t>Stockholder Agreement, dated as of May 21, 2025, by and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w w:val="99"/>
              </w:rPr>
            </w:pPr>
            <w:hyperlink r:id="rId150">
              <w:r>
                <w:rPr>
                  <w:rFonts w:ascii="Arial" w:cs="Arial" w:eastAsia="Arial" w:hAnsi="Arial"/>
                  <w:sz w:val="16"/>
                  <w:szCs w:val="16"/>
                  <w:color w:val="0000FF"/>
                  <w:w w:val="99"/>
                </w:rPr>
                <w:t>between Viasat, Inc. and Triton LuxTopHolding SARL.</w:t>
              </w:r>
            </w:hyperlink>
          </w:p>
        </w:tc>
        <w:tc>
          <w:tcPr>
            <w:tcW w:w="380" w:type="dxa"/>
            <w:vAlign w:val="bottom"/>
            <w:tcBorders>
              <w:top w:val="single" w:sz="8" w:color="0000FF"/>
            </w:tcBorders>
            <w:gridSpan w:val="1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6"/>
              </w:rPr>
              <w:t>10.2*</w:t>
            </w:r>
          </w:p>
        </w:tc>
        <w:tc>
          <w:tcPr>
            <w:tcW w:w="4380" w:type="dxa"/>
            <w:vAlign w:val="bottom"/>
            <w:gridSpan w:val="35"/>
          </w:tcPr>
          <w:p>
            <w:pPr>
              <w:spacing w:after="0"/>
              <w:rPr>
                <w:rFonts w:ascii="Arial" w:cs="Arial" w:eastAsia="Arial" w:hAnsi="Arial"/>
                <w:sz w:val="16"/>
                <w:szCs w:val="16"/>
                <w:color w:val="0000FF"/>
              </w:rPr>
            </w:pPr>
            <w:hyperlink r:id="rId151">
              <w:r>
                <w:rPr>
                  <w:rFonts w:ascii="Arial" w:cs="Arial" w:eastAsia="Arial" w:hAnsi="Arial"/>
                  <w:sz w:val="16"/>
                  <w:szCs w:val="16"/>
                  <w:color w:val="0000FF"/>
                </w:rPr>
                <w:t>Stockholder Agreement, dated as of May 21, 2025, by and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2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between Viasat, Inc. and CPP Investment Board Private</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16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7"/>
              </w:rPr>
            </w:pPr>
            <w:hyperlink r:id="rId151">
              <w:r>
                <w:rPr>
                  <w:rFonts w:ascii="Arial" w:cs="Arial" w:eastAsia="Arial" w:hAnsi="Arial"/>
                  <w:sz w:val="16"/>
                  <w:szCs w:val="16"/>
                  <w:color w:val="0000FF"/>
                  <w:w w:val="97"/>
                </w:rPr>
                <w:t>Holdings (4) Inc.</w:t>
              </w:r>
            </w:hyperlink>
          </w:p>
        </w:tc>
        <w:tc>
          <w:tcPr>
            <w:tcW w:w="28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6"/>
              </w:rPr>
              <w:t>10.3*</w:t>
            </w:r>
          </w:p>
        </w:tc>
        <w:tc>
          <w:tcPr>
            <w:tcW w:w="4380" w:type="dxa"/>
            <w:vAlign w:val="bottom"/>
            <w:gridSpan w:val="35"/>
          </w:tcPr>
          <w:p>
            <w:pPr>
              <w:spacing w:after="0"/>
              <w:rPr>
                <w:rFonts w:ascii="Arial" w:cs="Arial" w:eastAsia="Arial" w:hAnsi="Arial"/>
                <w:sz w:val="16"/>
                <w:szCs w:val="16"/>
                <w:color w:val="0000FF"/>
              </w:rPr>
            </w:pPr>
            <w:hyperlink r:id="rId152">
              <w:r>
                <w:rPr>
                  <w:rFonts w:ascii="Arial" w:cs="Arial" w:eastAsia="Arial" w:hAnsi="Arial"/>
                  <w:sz w:val="16"/>
                  <w:szCs w:val="16"/>
                  <w:color w:val="0000FF"/>
                </w:rPr>
                <w:t>Stockholder Agreement, dated as of May 21, 2025, by and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2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between Viasat, Inc. and Ontario Teachers’ Pension Plan</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3"/>
              </w:rPr>
            </w:pPr>
            <w:hyperlink r:id="rId152">
              <w:r>
                <w:rPr>
                  <w:rFonts w:ascii="Arial" w:cs="Arial" w:eastAsia="Arial" w:hAnsi="Arial"/>
                  <w:sz w:val="16"/>
                  <w:szCs w:val="16"/>
                  <w:color w:val="0000FF"/>
                  <w:w w:val="93"/>
                </w:rPr>
                <w:t>Board.</w:t>
              </w:r>
            </w:hyperlink>
          </w:p>
        </w:tc>
        <w:tc>
          <w:tcPr>
            <w:tcW w:w="20" w:type="dxa"/>
            <w:vAlign w:val="bottom"/>
            <w:tcBorders>
              <w:top w:val="single" w:sz="8" w:color="0000FF"/>
              <w:bottom w:val="single" w:sz="8" w:color="0000EE"/>
            </w:tcBorders>
          </w:tcPr>
          <w:p>
            <w:pPr>
              <w:spacing w:after="0"/>
              <w:rPr>
                <w:sz w:val="14"/>
                <w:szCs w:val="14"/>
                <w:color w:val="auto"/>
              </w:rPr>
            </w:pPr>
          </w:p>
        </w:tc>
        <w:tc>
          <w:tcPr>
            <w:tcW w:w="3660" w:type="dxa"/>
            <w:vAlign w:val="bottom"/>
            <w:tcBorders>
              <w:top w:val="single" w:sz="8" w:color="0000FF"/>
            </w:tcBorders>
            <w:gridSpan w:val="25"/>
          </w:tcPr>
          <w:p>
            <w:pPr>
              <w:spacing w:after="0"/>
              <w:rPr>
                <w:sz w:val="14"/>
                <w:szCs w:val="14"/>
                <w:color w:val="auto"/>
              </w:rPr>
            </w:pPr>
          </w:p>
        </w:tc>
        <w:tc>
          <w:tcPr>
            <w:tcW w:w="8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6"/>
              </w:rPr>
              <w:t>10.4*</w:t>
            </w:r>
          </w:p>
        </w:tc>
        <w:tc>
          <w:tcPr>
            <w:tcW w:w="4380" w:type="dxa"/>
            <w:vAlign w:val="bottom"/>
            <w:gridSpan w:val="35"/>
          </w:tcPr>
          <w:p>
            <w:pPr>
              <w:spacing w:after="0"/>
              <w:rPr>
                <w:rFonts w:ascii="Arial" w:cs="Arial" w:eastAsia="Arial" w:hAnsi="Arial"/>
                <w:sz w:val="16"/>
                <w:szCs w:val="16"/>
                <w:color w:val="0000FF"/>
              </w:rPr>
            </w:pPr>
            <w:hyperlink r:id="rId153">
              <w:r>
                <w:rPr>
                  <w:rFonts w:ascii="Arial" w:cs="Arial" w:eastAsia="Arial" w:hAnsi="Arial"/>
                  <w:sz w:val="16"/>
                  <w:szCs w:val="16"/>
                  <w:color w:val="0000FF"/>
                </w:rPr>
                <w:t>Stockholder Agreement, dated as of May 21, 2025, by and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between Viasat, Inc. and WP Triton Co-Invest, L.P.</w:t>
              </w:r>
            </w:hyperlink>
          </w:p>
        </w:tc>
        <w:tc>
          <w:tcPr>
            <w:tcW w:w="20" w:type="dxa"/>
            <w:vAlign w:val="bottom"/>
            <w:tcBorders>
              <w:top w:val="single" w:sz="8" w:color="0000FF"/>
              <w:bottom w:val="single" w:sz="8" w:color="0000EE"/>
            </w:tcBorders>
          </w:tcPr>
          <w:p>
            <w:pPr>
              <w:spacing w:after="0"/>
              <w:rPr>
                <w:sz w:val="14"/>
                <w:szCs w:val="14"/>
                <w:color w:val="auto"/>
              </w:rPr>
            </w:pPr>
          </w:p>
        </w:tc>
        <w:tc>
          <w:tcPr>
            <w:tcW w:w="560" w:type="dxa"/>
            <w:vAlign w:val="bottom"/>
            <w:tcBorders>
              <w:top w:val="single" w:sz="8" w:color="0000FF"/>
            </w:tcBorders>
            <w:gridSpan w:val="16"/>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10.5</w:t>
            </w:r>
          </w:p>
        </w:tc>
        <w:tc>
          <w:tcPr>
            <w:tcW w:w="4380" w:type="dxa"/>
            <w:vAlign w:val="bottom"/>
            <w:gridSpan w:val="35"/>
          </w:tcPr>
          <w:p>
            <w:pPr>
              <w:spacing w:after="0"/>
              <w:rPr>
                <w:rFonts w:ascii="Arial" w:cs="Arial" w:eastAsia="Arial" w:hAnsi="Arial"/>
                <w:sz w:val="16"/>
                <w:szCs w:val="16"/>
                <w:color w:val="0000FF"/>
              </w:rPr>
            </w:pPr>
            <w:hyperlink r:id="rId154">
              <w:r>
                <w:rPr>
                  <w:rFonts w:ascii="Arial" w:cs="Arial" w:eastAsia="Arial" w:hAnsi="Arial"/>
                  <w:sz w:val="16"/>
                  <w:szCs w:val="16"/>
                  <w:color w:val="0000FF"/>
                </w:rPr>
                <w:t>Form of Indemnification Agreement between ViaSat, Inc.</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w w:val="99"/>
              </w:rPr>
            </w:pPr>
            <w:hyperlink r:id="rId154">
              <w:r>
                <w:rPr>
                  <w:rFonts w:ascii="Arial" w:cs="Arial" w:eastAsia="Arial" w:hAnsi="Arial"/>
                  <w:sz w:val="16"/>
                  <w:szCs w:val="16"/>
                  <w:color w:val="0000FF"/>
                  <w:w w:val="99"/>
                </w:rPr>
                <w:t>and each of its directors and officers</w:t>
              </w:r>
            </w:hyperlink>
          </w:p>
        </w:tc>
        <w:tc>
          <w:tcPr>
            <w:tcW w:w="1500" w:type="dxa"/>
            <w:vAlign w:val="bottom"/>
            <w:tcBorders>
              <w:top w:val="single" w:sz="8" w:color="0000FF"/>
            </w:tcBorders>
            <w:gridSpan w:val="16"/>
          </w:tcPr>
          <w:p>
            <w:pPr>
              <w:spacing w:after="0"/>
              <w:rPr>
                <w:sz w:val="14"/>
                <w:szCs w:val="14"/>
                <w:color w:val="auto"/>
              </w:rPr>
            </w:pPr>
          </w:p>
        </w:tc>
        <w:tc>
          <w:tcPr>
            <w:tcW w:w="140" w:type="dxa"/>
            <w:vAlign w:val="bottom"/>
            <w:gridSpan w:val="5"/>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10.6**</w:t>
            </w:r>
          </w:p>
        </w:tc>
        <w:tc>
          <w:tcPr>
            <w:tcW w:w="4380" w:type="dxa"/>
            <w:vAlign w:val="bottom"/>
            <w:gridSpan w:val="35"/>
          </w:tcPr>
          <w:p>
            <w:pPr>
              <w:spacing w:after="0"/>
              <w:rPr>
                <w:rFonts w:ascii="Arial" w:cs="Arial" w:eastAsia="Arial" w:hAnsi="Arial"/>
                <w:sz w:val="16"/>
                <w:szCs w:val="16"/>
                <w:color w:val="0000FF"/>
              </w:rPr>
            </w:pPr>
            <w:hyperlink r:id="rId155">
              <w:r>
                <w:rPr>
                  <w:rFonts w:ascii="Arial" w:cs="Arial" w:eastAsia="Arial" w:hAnsi="Arial"/>
                  <w:sz w:val="16"/>
                  <w:szCs w:val="16"/>
                  <w:color w:val="0000FF"/>
                </w:rPr>
                <w:t>Viasat, Inc. Employee Stock Purchase Plan (As Amended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and Restated Effective September 7, 2023)</w:t>
              </w:r>
            </w:hyperlink>
          </w:p>
        </w:tc>
        <w:tc>
          <w:tcPr>
            <w:tcW w:w="1100" w:type="dxa"/>
            <w:vAlign w:val="bottom"/>
            <w:tcBorders>
              <w:top w:val="single" w:sz="8" w:color="0000FF"/>
            </w:tcBorders>
            <w:gridSpan w:val="18"/>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10.7**</w:t>
            </w:r>
          </w:p>
        </w:tc>
        <w:tc>
          <w:tcPr>
            <w:tcW w:w="4380" w:type="dxa"/>
            <w:vAlign w:val="bottom"/>
            <w:gridSpan w:val="35"/>
          </w:tcPr>
          <w:p>
            <w:pPr>
              <w:spacing w:after="0"/>
              <w:rPr>
                <w:rFonts w:ascii="Arial" w:cs="Arial" w:eastAsia="Arial" w:hAnsi="Arial"/>
                <w:sz w:val="16"/>
                <w:szCs w:val="16"/>
                <w:color w:val="0000FF"/>
              </w:rPr>
            </w:pPr>
            <w:hyperlink r:id="rId156">
              <w:r>
                <w:rPr>
                  <w:rFonts w:ascii="Arial" w:cs="Arial" w:eastAsia="Arial" w:hAnsi="Arial"/>
                  <w:sz w:val="16"/>
                  <w:szCs w:val="16"/>
                  <w:color w:val="0000FF"/>
                </w:rPr>
                <w:t>1996 Equity Participation Plan of Viasat, Inc. (As Amended</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8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and Restated Effective September 5, 2024)</w:t>
              </w:r>
            </w:hyperlink>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300" w:type="dxa"/>
            <w:vAlign w:val="bottom"/>
            <w:gridSpan w:val="7"/>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tcPr>
          <w:p>
            <w:pPr>
              <w:jc w:val="center"/>
              <w:ind w:right="359"/>
              <w:spacing w:after="0"/>
              <w:rPr>
                <w:sz w:val="20"/>
                <w:szCs w:val="20"/>
                <w:color w:val="auto"/>
              </w:rPr>
            </w:pPr>
            <w:r>
              <w:rPr>
                <w:rFonts w:ascii="Arial" w:cs="Arial" w:eastAsia="Arial" w:hAnsi="Arial"/>
                <w:sz w:val="16"/>
                <w:szCs w:val="16"/>
                <w:color w:val="auto"/>
              </w:rPr>
              <w:t>10.8**</w:t>
            </w:r>
          </w:p>
        </w:tc>
        <w:tc>
          <w:tcPr>
            <w:tcW w:w="4380" w:type="dxa"/>
            <w:vAlign w:val="bottom"/>
            <w:gridSpan w:val="35"/>
          </w:tcPr>
          <w:p>
            <w:pPr>
              <w:spacing w:after="0"/>
              <w:rPr>
                <w:rFonts w:ascii="Arial" w:cs="Arial" w:eastAsia="Arial" w:hAnsi="Arial"/>
                <w:sz w:val="16"/>
                <w:szCs w:val="16"/>
                <w:color w:val="0000FF"/>
              </w:rPr>
            </w:pPr>
            <w:hyperlink r:id="rId157">
              <w:r>
                <w:rPr>
                  <w:rFonts w:ascii="Arial" w:cs="Arial" w:eastAsia="Arial" w:hAnsi="Arial"/>
                  <w:sz w:val="16"/>
                  <w:szCs w:val="16"/>
                  <w:color w:val="0000FF"/>
                </w:rPr>
                <w:t>Form of Stock Option Agreement for the 1996 Equity</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3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157">
              <w:r>
                <w:rPr>
                  <w:rFonts w:ascii="Arial" w:cs="Arial" w:eastAsia="Arial" w:hAnsi="Arial"/>
                  <w:sz w:val="16"/>
                  <w:szCs w:val="16"/>
                  <w:color w:val="0000FF"/>
                  <w:w w:val="99"/>
                </w:rPr>
                <w:t>Participation Plan of ViaSat, Inc.</w:t>
              </w:r>
            </w:hyperlink>
          </w:p>
        </w:tc>
        <w:tc>
          <w:tcPr>
            <w:tcW w:w="15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260" w:type="dxa"/>
            <w:vAlign w:val="bottom"/>
            <w:gridSpan w:val="10"/>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60" w:type="dxa"/>
            <w:vAlign w:val="bottom"/>
            <w:vMerge w:val="restart"/>
          </w:tcPr>
          <w:p>
            <w:pPr>
              <w:jc w:val="center"/>
              <w:ind w:right="359"/>
              <w:spacing w:after="0"/>
              <w:rPr>
                <w:sz w:val="20"/>
                <w:szCs w:val="20"/>
                <w:color w:val="auto"/>
              </w:rPr>
            </w:pPr>
            <w:r>
              <w:rPr>
                <w:rFonts w:ascii="Arial" w:cs="Arial" w:eastAsia="Arial" w:hAnsi="Arial"/>
                <w:sz w:val="16"/>
                <w:szCs w:val="16"/>
                <w:color w:val="auto"/>
              </w:rPr>
              <w:t>10.9**</w:t>
            </w:r>
          </w:p>
        </w:tc>
        <w:tc>
          <w:tcPr>
            <w:tcW w:w="4380" w:type="dxa"/>
            <w:vAlign w:val="bottom"/>
            <w:gridSpan w:val="35"/>
          </w:tcPr>
          <w:p>
            <w:pPr>
              <w:spacing w:after="0"/>
              <w:rPr>
                <w:rFonts w:ascii="Arial" w:cs="Arial" w:eastAsia="Arial" w:hAnsi="Arial"/>
                <w:sz w:val="16"/>
                <w:szCs w:val="16"/>
                <w:color w:val="0000FF"/>
              </w:rPr>
            </w:pPr>
            <w:hyperlink r:id="rId158">
              <w:r>
                <w:rPr>
                  <w:rFonts w:ascii="Arial" w:cs="Arial" w:eastAsia="Arial" w:hAnsi="Arial"/>
                  <w:sz w:val="16"/>
                  <w:szCs w:val="16"/>
                  <w:color w:val="0000FF"/>
                </w:rPr>
                <w:t>Form of Stock Option Agreement for the 1996 Equity</w:t>
              </w:r>
            </w:hyperlink>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vMerge w:val="continue"/>
          </w:tcPr>
          <w:p>
            <w:pPr>
              <w:spacing w:after="0"/>
              <w:rPr>
                <w:sz w:val="9"/>
                <w:szCs w:val="9"/>
                <w:color w:val="auto"/>
              </w:rPr>
            </w:pPr>
          </w:p>
        </w:tc>
        <w:tc>
          <w:tcPr>
            <w:tcW w:w="4380" w:type="dxa"/>
            <w:vAlign w:val="bottom"/>
            <w:gridSpan w:val="35"/>
            <w:vMerge w:val="restart"/>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Participation Plan of ViaSat, Inc. — Independent Director</w:t>
              </w:r>
            </w:hyperlink>
          </w:p>
        </w:tc>
        <w:tc>
          <w:tcPr>
            <w:tcW w:w="0" w:type="dxa"/>
            <w:vAlign w:val="bottom"/>
          </w:tcPr>
          <w:p>
            <w:pPr>
              <w:spacing w:after="0"/>
              <w:rPr>
                <w:sz w:val="1"/>
                <w:szCs w:val="1"/>
                <w:color w:val="auto"/>
              </w:rPr>
            </w:pPr>
          </w:p>
        </w:tc>
      </w:tr>
      <w:tr>
        <w:trPr>
          <w:trHeight w:val="56"/>
        </w:trPr>
        <w:tc>
          <w:tcPr>
            <w:tcW w:w="960" w:type="dxa"/>
            <w:vAlign w:val="bottom"/>
          </w:tcPr>
          <w:p>
            <w:pPr>
              <w:spacing w:after="0"/>
              <w:rPr>
                <w:sz w:val="4"/>
                <w:szCs w:val="4"/>
                <w:color w:val="auto"/>
              </w:rPr>
            </w:pPr>
          </w:p>
        </w:tc>
        <w:tc>
          <w:tcPr>
            <w:tcW w:w="4380" w:type="dxa"/>
            <w:vAlign w:val="bottom"/>
            <w:gridSpan w:val="3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880" w:type="dxa"/>
            <w:vAlign w:val="bottom"/>
            <w:gridSpan w:val="8"/>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8"/>
              </w:rPr>
              <w:t>10.10**</w:t>
            </w:r>
          </w:p>
        </w:tc>
        <w:tc>
          <w:tcPr>
            <w:tcW w:w="4380" w:type="dxa"/>
            <w:vAlign w:val="bottom"/>
            <w:gridSpan w:val="35"/>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Performance Stock Option Agreement for the 1996</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32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Equity Participation Plan of Viasat Inc. (Stock Price)</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vMerge w:val="restart"/>
          </w:tcPr>
          <w:p>
            <w:pPr>
              <w:jc w:val="center"/>
              <w:ind w:right="359"/>
              <w:spacing w:after="0"/>
              <w:rPr>
                <w:sz w:val="20"/>
                <w:szCs w:val="20"/>
                <w:color w:val="auto"/>
              </w:rPr>
            </w:pPr>
            <w:r>
              <w:rPr>
                <w:rFonts w:ascii="Arial" w:cs="Arial" w:eastAsia="Arial" w:hAnsi="Arial"/>
                <w:sz w:val="16"/>
                <w:szCs w:val="16"/>
                <w:color w:val="auto"/>
                <w:w w:val="98"/>
              </w:rPr>
              <w:t>10.11**</w:t>
            </w:r>
          </w:p>
        </w:tc>
        <w:tc>
          <w:tcPr>
            <w:tcW w:w="4380" w:type="dxa"/>
            <w:vAlign w:val="bottom"/>
            <w:gridSpan w:val="35"/>
          </w:tcPr>
          <w:p>
            <w:pPr>
              <w:spacing w:after="0"/>
              <w:rPr>
                <w:rFonts w:ascii="Arial" w:cs="Arial" w:eastAsia="Arial" w:hAnsi="Arial"/>
                <w:sz w:val="16"/>
                <w:szCs w:val="16"/>
                <w:color w:val="0000FF"/>
              </w:rPr>
            </w:pPr>
            <w:hyperlink r:id="rId160">
              <w:r>
                <w:rPr>
                  <w:rFonts w:ascii="Arial" w:cs="Arial" w:eastAsia="Arial" w:hAnsi="Arial"/>
                  <w:sz w:val="16"/>
                  <w:szCs w:val="16"/>
                  <w:color w:val="0000FF"/>
                </w:rPr>
                <w:t>Form of Performance Stock Option Agreement for the</w:t>
              </w:r>
            </w:hyperlink>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vMerge w:val="continue"/>
          </w:tcPr>
          <w:p>
            <w:pPr>
              <w:spacing w:after="0"/>
              <w:rPr>
                <w:sz w:val="9"/>
                <w:szCs w:val="9"/>
                <w:color w:val="auto"/>
              </w:rPr>
            </w:pPr>
          </w:p>
        </w:tc>
        <w:tc>
          <w:tcPr>
            <w:tcW w:w="4380" w:type="dxa"/>
            <w:vAlign w:val="bottom"/>
            <w:gridSpan w:val="35"/>
            <w:vMerge w:val="restart"/>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Viasat Inc. 1996 Equity Participation Plan</w:t>
              </w:r>
            </w:hyperlink>
          </w:p>
        </w:tc>
        <w:tc>
          <w:tcPr>
            <w:tcW w:w="0" w:type="dxa"/>
            <w:vAlign w:val="bottom"/>
          </w:tcPr>
          <w:p>
            <w:pPr>
              <w:spacing w:after="0"/>
              <w:rPr>
                <w:sz w:val="1"/>
                <w:szCs w:val="1"/>
                <w:color w:val="auto"/>
              </w:rPr>
            </w:pPr>
          </w:p>
        </w:tc>
      </w:tr>
      <w:tr>
        <w:trPr>
          <w:trHeight w:val="56"/>
        </w:trPr>
        <w:tc>
          <w:tcPr>
            <w:tcW w:w="960" w:type="dxa"/>
            <w:vAlign w:val="bottom"/>
          </w:tcPr>
          <w:p>
            <w:pPr>
              <w:spacing w:after="0"/>
              <w:rPr>
                <w:sz w:val="4"/>
                <w:szCs w:val="4"/>
                <w:color w:val="auto"/>
              </w:rPr>
            </w:pPr>
          </w:p>
        </w:tc>
        <w:tc>
          <w:tcPr>
            <w:tcW w:w="4380" w:type="dxa"/>
            <w:vAlign w:val="bottom"/>
            <w:gridSpan w:val="3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2940" w:type="dxa"/>
            <w:vAlign w:val="bottom"/>
            <w:gridSpan w:val="10"/>
            <w:shd w:val="clear" w:color="auto" w:fill="0000FF"/>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60" w:type="dxa"/>
            <w:vAlign w:val="bottom"/>
          </w:tcPr>
          <w:p>
            <w:pPr>
              <w:jc w:val="center"/>
              <w:ind w:right="359"/>
              <w:spacing w:after="0"/>
              <w:rPr>
                <w:sz w:val="20"/>
                <w:szCs w:val="20"/>
                <w:color w:val="auto"/>
              </w:rPr>
            </w:pPr>
            <w:r>
              <w:rPr>
                <w:rFonts w:ascii="Arial" w:cs="Arial" w:eastAsia="Arial" w:hAnsi="Arial"/>
                <w:sz w:val="16"/>
                <w:szCs w:val="16"/>
                <w:color w:val="auto"/>
                <w:w w:val="98"/>
              </w:rPr>
              <w:t>10.12**</w:t>
            </w:r>
          </w:p>
        </w:tc>
        <w:tc>
          <w:tcPr>
            <w:tcW w:w="4380" w:type="dxa"/>
            <w:vAlign w:val="bottom"/>
            <w:gridSpan w:val="35"/>
          </w:tcPr>
          <w:p>
            <w:pPr>
              <w:spacing w:after="0"/>
              <w:rPr>
                <w:rFonts w:ascii="Arial" w:cs="Arial" w:eastAsia="Arial" w:hAnsi="Arial"/>
                <w:sz w:val="16"/>
                <w:szCs w:val="16"/>
                <w:color w:val="0000FF"/>
              </w:rPr>
            </w:pPr>
            <w:hyperlink r:id="rId161">
              <w:r>
                <w:rPr>
                  <w:rFonts w:ascii="Arial" w:cs="Arial" w:eastAsia="Arial" w:hAnsi="Arial"/>
                  <w:sz w:val="16"/>
                  <w:szCs w:val="16"/>
                  <w:color w:val="0000FF"/>
                </w:rPr>
                <w:t>Form of Restricted Stock Unit Award Agreement for the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398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1996 Equity Participation Plan of ViaSat, Inc.—Global</w:t>
              </w:r>
            </w:hyperlink>
          </w:p>
        </w:tc>
        <w:tc>
          <w:tcPr>
            <w:tcW w:w="4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538"/>
        </w:trPr>
        <w:tc>
          <w:tcPr>
            <w:tcW w:w="960" w:type="dxa"/>
            <w:vAlign w:val="bottom"/>
          </w:tcPr>
          <w:p>
            <w:pPr>
              <w:spacing w:after="0"/>
              <w:rPr>
                <w:sz w:val="24"/>
                <w:szCs w:val="24"/>
                <w:color w:val="auto"/>
              </w:rPr>
            </w:pPr>
          </w:p>
        </w:tc>
        <w:tc>
          <w:tcPr>
            <w:tcW w:w="3820" w:type="dxa"/>
            <w:vAlign w:val="bottom"/>
            <w:tcBorders>
              <w:top w:val="single" w:sz="8" w:color="0000FF"/>
            </w:tcBorders>
            <w:gridSpan w:val="18"/>
          </w:tcPr>
          <w:p>
            <w:pPr>
              <w:spacing w:after="0"/>
              <w:rPr>
                <w:sz w:val="24"/>
                <w:szCs w:val="24"/>
                <w:color w:val="auto"/>
              </w:rPr>
            </w:pPr>
          </w:p>
        </w:tc>
        <w:tc>
          <w:tcPr>
            <w:tcW w:w="560" w:type="dxa"/>
            <w:vAlign w:val="bottom"/>
            <w:gridSpan w:val="17"/>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455930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06/24/2020</w:t>
            </w:r>
          </w:p>
        </w:tc>
      </w:tr>
      <w:tr>
        <w:trPr>
          <w:trHeight w:val="662"/>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09/28/2023</w:t>
            </w:r>
          </w:p>
        </w:tc>
      </w:tr>
      <w:tr>
        <w:trPr>
          <w:trHeight w:val="47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09/28/2023</w:t>
            </w:r>
          </w:p>
        </w:tc>
      </w:tr>
      <w:tr>
        <w:trPr>
          <w:trHeight w:val="662"/>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10/01/2024</w:t>
            </w:r>
          </w:p>
        </w:tc>
      </w:tr>
      <w:tr>
        <w:trPr>
          <w:trHeight w:val="85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10/01/2024</w:t>
            </w:r>
          </w:p>
        </w:tc>
      </w:tr>
      <w:tr>
        <w:trPr>
          <w:trHeight w:val="662"/>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4.7</w:t>
            </w:r>
          </w:p>
        </w:tc>
        <w:tc>
          <w:tcPr>
            <w:tcW w:w="1040" w:type="dxa"/>
            <w:vAlign w:val="bottom"/>
          </w:tcPr>
          <w:p>
            <w:pPr>
              <w:jc w:val="right"/>
              <w:spacing w:after="0"/>
              <w:rPr>
                <w:sz w:val="20"/>
                <w:szCs w:val="20"/>
                <w:color w:val="auto"/>
              </w:rPr>
            </w:pPr>
            <w:r>
              <w:rPr>
                <w:rFonts w:ascii="Arial" w:cs="Arial" w:eastAsia="Arial" w:hAnsi="Arial"/>
                <w:sz w:val="16"/>
                <w:szCs w:val="16"/>
                <w:color w:val="auto"/>
              </w:rPr>
              <w:t>05/29/2024</w:t>
            </w:r>
          </w:p>
        </w:tc>
      </w:tr>
      <w:tr>
        <w:trPr>
          <w:trHeight w:val="28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05/22/2025</w:t>
            </w:r>
          </w:p>
        </w:tc>
      </w:tr>
      <w:tr>
        <w:trPr>
          <w:trHeight w:val="47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10.2</w:t>
            </w:r>
          </w:p>
        </w:tc>
        <w:tc>
          <w:tcPr>
            <w:tcW w:w="1040" w:type="dxa"/>
            <w:vAlign w:val="bottom"/>
          </w:tcPr>
          <w:p>
            <w:pPr>
              <w:jc w:val="right"/>
              <w:spacing w:after="0"/>
              <w:rPr>
                <w:sz w:val="20"/>
                <w:szCs w:val="20"/>
                <w:color w:val="auto"/>
              </w:rPr>
            </w:pPr>
            <w:r>
              <w:rPr>
                <w:rFonts w:ascii="Arial" w:cs="Arial" w:eastAsia="Arial" w:hAnsi="Arial"/>
                <w:sz w:val="16"/>
                <w:szCs w:val="16"/>
                <w:color w:val="auto"/>
              </w:rPr>
              <w:t>05/22/2025</w:t>
            </w:r>
          </w:p>
        </w:tc>
      </w:tr>
      <w:tr>
        <w:trPr>
          <w:trHeight w:val="662"/>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10.3</w:t>
            </w:r>
          </w:p>
        </w:tc>
        <w:tc>
          <w:tcPr>
            <w:tcW w:w="1040" w:type="dxa"/>
            <w:vAlign w:val="bottom"/>
          </w:tcPr>
          <w:p>
            <w:pPr>
              <w:jc w:val="right"/>
              <w:spacing w:after="0"/>
              <w:rPr>
                <w:sz w:val="20"/>
                <w:szCs w:val="20"/>
                <w:color w:val="auto"/>
              </w:rPr>
            </w:pPr>
            <w:r>
              <w:rPr>
                <w:rFonts w:ascii="Arial" w:cs="Arial" w:eastAsia="Arial" w:hAnsi="Arial"/>
                <w:sz w:val="16"/>
                <w:szCs w:val="16"/>
                <w:color w:val="auto"/>
              </w:rPr>
              <w:t>05/22/2025</w:t>
            </w:r>
          </w:p>
        </w:tc>
      </w:tr>
      <w:tr>
        <w:trPr>
          <w:trHeight w:val="662"/>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05/22/2025</w:t>
            </w:r>
          </w:p>
        </w:tc>
      </w:tr>
      <w:tr>
        <w:trPr>
          <w:trHeight w:val="47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99.1</w:t>
            </w:r>
          </w:p>
        </w:tc>
        <w:tc>
          <w:tcPr>
            <w:tcW w:w="1040" w:type="dxa"/>
            <w:vAlign w:val="bottom"/>
          </w:tcPr>
          <w:p>
            <w:pPr>
              <w:jc w:val="right"/>
              <w:spacing w:after="0"/>
              <w:rPr>
                <w:sz w:val="20"/>
                <w:szCs w:val="20"/>
                <w:color w:val="auto"/>
              </w:rPr>
            </w:pPr>
            <w:r>
              <w:rPr>
                <w:rFonts w:ascii="Arial" w:cs="Arial" w:eastAsia="Arial" w:hAnsi="Arial"/>
                <w:sz w:val="16"/>
                <w:szCs w:val="16"/>
                <w:color w:val="auto"/>
              </w:rPr>
              <w:t>03/07/2008</w:t>
            </w:r>
          </w:p>
        </w:tc>
      </w:tr>
      <w:tr>
        <w:trPr>
          <w:trHeight w:val="594"/>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10.2</w:t>
            </w:r>
          </w:p>
        </w:tc>
        <w:tc>
          <w:tcPr>
            <w:tcW w:w="1040" w:type="dxa"/>
            <w:vAlign w:val="bottom"/>
          </w:tcPr>
          <w:p>
            <w:pPr>
              <w:jc w:val="right"/>
              <w:spacing w:after="0"/>
              <w:rPr>
                <w:sz w:val="20"/>
                <w:szCs w:val="20"/>
                <w:color w:val="auto"/>
              </w:rPr>
            </w:pPr>
            <w:r>
              <w:rPr>
                <w:rFonts w:ascii="Arial" w:cs="Arial" w:eastAsia="Arial" w:hAnsi="Arial"/>
                <w:sz w:val="16"/>
                <w:szCs w:val="16"/>
                <w:color w:val="auto"/>
              </w:rPr>
              <w:t>09/08/2023</w:t>
            </w:r>
          </w:p>
        </w:tc>
      </w:tr>
      <w:tr>
        <w:trPr>
          <w:trHeight w:val="47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09/09/2024</w:t>
            </w:r>
          </w:p>
        </w:tc>
      </w:tr>
      <w:tr>
        <w:trPr>
          <w:trHeight w:val="473"/>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05/26/2015</w:t>
            </w:r>
          </w:p>
        </w:tc>
      </w:tr>
      <w:tr>
        <w:trPr>
          <w:trHeight w:val="567"/>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11/09/2023</w:t>
            </w:r>
          </w:p>
        </w:tc>
      </w:tr>
      <w:tr>
        <w:trPr>
          <w:trHeight w:val="378"/>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02/09/2024</w:t>
            </w:r>
          </w:p>
        </w:tc>
      </w:tr>
      <w:tr>
        <w:trPr>
          <w:trHeight w:val="567"/>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02/09/2018</w:t>
            </w:r>
          </w:p>
        </w:tc>
      </w:tr>
      <w:tr>
        <w:trPr>
          <w:trHeight w:val="378"/>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center"/>
              <w:spacing w:after="0"/>
              <w:rPr>
                <w:sz w:val="20"/>
                <w:szCs w:val="20"/>
                <w:color w:val="auto"/>
              </w:rPr>
            </w:pPr>
            <w:r>
              <w:rPr>
                <w:rFonts w:ascii="Arial" w:cs="Arial" w:eastAsia="Arial" w:hAnsi="Arial"/>
                <w:sz w:val="16"/>
                <w:szCs w:val="16"/>
                <w:color w:val="auto"/>
              </w:rPr>
              <w:t>10.2</w:t>
            </w:r>
          </w:p>
        </w:tc>
        <w:tc>
          <w:tcPr>
            <w:tcW w:w="1040" w:type="dxa"/>
            <w:vAlign w:val="bottom"/>
          </w:tcPr>
          <w:p>
            <w:pPr>
              <w:jc w:val="right"/>
              <w:spacing w:after="0"/>
              <w:rPr>
                <w:sz w:val="20"/>
                <w:szCs w:val="20"/>
                <w:color w:val="auto"/>
              </w:rPr>
            </w:pPr>
            <w:r>
              <w:rPr>
                <w:rFonts w:ascii="Arial" w:cs="Arial" w:eastAsia="Arial" w:hAnsi="Arial"/>
                <w:sz w:val="16"/>
                <w:szCs w:val="16"/>
                <w:color w:val="auto"/>
              </w:rPr>
              <w:t>11/08/2024</w:t>
            </w:r>
          </w:p>
        </w:tc>
      </w:tr>
    </w:tbl>
    <w:p>
      <w:pPr>
        <w:sectPr>
          <w:pgSz w:w="11900" w:h="16838" w:orient="portrait"/>
          <w:cols w:equalWidth="0" w:num="2">
            <w:col w:w="5340" w:space="560"/>
            <w:col w:w="4020"/>
          </w:cols>
          <w:pgMar w:left="700" w:top="982" w:right="1279" w:bottom="1440" w:gutter="0" w:footer="0" w:header="0"/>
        </w:sectPr>
      </w:pPr>
    </w:p>
    <w:bookmarkStart w:id="74" w:name="page75"/>
    <w:bookmarkEnd w:id="74"/>
    <w:p>
      <w:pPr>
        <w:ind w:left="1020" w:right="12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63">
        <w:r>
          <w:rPr>
            <w:rFonts w:ascii="Arial" w:cs="Arial" w:eastAsia="Arial" w:hAnsi="Arial"/>
            <w:sz w:val="16"/>
            <w:szCs w:val="16"/>
            <w:u w:val="single" w:color="auto"/>
            <w:color w:val="0000FF"/>
          </w:rPr>
          <w:t>Form of Restricted Stock Unit Award Agreement for the</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1996 Equity Participation Plan of ViaSat, Inc.—Independent</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Director</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5438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254381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7451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274510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3600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ind w:left="8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67">
        <w:r>
          <w:rPr>
            <w:rFonts w:ascii="Arial" w:cs="Arial" w:eastAsia="Arial" w:hAnsi="Arial"/>
            <w:sz w:val="16"/>
            <w:szCs w:val="16"/>
            <w:u w:val="single" w:color="auto"/>
            <w:color w:val="0000FF"/>
          </w:rPr>
          <w:t>Form of Restricted Stock Unit Award Agreement for the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25438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2543810" cy="8255"/>
                    </a:xfrm>
                    <a:prstGeom prst="rect">
                      <a:avLst/>
                    </a:prstGeom>
                    <a:noFill/>
                  </pic:spPr>
                </pic:pic>
              </a:graphicData>
            </a:graphic>
          </wp:anchor>
        </w:drawing>
      </w:r>
    </w:p>
    <w:p>
      <w:pPr>
        <w:spacing w:after="0" w:line="1" w:lineRule="exact"/>
        <w:rPr>
          <w:rFonts w:ascii="Arial" w:cs="Arial" w:eastAsia="Arial" w:hAnsi="Arial"/>
          <w:sz w:val="16"/>
          <w:szCs w:val="16"/>
          <w:u w:val="single" w:color="auto"/>
          <w:color w:val="0000FF"/>
        </w:rPr>
      </w:pPr>
    </w:p>
    <w:p>
      <w:pPr>
        <w:ind w:left="1020"/>
        <w:spacing w:after="0"/>
        <w:rPr>
          <w:rFonts w:ascii="Arial" w:cs="Arial" w:eastAsia="Arial" w:hAnsi="Arial"/>
          <w:sz w:val="16"/>
          <w:szCs w:val="16"/>
          <w:u w:val="single" w:color="auto"/>
          <w:color w:val="0000FF"/>
        </w:rPr>
      </w:pPr>
      <w:hyperlink r:id="rId167">
        <w:r>
          <w:rPr>
            <w:rFonts w:ascii="Arial" w:cs="Arial" w:eastAsia="Arial" w:hAnsi="Arial"/>
            <w:sz w:val="16"/>
            <w:szCs w:val="16"/>
            <w:u w:val="single" w:color="auto"/>
            <w:color w:val="0000FF"/>
          </w:rPr>
          <w:t>1996 Equity Participation Plan of ViaSat, Inc.—Executive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-14605</wp:posOffset>
            </wp:positionV>
            <wp:extent cx="25901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2590165" cy="8255"/>
                    </a:xfrm>
                    <a:prstGeom prst="rect">
                      <a:avLst/>
                    </a:prstGeom>
                    <a:noFill/>
                  </pic:spPr>
                </pic:pic>
              </a:graphicData>
            </a:graphic>
          </wp:anchor>
        </w:drawing>
      </w:r>
    </w:p>
    <w:p>
      <w:pPr>
        <w:spacing w:after="0" w:line="64" w:lineRule="exact"/>
        <w:rPr>
          <w:rFonts w:ascii="Arial" w:cs="Arial" w:eastAsia="Arial" w:hAnsi="Arial"/>
          <w:sz w:val="16"/>
          <w:szCs w:val="16"/>
          <w:u w:val="single" w:color="auto"/>
          <w:color w:val="0000FF"/>
        </w:rPr>
      </w:pPr>
    </w:p>
    <w:p>
      <w:pPr>
        <w:ind w:left="1020" w:right="16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70">
        <w:r>
          <w:rPr>
            <w:rFonts w:ascii="Arial" w:cs="Arial" w:eastAsia="Arial" w:hAnsi="Arial"/>
            <w:sz w:val="16"/>
            <w:szCs w:val="16"/>
            <w:u w:val="single" w:color="auto"/>
            <w:color w:val="0000FF"/>
          </w:rPr>
          <w:t>Form of Performance-based Restricted Stock Unit Award</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Agreement for the 1996 Equity Participation Plan of ViaSat,</w:t>
        </w:r>
      </w:hyperlink>
      <w:r>
        <w:rPr>
          <w:rFonts w:ascii="Arial" w:cs="Arial" w:eastAsia="Arial" w:hAnsi="Arial"/>
          <w:sz w:val="16"/>
          <w:szCs w:val="16"/>
          <w:u w:val="single" w:color="auto"/>
          <w:color w:val="0000FF"/>
        </w:rPr>
        <w:t xml:space="preserve"> </w:t>
      </w:r>
      <w:hyperlink r:id="rId170">
        <w:r>
          <w:rPr>
            <w:rFonts w:ascii="Arial" w:cs="Arial" w:eastAsia="Arial" w:hAnsi="Arial"/>
            <w:sz w:val="16"/>
            <w:szCs w:val="16"/>
            <w:u w:val="single" w:color="auto"/>
            <w:color w:val="0000FF"/>
          </w:rPr>
          <w:t>Inc.— Financial Performance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6238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262382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727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13265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1326515" cy="8255"/>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ind w:left="1020" w:right="16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174">
        <w:r>
          <w:rPr>
            <w:rFonts w:ascii="Arial" w:cs="Arial" w:eastAsia="Arial" w:hAnsi="Arial"/>
            <w:sz w:val="16"/>
            <w:szCs w:val="16"/>
            <w:u w:val="single" w:color="auto"/>
            <w:color w:val="0000FF"/>
          </w:rPr>
          <w:t>Form of Performance-based Restricted Stock Unit Award</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Agreement for the 1996 Equity Participation Plan of ViaSat,</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Inc.— Relative Total Shareholder Return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6238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262382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727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185229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jc w:val="both"/>
        <w:ind w:left="1020" w:right="460" w:hanging="942"/>
        <w:spacing w:after="0" w:line="28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178">
        <w:r>
          <w:rPr>
            <w:rFonts w:ascii="Arial" w:cs="Arial" w:eastAsia="Arial" w:hAnsi="Arial"/>
            <w:sz w:val="16"/>
            <w:szCs w:val="16"/>
            <w:u w:val="single" w:color="auto"/>
            <w:color w:val="0000FF"/>
          </w:rPr>
          <w:t>2024 Employment Inducement Incentive Award Plan of</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Viasat,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533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5086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14" w:lineRule="exact"/>
        <w:rPr>
          <w:sz w:val="20"/>
          <w:szCs w:val="20"/>
          <w:color w:val="auto"/>
        </w:rPr>
      </w:pPr>
    </w:p>
    <w:p>
      <w:pPr>
        <w:jc w:val="both"/>
        <w:ind w:left="1020" w:right="44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181">
        <w:r>
          <w:rPr>
            <w:rFonts w:ascii="Arial" w:cs="Arial" w:eastAsia="Arial" w:hAnsi="Arial"/>
            <w:sz w:val="16"/>
            <w:szCs w:val="16"/>
            <w:u w:val="single" w:color="auto"/>
            <w:color w:val="0000FF"/>
          </w:rPr>
          <w:t>Form of Restricted Stock Unit Award Agreement for the</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2024 Employment Inducement Incentive Award Plan of</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Viasat, Inc.—Executive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5438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254381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533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2533015"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10579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jc w:val="both"/>
        <w:ind w:left="1020" w:right="44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185">
        <w:r>
          <w:rPr>
            <w:rFonts w:ascii="Arial" w:cs="Arial" w:eastAsia="Arial" w:hAnsi="Arial"/>
            <w:sz w:val="16"/>
            <w:szCs w:val="16"/>
            <w:u w:val="single" w:color="auto"/>
            <w:color w:val="0000FF"/>
          </w:rPr>
          <w:t>Form of Restricted Stock Unit Award Agreement for the</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2024 Employment Inducement Incentive Award Plan of</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Viasat, Inc.—Relative Total Shareholder Return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5438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54381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533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2167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ind w:left="8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10.20**</w:t>
      </w:r>
      <w:r>
        <w:rPr>
          <w:sz w:val="20"/>
          <w:szCs w:val="20"/>
          <w:color w:val="auto"/>
        </w:rPr>
        <w:tab/>
      </w:r>
      <w:hyperlink r:id="rId189">
        <w:r>
          <w:rPr>
            <w:rFonts w:ascii="Arial" w:cs="Arial" w:eastAsia="Arial" w:hAnsi="Arial"/>
            <w:sz w:val="16"/>
            <w:szCs w:val="16"/>
            <w:u w:val="single" w:color="auto"/>
            <w:color w:val="0000FF"/>
          </w:rPr>
          <w:t>RigNet, Inc. 2010 Omnibus Incentive Plan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19100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80" w:lineRule="exact"/>
        <w:rPr>
          <w:rFonts w:ascii="Arial" w:cs="Arial" w:eastAsia="Arial" w:hAnsi="Arial"/>
          <w:sz w:val="16"/>
          <w:szCs w:val="16"/>
          <w:u w:val="single" w:color="auto"/>
          <w:color w:val="0000FF"/>
        </w:rPr>
      </w:pPr>
    </w:p>
    <w:p>
      <w:pPr>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10.20.1**</w:t>
      </w:r>
      <w:r>
        <w:rPr>
          <w:sz w:val="20"/>
          <w:szCs w:val="20"/>
          <w:color w:val="auto"/>
        </w:rPr>
        <w:tab/>
      </w:r>
      <w:hyperlink r:id="rId191">
        <w:r>
          <w:rPr>
            <w:rFonts w:ascii="Arial" w:cs="Arial" w:eastAsia="Arial" w:hAnsi="Arial"/>
            <w:sz w:val="16"/>
            <w:szCs w:val="16"/>
            <w:u w:val="single" w:color="auto"/>
            <w:color w:val="0000FF"/>
          </w:rPr>
          <w:t>Amendment to RigNet, Inc. 2010 Omnibus Incentive Plan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2607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80" w:lineRule="exact"/>
        <w:rPr>
          <w:rFonts w:ascii="Arial" w:cs="Arial" w:eastAsia="Arial" w:hAnsi="Arial"/>
          <w:sz w:val="16"/>
          <w:szCs w:val="16"/>
          <w:u w:val="single" w:color="auto"/>
          <w:color w:val="0000FF"/>
        </w:rPr>
      </w:pPr>
    </w:p>
    <w:p>
      <w:pPr>
        <w:ind w:left="8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10.21**</w:t>
      </w:r>
      <w:r>
        <w:rPr>
          <w:sz w:val="20"/>
          <w:szCs w:val="20"/>
          <w:color w:val="auto"/>
        </w:rPr>
        <w:tab/>
      </w:r>
      <w:hyperlink r:id="rId193">
        <w:r>
          <w:rPr>
            <w:rFonts w:ascii="Arial" w:cs="Arial" w:eastAsia="Arial" w:hAnsi="Arial"/>
            <w:sz w:val="16"/>
            <w:szCs w:val="16"/>
            <w:u w:val="single" w:color="auto"/>
            <w:color w:val="0000FF"/>
          </w:rPr>
          <w:t>RigNet, Inc. 2019 Omnibus Incentive Plan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19100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1910080" cy="8890"/>
                    </a:xfrm>
                    <a:prstGeom prst="rect">
                      <a:avLst/>
                    </a:prstGeom>
                    <a:noFill/>
                  </pic:spPr>
                </pic:pic>
              </a:graphicData>
            </a:graphic>
          </wp:anchor>
        </w:drawing>
      </w:r>
    </w:p>
    <w:p>
      <w:pPr>
        <w:spacing w:after="0" w:line="80" w:lineRule="exact"/>
        <w:rPr>
          <w:rFonts w:ascii="Arial" w:cs="Arial" w:eastAsia="Arial" w:hAnsi="Arial"/>
          <w:sz w:val="16"/>
          <w:szCs w:val="16"/>
          <w:u w:val="single" w:color="auto"/>
          <w:color w:val="0000FF"/>
        </w:rPr>
      </w:pPr>
    </w:p>
    <w:p>
      <w:pPr>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10.21.1**</w:t>
      </w:r>
      <w:r>
        <w:rPr>
          <w:sz w:val="20"/>
          <w:szCs w:val="20"/>
          <w:color w:val="auto"/>
        </w:rPr>
        <w:tab/>
      </w:r>
      <w:hyperlink r:id="rId195">
        <w:r>
          <w:rPr>
            <w:rFonts w:ascii="Arial" w:cs="Arial" w:eastAsia="Arial" w:hAnsi="Arial"/>
            <w:sz w:val="16"/>
            <w:szCs w:val="16"/>
            <w:u w:val="single" w:color="auto"/>
            <w:color w:val="0000FF"/>
          </w:rPr>
          <w:t>Amendment to RigNet, Inc. 2019 Omnibus Incentive Plan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26073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174" w:lineRule="exact"/>
        <w:rPr>
          <w:rFonts w:ascii="Arial" w:cs="Arial" w:eastAsia="Arial" w:hAnsi="Arial"/>
          <w:sz w:val="16"/>
          <w:szCs w:val="16"/>
          <w:u w:val="single" w:color="auto"/>
          <w:color w:val="0000FF"/>
        </w:rPr>
      </w:pPr>
    </w:p>
    <w:p>
      <w:pPr>
        <w:jc w:val="center"/>
        <w:ind w:right="100"/>
        <w:spacing w:after="0" w:line="28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10.22**     </w:t>
      </w:r>
      <w:hyperlink r:id="rId197">
        <w:r>
          <w:rPr>
            <w:rFonts w:ascii="Arial" w:cs="Arial" w:eastAsia="Arial" w:hAnsi="Arial"/>
            <w:sz w:val="16"/>
            <w:szCs w:val="16"/>
            <w:u w:val="single" w:color="auto"/>
            <w:color w:val="0000FF"/>
          </w:rPr>
          <w:t>Form of Change in Control Severance Agreement between</w:t>
        </w:r>
      </w:hyperlink>
      <w:r>
        <w:rPr>
          <w:rFonts w:ascii="Arial" w:cs="Arial" w:eastAsia="Arial" w:hAnsi="Arial"/>
          <w:sz w:val="16"/>
          <w:szCs w:val="16"/>
          <w:color w:val="auto"/>
        </w:rPr>
        <w:t xml:space="preserve"> </w:t>
      </w:r>
      <w:hyperlink r:id="rId197">
        <w:r>
          <w:rPr>
            <w:rFonts w:ascii="Arial" w:cs="Arial" w:eastAsia="Arial" w:hAnsi="Arial"/>
            <w:sz w:val="16"/>
            <w:szCs w:val="16"/>
            <w:u w:val="single" w:color="auto"/>
            <w:color w:val="0000FF"/>
          </w:rPr>
          <w:t>ViaSat, Inc. and each of its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7101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271018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2047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2047240" cy="8255"/>
                    </a:xfrm>
                    <a:prstGeom prst="rect">
                      <a:avLst/>
                    </a:prstGeom>
                    <a:noFill/>
                  </pic:spPr>
                </pic:pic>
              </a:graphicData>
            </a:graphic>
          </wp:anchor>
        </w:drawing>
      </w:r>
    </w:p>
    <w:p>
      <w:pPr>
        <w:spacing w:after="0" w:line="14" w:lineRule="exact"/>
        <w:rPr>
          <w:sz w:val="20"/>
          <w:szCs w:val="20"/>
          <w:color w:val="auto"/>
        </w:rPr>
      </w:pPr>
    </w:p>
    <w:p>
      <w:pPr>
        <w:ind w:left="1020" w:right="360" w:hanging="942"/>
        <w:spacing w:after="0" w:line="28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10.23**</w:t>
      </w:r>
      <w:r>
        <w:rPr>
          <w:sz w:val="20"/>
          <w:szCs w:val="20"/>
          <w:color w:val="auto"/>
        </w:rPr>
        <w:tab/>
      </w:r>
      <w:hyperlink r:id="rId200">
        <w:r>
          <w:rPr>
            <w:rFonts w:ascii="Arial" w:cs="Arial" w:eastAsia="Arial" w:hAnsi="Arial"/>
            <w:sz w:val="16"/>
            <w:szCs w:val="16"/>
            <w:u w:val="single" w:color="auto"/>
            <w:color w:val="0000FF"/>
          </w:rPr>
          <w:t>Form of Severance Agreement between Viasat, Inc. and</w:t>
        </w:r>
      </w:hyperlink>
      <w:r>
        <w:rPr>
          <w:rFonts w:ascii="Arial" w:cs="Arial" w:eastAsia="Arial" w:hAnsi="Arial"/>
          <w:sz w:val="16"/>
          <w:szCs w:val="16"/>
          <w:u w:val="single" w:color="auto"/>
          <w:color w:val="0000FF"/>
        </w:rPr>
        <w:t xml:space="preserve"> </w:t>
      </w:r>
      <w:hyperlink r:id="rId200">
        <w:r>
          <w:rPr>
            <w:rFonts w:ascii="Arial" w:cs="Arial" w:eastAsia="Arial" w:hAnsi="Arial"/>
            <w:sz w:val="16"/>
            <w:szCs w:val="16"/>
            <w:u w:val="single" w:color="auto"/>
            <w:color w:val="0000FF"/>
          </w:rPr>
          <w:t>each of its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5901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2590165"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1292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14" w:lineRule="exact"/>
        <w:rPr>
          <w:sz w:val="20"/>
          <w:szCs w:val="20"/>
          <w:color w:val="auto"/>
        </w:rPr>
      </w:pPr>
    </w:p>
    <w:p>
      <w:pPr>
        <w:ind w:left="1020" w:right="260" w:hanging="942"/>
        <w:spacing w:after="0" w:line="28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10.24**</w:t>
      </w:r>
      <w:r>
        <w:rPr>
          <w:sz w:val="20"/>
          <w:szCs w:val="20"/>
          <w:color w:val="auto"/>
        </w:rPr>
        <w:tab/>
      </w:r>
      <w:hyperlink r:id="rId203">
        <w:r>
          <w:rPr>
            <w:rFonts w:ascii="Arial" w:cs="Arial" w:eastAsia="Arial" w:hAnsi="Arial"/>
            <w:sz w:val="16"/>
            <w:szCs w:val="16"/>
            <w:u w:val="single" w:color="auto"/>
            <w:color w:val="0000FF"/>
          </w:rPr>
          <w:t>Severance Agreement, dated as of November 5, 2024, by</w:t>
        </w:r>
      </w:hyperlink>
      <w:r>
        <w:rPr>
          <w:rFonts w:ascii="Arial" w:cs="Arial" w:eastAsia="Arial" w:hAnsi="Arial"/>
          <w:sz w:val="16"/>
          <w:szCs w:val="16"/>
          <w:u w:val="single" w:color="auto"/>
          <w:color w:val="0000FF"/>
        </w:rPr>
        <w:t xml:space="preserve"> </w:t>
      </w:r>
      <w:hyperlink r:id="rId203">
        <w:r>
          <w:rPr>
            <w:rFonts w:ascii="Arial" w:cs="Arial" w:eastAsia="Arial" w:hAnsi="Arial"/>
            <w:sz w:val="16"/>
            <w:szCs w:val="16"/>
            <w:u w:val="single" w:color="auto"/>
            <w:color w:val="0000FF"/>
          </w:rPr>
          <w:t>and between Viasat, Inc. and Shawn Duffy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6587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265874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19386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4" w:lineRule="exact"/>
        <w:rPr>
          <w:sz w:val="20"/>
          <w:szCs w:val="20"/>
          <w:color w:val="auto"/>
        </w:rPr>
      </w:pPr>
    </w:p>
    <w:p>
      <w:pPr>
        <w:jc w:val="both"/>
        <w:ind w:left="1020" w:right="160" w:hanging="942"/>
        <w:spacing w:after="0" w:line="26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10.25**</w:t>
      </w:r>
      <w:r>
        <w:rPr>
          <w:sz w:val="20"/>
          <w:szCs w:val="20"/>
          <w:color w:val="auto"/>
        </w:rPr>
        <w:tab/>
      </w:r>
      <w:hyperlink r:id="rId206">
        <w:r>
          <w:rPr>
            <w:rFonts w:ascii="Arial" w:cs="Arial" w:eastAsia="Arial" w:hAnsi="Arial"/>
            <w:sz w:val="16"/>
            <w:szCs w:val="16"/>
            <w:u w:val="single" w:color="auto"/>
            <w:color w:val="0000FF"/>
          </w:rPr>
          <w:t>Amended and Restated Severance Agreement, dated as of</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November 5, 2024, by and between Viasat, Inc. and James</w:t>
        </w:r>
      </w:hyperlink>
      <w:r>
        <w:rPr>
          <w:rFonts w:ascii="Arial" w:cs="Arial" w:eastAsia="Arial" w:hAnsi="Arial"/>
          <w:sz w:val="16"/>
          <w:szCs w:val="16"/>
          <w:u w:val="single" w:color="auto"/>
          <w:color w:val="0000FF"/>
        </w:rPr>
        <w:t xml:space="preserve"> </w:t>
      </w:r>
      <w:hyperlink r:id="rId206">
        <w:r>
          <w:rPr>
            <w:rFonts w:ascii="Arial" w:cs="Arial" w:eastAsia="Arial" w:hAnsi="Arial"/>
            <w:sz w:val="16"/>
            <w:szCs w:val="16"/>
            <w:u w:val="single" w:color="auto"/>
            <w:color w:val="0000FF"/>
          </w:rPr>
          <w:t>Dodd</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645795</wp:posOffset>
            </wp:positionH>
            <wp:positionV relativeFrom="paragraph">
              <wp:posOffset>-276225</wp:posOffset>
            </wp:positionV>
            <wp:extent cx="2727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2727960"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-156210</wp:posOffset>
            </wp:positionV>
            <wp:extent cx="2727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-36195</wp:posOffset>
            </wp:positionV>
            <wp:extent cx="2457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245745" cy="8890"/>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jc w:val="center"/>
        <w:ind w:right="200"/>
        <w:spacing w:after="0" w:line="28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10.26**     </w:t>
      </w:r>
      <w:hyperlink r:id="rId210">
        <w:r>
          <w:rPr>
            <w:rFonts w:ascii="Arial" w:cs="Arial" w:eastAsia="Arial" w:hAnsi="Arial"/>
            <w:sz w:val="16"/>
            <w:szCs w:val="16"/>
            <w:u w:val="single" w:color="auto"/>
            <w:color w:val="0000FF"/>
          </w:rPr>
          <w:t>Severance Agreement, dated as of April 13, 2023, by and</w:t>
        </w:r>
      </w:hyperlink>
      <w:r>
        <w:rPr>
          <w:rFonts w:ascii="Arial" w:cs="Arial" w:eastAsia="Arial" w:hAnsi="Arial"/>
          <w:sz w:val="16"/>
          <w:szCs w:val="16"/>
          <w:color w:val="auto"/>
        </w:rPr>
        <w:t xml:space="preserve"> </w:t>
      </w:r>
      <w:hyperlink r:id="rId210">
        <w:r>
          <w:rPr>
            <w:rFonts w:ascii="Arial" w:cs="Arial" w:eastAsia="Arial" w:hAnsi="Arial"/>
            <w:sz w:val="16"/>
            <w:szCs w:val="16"/>
            <w:u w:val="single" w:color="auto"/>
            <w:color w:val="0000FF"/>
          </w:rPr>
          <w:t>between Viasat, Inc. and K. Guru Gowrappan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6479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264795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20701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2070100" cy="8255"/>
                    </a:xfrm>
                    <a:prstGeom prst="rect">
                      <a:avLst/>
                    </a:prstGeom>
                    <a:noFill/>
                  </pic:spPr>
                </pic:pic>
              </a:graphicData>
            </a:graphic>
          </wp:anchor>
        </w:drawing>
      </w:r>
    </w:p>
    <w:p>
      <w:pPr>
        <w:spacing w:after="0" w:line="14" w:lineRule="exact"/>
        <w:rPr>
          <w:sz w:val="20"/>
          <w:szCs w:val="20"/>
          <w:color w:val="auto"/>
        </w:rPr>
      </w:pPr>
    </w:p>
    <w:p>
      <w:pPr>
        <w:ind w:left="1020" w:right="80" w:hanging="942"/>
        <w:spacing w:after="0" w:line="286" w:lineRule="auto"/>
        <w:tabs>
          <w:tab w:leader="none" w:pos="1000" w:val="left"/>
        </w:tabs>
        <w:rPr>
          <w:sz w:val="20"/>
          <w:szCs w:val="20"/>
          <w:color w:val="auto"/>
        </w:rPr>
      </w:pPr>
      <w:r>
        <w:rPr>
          <w:rFonts w:ascii="Arial" w:cs="Arial" w:eastAsia="Arial" w:hAnsi="Arial"/>
          <w:sz w:val="16"/>
          <w:szCs w:val="16"/>
          <w:color w:val="auto"/>
        </w:rPr>
        <w:t>10.27**</w:t>
      </w:r>
      <w:r>
        <w:rPr>
          <w:sz w:val="20"/>
          <w:szCs w:val="20"/>
          <w:color w:val="auto"/>
        </w:rPr>
        <w:tab/>
      </w:r>
      <w:r>
        <w:rPr>
          <w:rFonts w:ascii="Arial" w:cs="Arial" w:eastAsia="Arial" w:hAnsi="Arial"/>
          <w:sz w:val="16"/>
          <w:szCs w:val="16"/>
          <w:u w:val="single" w:color="auto"/>
          <w:color w:val="0000FF"/>
        </w:rPr>
        <w:t>Transition Agreement, dated as of January 23, 2025, by and between Viasat, Inc. and K. Guru Gowrappan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7520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275209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20701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2070100" cy="8255"/>
                    </a:xfrm>
                    <a:prstGeom prst="rect">
                      <a:avLst/>
                    </a:prstGeom>
                    <a:noFill/>
                  </pic:spPr>
                </pic:pic>
              </a:graphicData>
            </a:graphic>
          </wp:anchor>
        </w:drawing>
      </w:r>
    </w:p>
    <w:p>
      <w:pPr>
        <w:spacing w:after="0" w:line="14" w:lineRule="exact"/>
        <w:rPr>
          <w:sz w:val="20"/>
          <w:szCs w:val="20"/>
          <w:color w:val="auto"/>
        </w:rPr>
      </w:pPr>
    </w:p>
    <w:p>
      <w:pPr>
        <w:ind w:left="1020" w:right="460" w:hanging="942"/>
        <w:spacing w:after="0" w:line="286" w:lineRule="auto"/>
        <w:tabs>
          <w:tab w:leader="none" w:pos="1000" w:val="left"/>
        </w:tabs>
        <w:rPr>
          <w:sz w:val="20"/>
          <w:szCs w:val="20"/>
          <w:color w:val="auto"/>
        </w:rPr>
      </w:pPr>
      <w:r>
        <w:rPr>
          <w:rFonts w:ascii="Arial" w:cs="Arial" w:eastAsia="Arial" w:hAnsi="Arial"/>
          <w:sz w:val="16"/>
          <w:szCs w:val="16"/>
          <w:color w:val="auto"/>
        </w:rPr>
        <w:t>10.28**</w:t>
      </w:r>
      <w:r>
        <w:rPr>
          <w:sz w:val="20"/>
          <w:szCs w:val="20"/>
          <w:color w:val="auto"/>
        </w:rPr>
        <w:tab/>
      </w:r>
      <w:r>
        <w:rPr>
          <w:rFonts w:ascii="Arial" w:cs="Arial" w:eastAsia="Arial" w:hAnsi="Arial"/>
          <w:sz w:val="16"/>
          <w:szCs w:val="16"/>
          <w:u w:val="single" w:color="auto"/>
          <w:color w:val="0000FF"/>
        </w:rPr>
        <w:t>Transition Agreement, dated as of July 2, 2024, by and between Viasat, Inc. and Evan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-165735</wp:posOffset>
            </wp:positionV>
            <wp:extent cx="25273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2527300" cy="889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-45720</wp:posOffset>
            </wp:positionV>
            <wp:extent cx="16808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14"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auto"/>
        </w:rPr>
        <w:t>10.28.1**</w:t>
      </w:r>
      <w:r>
        <w:rPr>
          <w:sz w:val="20"/>
          <w:szCs w:val="20"/>
          <w:color w:val="auto"/>
        </w:rPr>
        <w:tab/>
      </w:r>
      <w:r>
        <w:rPr>
          <w:rFonts w:ascii="Arial" w:cs="Arial" w:eastAsia="Arial" w:hAnsi="Arial"/>
          <w:sz w:val="16"/>
          <w:szCs w:val="16"/>
          <w:u w:val="single" w:color="auto"/>
          <w:color w:val="0000FF"/>
        </w:rPr>
        <w:t>Amendment to Transition Agreement, dated as of July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-4445</wp:posOffset>
            </wp:positionV>
            <wp:extent cx="26587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6"/>
          <w:szCs w:val="16"/>
          <w:u w:val="single" w:color="auto"/>
          <w:color w:val="0000FF"/>
        </w:rPr>
        <w:t>2024, by and between Viasat, Inc. and Evan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-14605</wp:posOffset>
            </wp:positionV>
            <wp:extent cx="23044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2304415" cy="8255"/>
                    </a:xfrm>
                    <a:prstGeom prst="rect">
                      <a:avLst/>
                    </a:prstGeom>
                    <a:noFill/>
                  </pic:spPr>
                </pic:pic>
              </a:graphicData>
            </a:graphic>
          </wp:anchor>
        </w:drawing>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10.5</w:t>
            </w:r>
          </w:p>
        </w:tc>
        <w:tc>
          <w:tcPr>
            <w:tcW w:w="1020" w:type="dxa"/>
            <w:vAlign w:val="bottom"/>
          </w:tcPr>
          <w:p>
            <w:pPr>
              <w:jc w:val="right"/>
              <w:spacing w:after="0"/>
              <w:rPr>
                <w:sz w:val="20"/>
                <w:szCs w:val="20"/>
                <w:color w:val="auto"/>
              </w:rPr>
            </w:pPr>
            <w:r>
              <w:rPr>
                <w:rFonts w:ascii="Arial" w:cs="Arial" w:eastAsia="Arial" w:hAnsi="Arial"/>
                <w:sz w:val="16"/>
                <w:szCs w:val="16"/>
                <w:color w:val="auto"/>
              </w:rPr>
              <w:t>11/09/2023</w:t>
            </w:r>
          </w:p>
        </w:tc>
      </w:tr>
      <w:tr>
        <w:trPr>
          <w:trHeight w:val="662"/>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10.3</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473"/>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08/09/2024</w:t>
            </w:r>
          </w:p>
        </w:tc>
      </w:tr>
      <w:tr>
        <w:trPr>
          <w:trHeight w:val="662"/>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10.2</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08/09/2024</w:t>
            </w:r>
          </w:p>
        </w:tc>
      </w:tr>
      <w:tr>
        <w:trPr>
          <w:trHeight w:val="661"/>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10.4</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473"/>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10.5</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662"/>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10.6</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662"/>
        </w:trPr>
        <w:tc>
          <w:tcPr>
            <w:tcW w:w="720" w:type="dxa"/>
            <w:vAlign w:val="bottom"/>
          </w:tcPr>
          <w:p>
            <w:pPr>
              <w:jc w:val="center"/>
              <w:ind w:right="299"/>
              <w:spacing w:after="0"/>
              <w:rPr>
                <w:sz w:val="20"/>
                <w:szCs w:val="20"/>
                <w:color w:val="auto"/>
              </w:rPr>
            </w:pPr>
            <w:r>
              <w:rPr>
                <w:rFonts w:ascii="Arial" w:cs="Arial" w:eastAsia="Arial" w:hAnsi="Arial"/>
                <w:sz w:val="16"/>
                <w:szCs w:val="16"/>
                <w:color w:val="auto"/>
              </w:rPr>
              <w:t>S-8</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rPr>
              <w:t>333-255690</w:t>
            </w:r>
          </w:p>
        </w:tc>
        <w:tc>
          <w:tcPr>
            <w:tcW w:w="840" w:type="dxa"/>
            <w:vAlign w:val="bottom"/>
          </w:tcPr>
          <w:p>
            <w:pPr>
              <w:jc w:val="center"/>
              <w:spacing w:after="0"/>
              <w:rPr>
                <w:sz w:val="20"/>
                <w:szCs w:val="20"/>
                <w:color w:val="auto"/>
              </w:rPr>
            </w:pPr>
            <w:r>
              <w:rPr>
                <w:rFonts w:ascii="Arial" w:cs="Arial" w:eastAsia="Arial" w:hAnsi="Arial"/>
                <w:sz w:val="16"/>
                <w:szCs w:val="16"/>
                <w:color w:val="auto"/>
              </w:rPr>
              <w:t>10.3</w:t>
            </w:r>
          </w:p>
        </w:tc>
        <w:tc>
          <w:tcPr>
            <w:tcW w:w="102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283"/>
        </w:trPr>
        <w:tc>
          <w:tcPr>
            <w:tcW w:w="720" w:type="dxa"/>
            <w:vAlign w:val="bottom"/>
          </w:tcPr>
          <w:p>
            <w:pPr>
              <w:jc w:val="center"/>
              <w:ind w:right="299"/>
              <w:spacing w:after="0"/>
              <w:rPr>
                <w:sz w:val="20"/>
                <w:szCs w:val="20"/>
                <w:color w:val="auto"/>
              </w:rPr>
            </w:pPr>
            <w:r>
              <w:rPr>
                <w:rFonts w:ascii="Arial" w:cs="Arial" w:eastAsia="Arial" w:hAnsi="Arial"/>
                <w:sz w:val="16"/>
                <w:szCs w:val="16"/>
                <w:color w:val="auto"/>
              </w:rPr>
              <w:t>S-8</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rPr>
              <w:t>333-255690</w:t>
            </w:r>
          </w:p>
        </w:tc>
        <w:tc>
          <w:tcPr>
            <w:tcW w:w="840" w:type="dxa"/>
            <w:vAlign w:val="bottom"/>
          </w:tcPr>
          <w:p>
            <w:pPr>
              <w:jc w:val="center"/>
              <w:spacing w:after="0"/>
              <w:rPr>
                <w:sz w:val="20"/>
                <w:szCs w:val="20"/>
                <w:color w:val="auto"/>
              </w:rPr>
            </w:pPr>
            <w:r>
              <w:rPr>
                <w:rFonts w:ascii="Arial" w:cs="Arial" w:eastAsia="Arial" w:hAnsi="Arial"/>
                <w:sz w:val="16"/>
                <w:szCs w:val="16"/>
                <w:color w:val="auto"/>
              </w:rPr>
              <w:t>10.4</w:t>
            </w:r>
          </w:p>
        </w:tc>
        <w:tc>
          <w:tcPr>
            <w:tcW w:w="102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283"/>
        </w:trPr>
        <w:tc>
          <w:tcPr>
            <w:tcW w:w="720" w:type="dxa"/>
            <w:vAlign w:val="bottom"/>
          </w:tcPr>
          <w:p>
            <w:pPr>
              <w:jc w:val="center"/>
              <w:ind w:right="299"/>
              <w:spacing w:after="0"/>
              <w:rPr>
                <w:sz w:val="20"/>
                <w:szCs w:val="20"/>
                <w:color w:val="auto"/>
              </w:rPr>
            </w:pPr>
            <w:r>
              <w:rPr>
                <w:rFonts w:ascii="Arial" w:cs="Arial" w:eastAsia="Arial" w:hAnsi="Arial"/>
                <w:sz w:val="16"/>
                <w:szCs w:val="16"/>
                <w:color w:val="auto"/>
              </w:rPr>
              <w:t>S-8</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rPr>
              <w:t>333-255690</w:t>
            </w:r>
          </w:p>
        </w:tc>
        <w:tc>
          <w:tcPr>
            <w:tcW w:w="840" w:type="dxa"/>
            <w:vAlign w:val="bottom"/>
          </w:tcPr>
          <w:p>
            <w:pPr>
              <w:jc w:val="center"/>
              <w:spacing w:after="0"/>
              <w:rPr>
                <w:sz w:val="20"/>
                <w:szCs w:val="20"/>
                <w:color w:val="auto"/>
              </w:rPr>
            </w:pPr>
            <w:r>
              <w:rPr>
                <w:rFonts w:ascii="Arial" w:cs="Arial" w:eastAsia="Arial" w:hAnsi="Arial"/>
                <w:sz w:val="16"/>
                <w:szCs w:val="16"/>
                <w:color w:val="auto"/>
              </w:rPr>
              <w:t>10.5</w:t>
            </w:r>
          </w:p>
        </w:tc>
        <w:tc>
          <w:tcPr>
            <w:tcW w:w="102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283"/>
        </w:trPr>
        <w:tc>
          <w:tcPr>
            <w:tcW w:w="720" w:type="dxa"/>
            <w:vAlign w:val="bottom"/>
          </w:tcPr>
          <w:p>
            <w:pPr>
              <w:jc w:val="center"/>
              <w:ind w:right="299"/>
              <w:spacing w:after="0"/>
              <w:rPr>
                <w:sz w:val="20"/>
                <w:szCs w:val="20"/>
                <w:color w:val="auto"/>
              </w:rPr>
            </w:pPr>
            <w:r>
              <w:rPr>
                <w:rFonts w:ascii="Arial" w:cs="Arial" w:eastAsia="Arial" w:hAnsi="Arial"/>
                <w:sz w:val="16"/>
                <w:szCs w:val="16"/>
                <w:color w:val="auto"/>
              </w:rPr>
              <w:t>S-8</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rPr>
              <w:t>333-255690</w:t>
            </w:r>
          </w:p>
        </w:tc>
        <w:tc>
          <w:tcPr>
            <w:tcW w:w="840" w:type="dxa"/>
            <w:vAlign w:val="bottom"/>
          </w:tcPr>
          <w:p>
            <w:pPr>
              <w:jc w:val="center"/>
              <w:spacing w:after="0"/>
              <w:rPr>
                <w:sz w:val="20"/>
                <w:szCs w:val="20"/>
                <w:color w:val="auto"/>
              </w:rPr>
            </w:pPr>
            <w:r>
              <w:rPr>
                <w:rFonts w:ascii="Arial" w:cs="Arial" w:eastAsia="Arial" w:hAnsi="Arial"/>
                <w:sz w:val="16"/>
                <w:szCs w:val="16"/>
                <w:color w:val="auto"/>
              </w:rPr>
              <w:t>10.6</w:t>
            </w:r>
          </w:p>
        </w:tc>
        <w:tc>
          <w:tcPr>
            <w:tcW w:w="1020" w:type="dxa"/>
            <w:vAlign w:val="bottom"/>
          </w:tcPr>
          <w:p>
            <w:pPr>
              <w:jc w:val="right"/>
              <w:spacing w:after="0"/>
              <w:rPr>
                <w:sz w:val="20"/>
                <w:szCs w:val="20"/>
                <w:color w:val="auto"/>
              </w:rPr>
            </w:pPr>
            <w:r>
              <w:rPr>
                <w:rFonts w:ascii="Arial" w:cs="Arial" w:eastAsia="Arial" w:hAnsi="Arial"/>
                <w:sz w:val="16"/>
                <w:szCs w:val="16"/>
                <w:color w:val="auto"/>
              </w:rPr>
              <w:t>04/30/2021</w:t>
            </w:r>
          </w:p>
        </w:tc>
      </w:tr>
      <w:tr>
        <w:trPr>
          <w:trHeight w:val="378"/>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10.7</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473"/>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10.8</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473"/>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10.9</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473"/>
        </w:trPr>
        <w:tc>
          <w:tcPr>
            <w:tcW w:w="720" w:type="dxa"/>
            <w:vAlign w:val="bottom"/>
          </w:tcPr>
          <w:p>
            <w:pPr>
              <w:jc w:val="center"/>
              <w:ind w:right="279"/>
              <w:spacing w:after="0"/>
              <w:rPr>
                <w:sz w:val="20"/>
                <w:szCs w:val="20"/>
                <w:color w:val="auto"/>
              </w:rPr>
            </w:pPr>
            <w:r>
              <w:rPr>
                <w:rFonts w:ascii="Arial" w:cs="Arial" w:eastAsia="Arial" w:hAnsi="Arial"/>
                <w:sz w:val="16"/>
                <w:szCs w:val="16"/>
                <w:color w:val="auto"/>
              </w:rPr>
              <w:t>10-Q</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20" w:type="dxa"/>
            <w:vAlign w:val="bottom"/>
          </w:tcPr>
          <w:p>
            <w:pPr>
              <w:jc w:val="right"/>
              <w:spacing w:after="0"/>
              <w:rPr>
                <w:sz w:val="20"/>
                <w:szCs w:val="20"/>
                <w:color w:val="auto"/>
              </w:rPr>
            </w:pPr>
            <w:r>
              <w:rPr>
                <w:rFonts w:ascii="Arial" w:cs="Arial" w:eastAsia="Arial" w:hAnsi="Arial"/>
                <w:sz w:val="16"/>
                <w:szCs w:val="16"/>
                <w:color w:val="auto"/>
              </w:rPr>
              <w:t>11/08/2024</w:t>
            </w:r>
          </w:p>
        </w:tc>
      </w:tr>
      <w:tr>
        <w:trPr>
          <w:trHeight w:val="661"/>
        </w:trPr>
        <w:tc>
          <w:tcPr>
            <w:tcW w:w="720" w:type="dxa"/>
            <w:vAlign w:val="bottom"/>
          </w:tcPr>
          <w:p>
            <w:pPr>
              <w:jc w:val="center"/>
              <w:ind w:right="299"/>
              <w:spacing w:after="0"/>
              <w:rPr>
                <w:sz w:val="20"/>
                <w:szCs w:val="20"/>
                <w:color w:val="auto"/>
              </w:rPr>
            </w:pPr>
            <w:r>
              <w:rPr>
                <w:rFonts w:ascii="Arial" w:cs="Arial" w:eastAsia="Arial" w:hAnsi="Arial"/>
                <w:sz w:val="16"/>
                <w:szCs w:val="16"/>
                <w:color w:val="auto"/>
              </w:rPr>
              <w:t>10-K</w:t>
            </w:r>
          </w:p>
        </w:tc>
        <w:tc>
          <w:tcPr>
            <w:tcW w:w="1440" w:type="dxa"/>
            <w:vAlign w:val="bottom"/>
          </w:tcPr>
          <w:p>
            <w:pPr>
              <w:jc w:val="center"/>
              <w:ind w:left="79"/>
              <w:spacing w:after="0"/>
              <w:rPr>
                <w:sz w:val="20"/>
                <w:szCs w:val="20"/>
                <w:color w:val="auto"/>
              </w:rPr>
            </w:pPr>
            <w:r>
              <w:rPr>
                <w:rFonts w:ascii="Arial" w:cs="Arial" w:eastAsia="Arial" w:hAnsi="Arial"/>
                <w:sz w:val="16"/>
                <w:szCs w:val="16"/>
                <w:color w:val="auto"/>
                <w:w w:val="99"/>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20" w:type="dxa"/>
            <w:vAlign w:val="bottom"/>
          </w:tcPr>
          <w:p>
            <w:pPr>
              <w:jc w:val="right"/>
              <w:spacing w:after="0"/>
              <w:rPr>
                <w:sz w:val="20"/>
                <w:szCs w:val="20"/>
                <w:color w:val="auto"/>
              </w:rPr>
            </w:pPr>
            <w:r>
              <w:rPr>
                <w:rFonts w:ascii="Arial" w:cs="Arial" w:eastAsia="Arial" w:hAnsi="Arial"/>
                <w:sz w:val="16"/>
                <w:szCs w:val="16"/>
                <w:color w:val="auto"/>
              </w:rPr>
              <w:t>05/22/2023</w:t>
            </w:r>
          </w:p>
        </w:tc>
      </w:tr>
    </w:tbl>
    <w:p>
      <w:pPr>
        <w:spacing w:after="0" w:line="2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28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X</w:t>
      </w:r>
    </w:p>
    <w:p>
      <w:pPr>
        <w:spacing w:after="0" w:line="28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420" w:space="560"/>
            <w:col w:w="4700"/>
          </w:cols>
          <w:pgMar w:left="620" w:top="989" w:right="599" w:bottom="1440" w:gutter="0" w:footer="0" w:header="0"/>
        </w:sectPr>
      </w:pPr>
    </w:p>
    <w:bookmarkStart w:id="75" w:name="page76"/>
    <w:bookmarkEnd w:id="75"/>
    <w:p>
      <w:pPr>
        <w:ind w:left="960" w:right="240" w:hanging="879"/>
        <w:spacing w:after="0" w:line="26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w:t>
      </w:r>
      <w:r>
        <w:rPr>
          <w:sz w:val="20"/>
          <w:szCs w:val="20"/>
          <w:color w:val="auto"/>
        </w:rPr>
        <w:tab/>
      </w:r>
      <w:hyperlink r:id="rId220">
        <w:r>
          <w:rPr>
            <w:rFonts w:ascii="Arial" w:cs="Arial" w:eastAsia="Arial" w:hAnsi="Arial"/>
            <w:sz w:val="16"/>
            <w:szCs w:val="16"/>
            <w:u w:val="single" w:color="auto"/>
            <w:color w:val="0000FF"/>
          </w:rPr>
          <w:t>Credit Agreement dated as of November 26, 2013, by and</w:t>
        </w:r>
      </w:hyperlink>
      <w:r>
        <w:rPr>
          <w:rFonts w:ascii="Arial" w:cs="Arial" w:eastAsia="Arial" w:hAnsi="Arial"/>
          <w:sz w:val="16"/>
          <w:szCs w:val="16"/>
          <w:u w:val="single" w:color="auto"/>
          <w:color w:val="0000FF"/>
        </w:rPr>
        <w:t xml:space="preserve"> </w:t>
      </w:r>
      <w:hyperlink r:id="rId220">
        <w:r>
          <w:rPr>
            <w:rFonts w:ascii="Arial" w:cs="Arial" w:eastAsia="Arial" w:hAnsi="Arial"/>
            <w:sz w:val="16"/>
            <w:szCs w:val="16"/>
            <w:u w:val="single" w:color="auto"/>
            <w:color w:val="0000FF"/>
          </w:rPr>
          <w:t>among ViaSat, Inc., Union Bank, N.A. (as agent) and the</w:t>
        </w:r>
      </w:hyperlink>
      <w:r>
        <w:rPr>
          <w:rFonts w:ascii="Arial" w:cs="Arial" w:eastAsia="Arial" w:hAnsi="Arial"/>
          <w:sz w:val="16"/>
          <w:szCs w:val="16"/>
          <w:u w:val="single" w:color="auto"/>
          <w:color w:val="0000FF"/>
        </w:rPr>
        <w:t xml:space="preserve"> </w:t>
      </w:r>
      <w:hyperlink r:id="rId220">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-276225</wp:posOffset>
            </wp:positionV>
            <wp:extent cx="267017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267017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-156210</wp:posOffset>
            </wp:positionV>
            <wp:extent cx="26073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260731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-36195</wp:posOffset>
            </wp:positionV>
            <wp:extent cx="1206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jc w:val="both"/>
        <w:ind w:left="960" w:right="440" w:hanging="946"/>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10.29.1</w:t>
      </w:r>
      <w:r>
        <w:rPr>
          <w:sz w:val="20"/>
          <w:szCs w:val="20"/>
          <w:color w:val="auto"/>
        </w:rPr>
        <w:tab/>
      </w:r>
      <w:hyperlink r:id="rId224">
        <w:r>
          <w:rPr>
            <w:rFonts w:ascii="Arial" w:cs="Arial" w:eastAsia="Arial" w:hAnsi="Arial"/>
            <w:sz w:val="16"/>
            <w:szCs w:val="16"/>
            <w:u w:val="single" w:color="auto"/>
            <w:color w:val="0000FF"/>
          </w:rPr>
          <w:t>First Amendment to Credit Agreement and Other Loan</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Documents dated as of March 12, 2015, by and among</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ViaSat, Inc., Union Bank, N.A. (as agent) and the other</w:t>
        </w:r>
      </w:hyperlink>
      <w:r>
        <w:rPr>
          <w:rFonts w:ascii="Arial" w:cs="Arial" w:eastAsia="Arial" w:hAnsi="Arial"/>
          <w:sz w:val="16"/>
          <w:szCs w:val="16"/>
          <w:u w:val="single" w:color="auto"/>
          <w:color w:val="0000FF"/>
        </w:rPr>
        <w:t xml:space="preserve"> </w:t>
      </w:r>
      <w:hyperlink r:id="rId224">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504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250444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5387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5273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252730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9436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260" w:hanging="946"/>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10.29.2</w:t>
      </w:r>
      <w:r>
        <w:rPr>
          <w:sz w:val="20"/>
          <w:szCs w:val="20"/>
          <w:color w:val="auto"/>
        </w:rPr>
        <w:tab/>
      </w:r>
      <w:hyperlink r:id="rId229">
        <w:r>
          <w:rPr>
            <w:rFonts w:ascii="Arial" w:cs="Arial" w:eastAsia="Arial" w:hAnsi="Arial"/>
            <w:sz w:val="16"/>
            <w:szCs w:val="16"/>
            <w:u w:val="single" w:color="auto"/>
            <w:color w:val="0000FF"/>
          </w:rPr>
          <w:t>Second Amendment to Credit Agreement and Other Loan</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Documents dated as of May 24, 2016, by and among</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Viasat, Inc., MUFG Union Bank, N.A. (as agent) and the</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6530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4472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5787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1206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pacing w:after="0" w:line="50" w:lineRule="exact"/>
        <w:rPr>
          <w:rFonts w:ascii="Arial" w:cs="Arial" w:eastAsia="Arial" w:hAnsi="Arial"/>
          <w:sz w:val="16"/>
          <w:szCs w:val="16"/>
          <w:u w:val="single" w:color="auto"/>
          <w:color w:val="0000FF"/>
        </w:rPr>
      </w:pPr>
    </w:p>
    <w:p>
      <w:pPr>
        <w:ind w:left="960" w:right="160" w:hanging="946"/>
        <w:spacing w:after="0" w:line="26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10.29.3</w:t>
      </w:r>
      <w:r>
        <w:rPr>
          <w:sz w:val="20"/>
          <w:szCs w:val="20"/>
          <w:color w:val="auto"/>
        </w:rPr>
        <w:tab/>
      </w:r>
      <w:hyperlink r:id="rId234">
        <w:r>
          <w:rPr>
            <w:rFonts w:ascii="Arial" w:cs="Arial" w:eastAsia="Arial" w:hAnsi="Arial"/>
            <w:sz w:val="16"/>
            <w:szCs w:val="16"/>
            <w:u w:val="single" w:color="auto"/>
            <w:color w:val="0000FF"/>
          </w:rPr>
          <w:t>Third Amendment to Credit Agreement dated as of May 24,</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2018 by and among Viasat, Inc., MUFG Union Bank, N.A.</w:t>
        </w:r>
      </w:hyperlink>
      <w:r>
        <w:rPr>
          <w:rFonts w:ascii="Arial" w:cs="Arial" w:eastAsia="Arial" w:hAnsi="Arial"/>
          <w:sz w:val="16"/>
          <w:szCs w:val="16"/>
          <w:u w:val="single" w:color="auto"/>
          <w:color w:val="0000FF"/>
        </w:rPr>
        <w:t xml:space="preserve"> </w:t>
      </w:r>
      <w:hyperlink r:id="rId234">
        <w:r>
          <w:rPr>
            <w:rFonts w:ascii="Arial" w:cs="Arial" w:eastAsia="Arial" w:hAnsi="Arial"/>
            <w:sz w:val="16"/>
            <w:szCs w:val="16"/>
            <w:u w:val="single" w:color="auto"/>
            <w:color w:val="0000FF"/>
          </w:rPr>
          <w:t>(as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-276225</wp:posOffset>
            </wp:positionV>
            <wp:extent cx="2727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272732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-156210</wp:posOffset>
            </wp:positionV>
            <wp:extent cx="26530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-36195</wp:posOffset>
            </wp:positionV>
            <wp:extent cx="20701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2070100" cy="8890"/>
                    </a:xfrm>
                    <a:prstGeom prst="rect">
                      <a:avLst/>
                    </a:prstGeom>
                    <a:noFill/>
                  </pic:spPr>
                </pic:pic>
              </a:graphicData>
            </a:graphic>
          </wp:anchor>
        </w:drawing>
      </w:r>
    </w:p>
    <w:p>
      <w:pPr>
        <w:spacing w:after="0" w:line="30" w:lineRule="exact"/>
        <w:rPr>
          <w:rFonts w:ascii="Arial" w:cs="Arial" w:eastAsia="Arial" w:hAnsi="Arial"/>
          <w:sz w:val="16"/>
          <w:szCs w:val="16"/>
          <w:u w:val="single" w:color="auto"/>
          <w:color w:val="0000FF"/>
        </w:rPr>
      </w:pPr>
    </w:p>
    <w:p>
      <w:pPr>
        <w:ind w:left="960" w:right="160" w:hanging="946"/>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10.29.4</w:t>
      </w:r>
      <w:r>
        <w:rPr>
          <w:sz w:val="20"/>
          <w:szCs w:val="20"/>
          <w:color w:val="auto"/>
        </w:rPr>
        <w:tab/>
      </w:r>
      <w:hyperlink r:id="rId238">
        <w:r>
          <w:rPr>
            <w:rFonts w:ascii="Arial" w:cs="Arial" w:eastAsia="Arial" w:hAnsi="Arial"/>
            <w:sz w:val="16"/>
            <w:szCs w:val="16"/>
            <w:u w:val="single" w:color="auto"/>
            <w:color w:val="0000FF"/>
          </w:rPr>
          <w:t>Fourth Amendment to Credit Agreement dated as of</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January 18, 2019, by and among Viasat, Inc., MUFG Union</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Bank, N.A. (as administrative agent and collateral agent)</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3958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239585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727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6015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260159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15779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380" w:hanging="948"/>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10.29.5</w:t>
      </w:r>
      <w:r>
        <w:rPr>
          <w:sz w:val="20"/>
          <w:szCs w:val="20"/>
          <w:color w:val="auto"/>
        </w:rPr>
        <w:tab/>
      </w:r>
      <w:hyperlink r:id="rId243">
        <w:r>
          <w:rPr>
            <w:rFonts w:ascii="Arial" w:cs="Arial" w:eastAsia="Arial" w:hAnsi="Arial"/>
            <w:sz w:val="16"/>
            <w:szCs w:val="16"/>
            <w:u w:val="single" w:color="auto"/>
            <w:color w:val="0000FF"/>
          </w:rPr>
          <w:t>Fifth Amendment to Credit Agreement, dated as of</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November 23, 2021, by and among Viasat, Inc., MUFG</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Union Bank, N.A. (as administrative agent and collateral</w:t>
        </w:r>
      </w:hyperlink>
      <w:r>
        <w:rPr>
          <w:rFonts w:ascii="Arial" w:cs="Arial" w:eastAsia="Arial" w:hAnsi="Arial"/>
          <w:sz w:val="16"/>
          <w:szCs w:val="16"/>
          <w:u w:val="single" w:color="auto"/>
          <w:color w:val="0000FF"/>
        </w:rPr>
        <w:t xml:space="preserve"> </w:t>
      </w:r>
      <w:hyperlink r:id="rId243">
        <w:r>
          <w:rPr>
            <w:rFonts w:ascii="Arial" w:cs="Arial" w:eastAsia="Arial" w:hAnsi="Arial"/>
            <w:sz w:val="16"/>
            <w:szCs w:val="16"/>
            <w:u w:val="single" w:color="auto"/>
            <w:color w:val="0000FF"/>
          </w:rPr>
          <w:t>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-391795</wp:posOffset>
            </wp:positionV>
            <wp:extent cx="2327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232727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-271780</wp:posOffset>
            </wp:positionV>
            <wp:extent cx="25387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253873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-151765</wp:posOffset>
            </wp:positionV>
            <wp:extent cx="25787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-31750</wp:posOffset>
            </wp:positionV>
            <wp:extent cx="19272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1927225" cy="8890"/>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180" w:hanging="946"/>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10.29.6</w:t>
      </w:r>
      <w:r>
        <w:rPr>
          <w:sz w:val="20"/>
          <w:szCs w:val="20"/>
          <w:color w:val="auto"/>
        </w:rPr>
        <w:tab/>
      </w:r>
      <w:hyperlink r:id="rId248">
        <w:r>
          <w:rPr>
            <w:rFonts w:ascii="Arial" w:cs="Arial" w:eastAsia="Arial" w:hAnsi="Arial"/>
            <w:sz w:val="16"/>
            <w:szCs w:val="16"/>
            <w:u w:val="single" w:color="auto"/>
            <w:color w:val="0000FF"/>
          </w:rPr>
          <w:t>Sixth Amendment to Credit Agreement, dated as of March</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4, 2022, by and among Viasat, Inc., MUFG Union Bank,</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N.A. (as administrative agent and collateral agent), and the</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6701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9">
                      <a:extLst>
                        <a:ext uri="{28A0092B-C50C-407E-A947-70E740481C1C}"/>
                      </a:extLst>
                    </a:blip>
                    <a:srcRect/>
                    <a:stretch>
                      <a:fillRect/>
                    </a:stretch>
                  </pic:blipFill>
                  <pic:spPr bwMode="auto">
                    <a:xfrm>
                      <a:off x="0" y="0"/>
                      <a:ext cx="267017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5673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0">
                      <a:extLst>
                        <a:ext uri="{28A0092B-C50C-407E-A947-70E740481C1C}"/>
                      </a:extLst>
                    </a:blip>
                    <a:srcRect/>
                    <a:stretch>
                      <a:fillRect/>
                    </a:stretch>
                  </pic:blipFill>
                  <pic:spPr bwMode="auto">
                    <a:xfrm>
                      <a:off x="0" y="0"/>
                      <a:ext cx="256730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710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1">
                      <a:extLst>
                        <a:ext uri="{28A0092B-C50C-407E-A947-70E740481C1C}"/>
                      </a:extLst>
                    </a:blip>
                    <a:srcRect/>
                    <a:stretch>
                      <a:fillRect/>
                    </a:stretch>
                  </pic:blipFill>
                  <pic:spPr bwMode="auto">
                    <a:xfrm>
                      <a:off x="0" y="0"/>
                      <a:ext cx="27101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1206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240" w:hanging="948"/>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10.29.7</w:t>
      </w:r>
      <w:r>
        <w:rPr>
          <w:sz w:val="20"/>
          <w:szCs w:val="20"/>
          <w:color w:val="auto"/>
        </w:rPr>
        <w:tab/>
      </w:r>
      <w:hyperlink r:id="rId253">
        <w:r>
          <w:rPr>
            <w:rFonts w:ascii="Arial" w:cs="Arial" w:eastAsia="Arial" w:hAnsi="Arial"/>
            <w:sz w:val="16"/>
            <w:szCs w:val="16"/>
            <w:u w:val="single" w:color="auto"/>
            <w:color w:val="0000FF"/>
          </w:rPr>
          <w:t>Seventh Amendment to Credit Agreement, dated as of</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August 24, 2023, by and among Viasat, Inc., MUFG Bank,</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Ltd. (as successor-in-interest to MUFG Union Bank, N.A.),</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as administrative agent and collateral agent, and the other</w:t>
        </w:r>
      </w:hyperlink>
      <w:r>
        <w:rPr>
          <w:rFonts w:ascii="Arial" w:cs="Arial" w:eastAsia="Arial" w:hAnsi="Arial"/>
          <w:sz w:val="16"/>
          <w:szCs w:val="16"/>
          <w:u w:val="single" w:color="auto"/>
          <w:color w:val="0000FF"/>
        </w:rPr>
        <w:t xml:space="preserve"> </w:t>
      </w:r>
      <w:hyperlink r:id="rId253">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-510540</wp:posOffset>
            </wp:positionV>
            <wp:extent cx="25044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4">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-390525</wp:posOffset>
            </wp:positionV>
            <wp:extent cx="2675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5">
                      <a:extLst>
                        <a:ext uri="{28A0092B-C50C-407E-A947-70E740481C1C}"/>
                      </a:extLst>
                    </a:blip>
                    <a:srcRect/>
                    <a:stretch>
                      <a:fillRect/>
                    </a:stretch>
                  </pic:blipFill>
                  <pic:spPr bwMode="auto">
                    <a:xfrm>
                      <a:off x="0" y="0"/>
                      <a:ext cx="267589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-270510</wp:posOffset>
            </wp:positionV>
            <wp:extent cx="2675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6">
                      <a:extLst>
                        <a:ext uri="{28A0092B-C50C-407E-A947-70E740481C1C}"/>
                      </a:extLst>
                    </a:blip>
                    <a:srcRect/>
                    <a:stretch>
                      <a:fillRect/>
                    </a:stretch>
                  </pic:blipFill>
                  <pic:spPr bwMode="auto">
                    <a:xfrm>
                      <a:off x="0" y="0"/>
                      <a:ext cx="2675255"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-150495</wp:posOffset>
            </wp:positionV>
            <wp:extent cx="26765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7">
                      <a:extLst>
                        <a:ext uri="{28A0092B-C50C-407E-A947-70E740481C1C}"/>
                      </a:extLst>
                    </a:blip>
                    <a:srcRect/>
                    <a:stretch>
                      <a:fillRect/>
                    </a:stretch>
                  </pic:blipFill>
                  <pic:spPr bwMode="auto">
                    <a:xfrm>
                      <a:off x="0" y="0"/>
                      <a:ext cx="267652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-30480</wp:posOffset>
            </wp:positionV>
            <wp:extent cx="9436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140" w:hanging="948"/>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10.29.8</w:t>
      </w:r>
      <w:r>
        <w:rPr>
          <w:sz w:val="20"/>
          <w:szCs w:val="20"/>
          <w:color w:val="auto"/>
        </w:rPr>
        <w:tab/>
      </w:r>
      <w:hyperlink r:id="rId259">
        <w:r>
          <w:rPr>
            <w:rFonts w:ascii="Arial" w:cs="Arial" w:eastAsia="Arial" w:hAnsi="Arial"/>
            <w:sz w:val="16"/>
            <w:szCs w:val="16"/>
            <w:u w:val="single" w:color="auto"/>
            <w:color w:val="0000FF"/>
          </w:rPr>
          <w:t>Joinder Agreement, dated as of September 6, 2023, by and</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among Viasat, Inc. as borrower, MUFG Bank, Ltd. (as</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successor in interest to MUFG Union Bank, N.A.), as</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administrative agent and collateral agent, and the lender</w:t>
        </w:r>
      </w:hyperlink>
      <w:r>
        <w:rPr>
          <w:rFonts w:ascii="Arial" w:cs="Arial" w:eastAsia="Arial" w:hAnsi="Arial"/>
          <w:sz w:val="16"/>
          <w:szCs w:val="16"/>
          <w:u w:val="single" w:color="auto"/>
          <w:color w:val="0000FF"/>
        </w:rPr>
        <w:t xml:space="preserve"> </w:t>
      </w:r>
      <w:hyperlink r:id="rId259">
        <w:r>
          <w:rPr>
            <w:rFonts w:ascii="Arial" w:cs="Arial" w:eastAsia="Arial" w:hAnsi="Arial"/>
            <w:sz w:val="16"/>
            <w:szCs w:val="16"/>
            <w:u w:val="single" w:color="auto"/>
            <w:color w:val="0000FF"/>
          </w:rPr>
          <w:t>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-510540</wp:posOffset>
            </wp:positionV>
            <wp:extent cx="27336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273367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-390525</wp:posOffset>
            </wp:positionV>
            <wp:extent cx="247523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247523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-270510</wp:posOffset>
            </wp:positionV>
            <wp:extent cx="24295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242951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-150495</wp:posOffset>
            </wp:positionV>
            <wp:extent cx="25908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259080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-30480</wp:posOffset>
            </wp:positionV>
            <wp:extent cx="6057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605790" cy="8890"/>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440" w:hanging="879"/>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w:t>
      </w:r>
      <w:r>
        <w:rPr>
          <w:sz w:val="20"/>
          <w:szCs w:val="20"/>
          <w:color w:val="auto"/>
        </w:rPr>
        <w:tab/>
      </w:r>
      <w:hyperlink r:id="rId265">
        <w:r>
          <w:rPr>
            <w:rFonts w:ascii="Arial" w:cs="Arial" w:eastAsia="Arial" w:hAnsi="Arial"/>
            <w:sz w:val="16"/>
            <w:szCs w:val="16"/>
            <w:u w:val="single" w:color="auto"/>
            <w:color w:val="0000FF"/>
          </w:rPr>
          <w:t>Credit Agreement dated as of March 12, 2015, by and</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among ViaSat Technologies Limited, ViaSat, Inc.,</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JPMorgan Chase Bank, National Association (as Ex-Im</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265">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-510540</wp:posOffset>
            </wp:positionV>
            <wp:extent cx="2481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-390525</wp:posOffset>
            </wp:positionV>
            <wp:extent cx="22872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228727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-270510</wp:posOffset>
            </wp:positionV>
            <wp:extent cx="25444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-150495</wp:posOffset>
            </wp:positionV>
            <wp:extent cx="25330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253301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-30480</wp:posOffset>
            </wp:positionV>
            <wp:extent cx="2914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71"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8"/>
          <w:szCs w:val="18"/>
          <w:color w:val="auto"/>
        </w:rPr>
        <w:t>75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476250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11/26/2013</w:t>
            </w:r>
          </w:p>
        </w:tc>
      </w:tr>
      <w:tr>
        <w:trPr>
          <w:trHeight w:val="756"/>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980" w:type="dxa"/>
            <w:vAlign w:val="bottom"/>
          </w:tcPr>
          <w:p>
            <w:pPr>
              <w:jc w:val="right"/>
              <w:spacing w:after="0"/>
              <w:rPr>
                <w:sz w:val="20"/>
                <w:szCs w:val="20"/>
                <w:color w:val="auto"/>
              </w:rPr>
            </w:pPr>
            <w:r>
              <w:rPr>
                <w:rFonts w:ascii="Arial" w:cs="Arial" w:eastAsia="Arial" w:hAnsi="Arial"/>
                <w:sz w:val="16"/>
                <w:szCs w:val="16"/>
                <w:color w:val="auto"/>
              </w:rPr>
              <w:t>03/13/2015</w:t>
            </w:r>
          </w:p>
        </w:tc>
      </w:tr>
      <w:tr>
        <w:trPr>
          <w:trHeight w:val="851"/>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05/24/2016</w:t>
            </w:r>
          </w:p>
        </w:tc>
      </w:tr>
      <w:tr>
        <w:trPr>
          <w:trHeight w:val="864"/>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10-K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10.10.3</w:t>
            </w:r>
          </w:p>
        </w:tc>
        <w:tc>
          <w:tcPr>
            <w:tcW w:w="980" w:type="dxa"/>
            <w:vAlign w:val="bottom"/>
          </w:tcPr>
          <w:p>
            <w:pPr>
              <w:jc w:val="right"/>
              <w:spacing w:after="0"/>
              <w:rPr>
                <w:sz w:val="20"/>
                <w:szCs w:val="20"/>
                <w:color w:val="auto"/>
              </w:rPr>
            </w:pPr>
            <w:r>
              <w:rPr>
                <w:rFonts w:ascii="Arial" w:cs="Arial" w:eastAsia="Arial" w:hAnsi="Arial"/>
                <w:sz w:val="16"/>
                <w:szCs w:val="16"/>
                <w:color w:val="auto"/>
              </w:rPr>
              <w:t>05/30/2018</w:t>
            </w:r>
          </w:p>
        </w:tc>
      </w:tr>
      <w:tr>
        <w:trPr>
          <w:trHeight w:val="661"/>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01/22/2019</w:t>
            </w:r>
          </w:p>
        </w:tc>
      </w:tr>
      <w:tr>
        <w:trPr>
          <w:trHeight w:val="851"/>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11/30/2021</w:t>
            </w:r>
          </w:p>
        </w:tc>
      </w:tr>
      <w:tr>
        <w:trPr>
          <w:trHeight w:val="85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10.2</w:t>
            </w:r>
          </w:p>
        </w:tc>
        <w:tc>
          <w:tcPr>
            <w:tcW w:w="980" w:type="dxa"/>
            <w:vAlign w:val="bottom"/>
          </w:tcPr>
          <w:p>
            <w:pPr>
              <w:jc w:val="right"/>
              <w:spacing w:after="0"/>
              <w:rPr>
                <w:sz w:val="20"/>
                <w:szCs w:val="20"/>
                <w:color w:val="auto"/>
              </w:rPr>
            </w:pPr>
            <w:r>
              <w:rPr>
                <w:rFonts w:ascii="Arial" w:cs="Arial" w:eastAsia="Arial" w:hAnsi="Arial"/>
                <w:sz w:val="16"/>
                <w:szCs w:val="16"/>
                <w:color w:val="auto"/>
              </w:rPr>
              <w:t>03/04/2022</w:t>
            </w:r>
          </w:p>
        </w:tc>
      </w:tr>
      <w:tr>
        <w:trPr>
          <w:trHeight w:val="851"/>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08/25/2023</w:t>
            </w:r>
          </w:p>
        </w:tc>
      </w:tr>
      <w:tr>
        <w:trPr>
          <w:trHeight w:val="1039"/>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09/07/2023</w:t>
            </w:r>
          </w:p>
        </w:tc>
      </w:tr>
      <w:tr>
        <w:trPr>
          <w:trHeight w:val="104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000-21767</w:t>
            </w:r>
          </w:p>
        </w:tc>
        <w:tc>
          <w:tcPr>
            <w:tcW w:w="940" w:type="dxa"/>
            <w:vAlign w:val="bottom"/>
          </w:tcPr>
          <w:p>
            <w:pPr>
              <w:jc w:val="center"/>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03/13/2015</w:t>
            </w:r>
          </w:p>
        </w:tc>
      </w:tr>
    </w:tbl>
    <w:p>
      <w:pPr>
        <w:sectPr>
          <w:pgSz w:w="11900" w:h="16838" w:orient="portrait"/>
          <w:cols w:equalWidth="0" w:num="2">
            <w:col w:w="5360" w:space="560"/>
            <w:col w:w="4020"/>
          </w:cols>
          <w:pgMar w:left="680" w:top="989" w:right="1279" w:bottom="1440" w:gutter="0" w:footer="0" w:header="0"/>
        </w:sectPr>
      </w:pPr>
    </w:p>
    <w:bookmarkStart w:id="76" w:name="page77"/>
    <w:bookmarkEnd w:id="76"/>
    <w:p>
      <w:pPr>
        <w:ind w:left="960" w:right="100" w:hanging="946"/>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10.30.1</w:t>
      </w:r>
      <w:r>
        <w:rPr>
          <w:sz w:val="20"/>
          <w:szCs w:val="20"/>
          <w:color w:val="auto"/>
        </w:rPr>
        <w:tab/>
      </w:r>
      <w:hyperlink r:id="rId272">
        <w:r>
          <w:rPr>
            <w:rFonts w:ascii="Arial" w:cs="Arial" w:eastAsia="Arial" w:hAnsi="Arial"/>
            <w:sz w:val="16"/>
            <w:szCs w:val="16"/>
            <w:u w:val="single" w:color="auto"/>
            <w:color w:val="0000FF"/>
          </w:rPr>
          <w:t>First Amendment to Credit Agreement, dated as of June 12,</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2015, by and among ViaSat Technologies Limited, ViaSat,</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-510540</wp:posOffset>
            </wp:positionV>
            <wp:extent cx="27501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3">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-390525</wp:posOffset>
            </wp:positionV>
            <wp:extent cx="2687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4">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-270510</wp:posOffset>
            </wp:positionV>
            <wp:extent cx="27520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5">
                      <a:extLst>
                        <a:ext uri="{28A0092B-C50C-407E-A947-70E740481C1C}"/>
                      </a:extLst>
                    </a:blip>
                    <a:srcRect/>
                    <a:stretch>
                      <a:fillRect/>
                    </a:stretch>
                  </pic:blipFill>
                  <pic:spPr bwMode="auto">
                    <a:xfrm>
                      <a:off x="0" y="0"/>
                      <a:ext cx="27520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-150495</wp:posOffset>
            </wp:positionV>
            <wp:extent cx="25787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6">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-30480</wp:posOffset>
            </wp:positionV>
            <wp:extent cx="2914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7">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100" w:hanging="946"/>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10.30.2</w:t>
      </w:r>
      <w:r>
        <w:rPr>
          <w:sz w:val="20"/>
          <w:szCs w:val="20"/>
          <w:color w:val="auto"/>
        </w:rPr>
        <w:tab/>
      </w:r>
      <w:hyperlink r:id="rId278">
        <w:r>
          <w:rPr>
            <w:rFonts w:ascii="Arial" w:cs="Arial" w:eastAsia="Arial" w:hAnsi="Arial"/>
            <w:sz w:val="16"/>
            <w:szCs w:val="16"/>
            <w:u w:val="single" w:color="auto"/>
            <w:color w:val="0000FF"/>
          </w:rPr>
          <w:t>Second Amendment Agreement, dated as of March 23,</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2016, by and among ViaSat Technologies Limited, ViaSat,</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278">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-510540</wp:posOffset>
            </wp:positionV>
            <wp:extent cx="25444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-390525</wp:posOffset>
            </wp:positionV>
            <wp:extent cx="2687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0">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-270510</wp:posOffset>
            </wp:positionV>
            <wp:extent cx="27520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1">
                      <a:extLst>
                        <a:ext uri="{28A0092B-C50C-407E-A947-70E740481C1C}"/>
                      </a:extLst>
                    </a:blip>
                    <a:srcRect/>
                    <a:stretch>
                      <a:fillRect/>
                    </a:stretch>
                  </pic:blipFill>
                  <pic:spPr bwMode="auto">
                    <a:xfrm>
                      <a:off x="0" y="0"/>
                      <a:ext cx="275209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-150495</wp:posOffset>
            </wp:positionV>
            <wp:extent cx="25787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2">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-30480</wp:posOffset>
            </wp:positionV>
            <wp:extent cx="2914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80" w:hanging="948"/>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10.30.3</w:t>
      </w:r>
      <w:r>
        <w:rPr>
          <w:sz w:val="20"/>
          <w:szCs w:val="20"/>
          <w:color w:val="auto"/>
        </w:rPr>
        <w:tab/>
      </w:r>
      <w:hyperlink r:id="rId284">
        <w:r>
          <w:rPr>
            <w:rFonts w:ascii="Arial" w:cs="Arial" w:eastAsia="Arial" w:hAnsi="Arial"/>
            <w:sz w:val="16"/>
            <w:szCs w:val="16"/>
            <w:u w:val="single" w:color="auto"/>
            <w:color w:val="0000FF"/>
          </w:rPr>
          <w:t>Third Amendment Agreement, dated as of October 11,</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2016, by and among ViaSat Technologies Limited, ViaSat,</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284">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-510540</wp:posOffset>
            </wp:positionV>
            <wp:extent cx="25101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5">
                      <a:extLst>
                        <a:ext uri="{28A0092B-C50C-407E-A947-70E740481C1C}"/>
                      </a:extLst>
                    </a:blip>
                    <a:srcRect/>
                    <a:stretch>
                      <a:fillRect/>
                    </a:stretch>
                  </pic:blipFill>
                  <pic:spPr bwMode="auto">
                    <a:xfrm>
                      <a:off x="0" y="0"/>
                      <a:ext cx="25101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-390525</wp:posOffset>
            </wp:positionV>
            <wp:extent cx="2687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-270510</wp:posOffset>
            </wp:positionV>
            <wp:extent cx="27514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7">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-150495</wp:posOffset>
            </wp:positionV>
            <wp:extent cx="25787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8">
                      <a:extLst>
                        <a:ext uri="{28A0092B-C50C-407E-A947-70E740481C1C}"/>
                      </a:extLst>
                    </a:blip>
                    <a:srcRect/>
                    <a:stretch>
                      <a:fillRect/>
                    </a:stretch>
                  </pic:blipFill>
                  <pic:spPr bwMode="auto">
                    <a:xfrm>
                      <a:off x="0" y="0"/>
                      <a:ext cx="2578735"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-30480</wp:posOffset>
            </wp:positionV>
            <wp:extent cx="2914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160" w:hanging="946"/>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10.30.4</w:t>
      </w:r>
      <w:r>
        <w:rPr>
          <w:sz w:val="20"/>
          <w:szCs w:val="20"/>
          <w:color w:val="auto"/>
        </w:rPr>
        <w:tab/>
      </w:r>
      <w:hyperlink r:id="rId290">
        <w:r>
          <w:rPr>
            <w:rFonts w:ascii="Arial" w:cs="Arial" w:eastAsia="Arial" w:hAnsi="Arial"/>
            <w:sz w:val="16"/>
            <w:szCs w:val="16"/>
            <w:u w:val="single" w:color="auto"/>
            <w:color w:val="0000FF"/>
          </w:rPr>
          <w:t>Fourth Amendment to Credit Agreement, dated as of July</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17, 2018, by and among Viasat Technologies Limited,</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Viasat, Inc., JPMorgan Chase Bank, National Association</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(as Ex-Im Facility Agent) and the Export-Import Bank of the</w:t>
        </w:r>
      </w:hyperlink>
      <w:r>
        <w:rPr>
          <w:rFonts w:ascii="Arial" w:cs="Arial" w:eastAsia="Arial" w:hAnsi="Arial"/>
          <w:sz w:val="16"/>
          <w:szCs w:val="16"/>
          <w:u w:val="single" w:color="auto"/>
          <w:color w:val="0000FF"/>
        </w:rPr>
        <w:t xml:space="preserve"> </w:t>
      </w:r>
      <w:hyperlink r:id="rId290">
        <w:r>
          <w:rPr>
            <w:rFonts w:ascii="Arial" w:cs="Arial" w:eastAsia="Arial" w:hAnsi="Arial"/>
            <w:sz w:val="16"/>
            <w:szCs w:val="16"/>
            <w:u w:val="single" w:color="auto"/>
            <w:color w:val="0000FF"/>
          </w:rPr>
          <w:t>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-510540</wp:posOffset>
            </wp:positionV>
            <wp:extent cx="26358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1">
                      <a:extLst>
                        <a:ext uri="{28A0092B-C50C-407E-A947-70E740481C1C}"/>
                      </a:extLst>
                    </a:blip>
                    <a:srcRect/>
                    <a:stretch>
                      <a:fillRect/>
                    </a:stretch>
                  </pic:blipFill>
                  <pic:spPr bwMode="auto">
                    <a:xfrm>
                      <a:off x="0" y="0"/>
                      <a:ext cx="263588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-390525</wp:posOffset>
            </wp:positionV>
            <wp:extent cx="2481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2">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-270510</wp:posOffset>
            </wp:positionV>
            <wp:extent cx="26416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3">
                      <a:extLst>
                        <a:ext uri="{28A0092B-C50C-407E-A947-70E740481C1C}"/>
                      </a:extLst>
                    </a:blip>
                    <a:srcRect/>
                    <a:stretch>
                      <a:fillRect/>
                    </a:stretch>
                  </pic:blipFill>
                  <pic:spPr bwMode="auto">
                    <a:xfrm>
                      <a:off x="0" y="0"/>
                      <a:ext cx="264160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-150495</wp:posOffset>
            </wp:positionV>
            <wp:extent cx="27216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4">
                      <a:extLst>
                        <a:ext uri="{28A0092B-C50C-407E-A947-70E740481C1C}"/>
                      </a:extLst>
                    </a:blip>
                    <a:srcRect/>
                    <a:stretch>
                      <a:fillRect/>
                    </a:stretch>
                  </pic:blipFill>
                  <pic:spPr bwMode="auto">
                    <a:xfrm>
                      <a:off x="0" y="0"/>
                      <a:ext cx="272161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-30480</wp:posOffset>
            </wp:positionV>
            <wp:extent cx="6172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100" w:hanging="946"/>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10.30.5</w:t>
      </w:r>
      <w:r>
        <w:rPr>
          <w:sz w:val="20"/>
          <w:szCs w:val="20"/>
          <w:color w:val="auto"/>
        </w:rPr>
        <w:tab/>
      </w:r>
      <w:hyperlink r:id="rId296">
        <w:r>
          <w:rPr>
            <w:rFonts w:ascii="Arial" w:cs="Arial" w:eastAsia="Arial" w:hAnsi="Arial"/>
            <w:sz w:val="16"/>
            <w:szCs w:val="16"/>
            <w:u w:val="single" w:color="auto"/>
            <w:color w:val="0000FF"/>
          </w:rPr>
          <w:t>Fifth Amendment Agreement, dated as of February 28,</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2019, by and among Viasat Technologies Limited, Viasat,</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Inc., JPMorgan Chase Bank, National Association (as Ex-Im</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Facility Agent) and the Export-Import Bank of the United</w:t>
        </w:r>
      </w:hyperlink>
      <w:r>
        <w:rPr>
          <w:rFonts w:ascii="Arial" w:cs="Arial" w:eastAsia="Arial" w:hAnsi="Arial"/>
          <w:sz w:val="16"/>
          <w:szCs w:val="16"/>
          <w:u w:val="single" w:color="auto"/>
          <w:color w:val="0000FF"/>
        </w:rPr>
        <w:t xml:space="preserve"> </w:t>
      </w:r>
      <w:hyperlink r:id="rId296">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-510540</wp:posOffset>
            </wp:positionV>
            <wp:extent cx="25215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252158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-390525</wp:posOffset>
            </wp:positionV>
            <wp:extent cx="26530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-270510</wp:posOffset>
            </wp:positionV>
            <wp:extent cx="27520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27520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-150495</wp:posOffset>
            </wp:positionV>
            <wp:extent cx="25787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-30480</wp:posOffset>
            </wp:positionV>
            <wp:extent cx="2914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960" w:right="180" w:hanging="946"/>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10.30.6</w:t>
      </w:r>
      <w:r>
        <w:rPr>
          <w:sz w:val="20"/>
          <w:szCs w:val="20"/>
          <w:color w:val="auto"/>
        </w:rPr>
        <w:tab/>
      </w:r>
      <w:hyperlink r:id="rId302">
        <w:r>
          <w:rPr>
            <w:rFonts w:ascii="Arial" w:cs="Arial" w:eastAsia="Arial" w:hAnsi="Arial"/>
            <w:sz w:val="16"/>
            <w:szCs w:val="16"/>
            <w:u w:val="single" w:color="auto"/>
            <w:color w:val="0000FF"/>
          </w:rPr>
          <w:t>Sixth Amendment to Credit Agreement, dated as of August</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3, 2022, among Viasat Technologies Limited, Viasat, Inc.,</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JP Morgan Chase Bank, National Association, and the</w:t>
        </w:r>
      </w:hyperlink>
      <w:r>
        <w:rPr>
          <w:rFonts w:ascii="Arial" w:cs="Arial" w:eastAsia="Arial" w:hAnsi="Arial"/>
          <w:sz w:val="16"/>
          <w:szCs w:val="16"/>
          <w:u w:val="single" w:color="auto"/>
          <w:color w:val="0000FF"/>
        </w:rPr>
        <w:t xml:space="preserve"> </w:t>
      </w:r>
      <w:hyperlink r:id="rId302">
        <w:r>
          <w:rPr>
            <w:rFonts w:ascii="Arial" w:cs="Arial" w:eastAsia="Arial" w:hAnsi="Arial"/>
            <w:sz w:val="16"/>
            <w:szCs w:val="16"/>
            <w:u w:val="single" w:color="auto"/>
            <w:color w:val="0000FF"/>
          </w:rPr>
          <w:t>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7044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27044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6530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50444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18180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140" w:hanging="948"/>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10.30.7</w:t>
      </w:r>
      <w:r>
        <w:rPr>
          <w:sz w:val="20"/>
          <w:szCs w:val="20"/>
          <w:color w:val="auto"/>
        </w:rPr>
        <w:tab/>
      </w:r>
      <w:hyperlink r:id="rId307">
        <w:r>
          <w:rPr>
            <w:rFonts w:ascii="Arial" w:cs="Arial" w:eastAsia="Arial" w:hAnsi="Arial"/>
            <w:sz w:val="16"/>
            <w:szCs w:val="16"/>
            <w:u w:val="single" w:color="auto"/>
            <w:color w:val="0000FF"/>
          </w:rPr>
          <w:t>Seventh Amendment to Credit Agreement, dated as of April</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14, 2023, among Viasat Technologies Limited, Viasat, Inc.,</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JP Morgan Chase Bank, National Association, and the</w:t>
        </w:r>
      </w:hyperlink>
      <w:r>
        <w:rPr>
          <w:rFonts w:ascii="Arial" w:cs="Arial" w:eastAsia="Arial" w:hAnsi="Arial"/>
          <w:sz w:val="16"/>
          <w:szCs w:val="16"/>
          <w:u w:val="single" w:color="auto"/>
          <w:color w:val="0000FF"/>
        </w:rPr>
        <w:t xml:space="preserve"> </w:t>
      </w:r>
      <w:hyperlink r:id="rId307">
        <w:r>
          <w:rPr>
            <w:rFonts w:ascii="Arial" w:cs="Arial" w:eastAsia="Arial" w:hAnsi="Arial"/>
            <w:sz w:val="16"/>
            <w:szCs w:val="16"/>
            <w:u w:val="single" w:color="auto"/>
            <w:color w:val="0000FF"/>
          </w:rPr>
          <w:t>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-391795</wp:posOffset>
            </wp:positionV>
            <wp:extent cx="2738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8">
                      <a:extLst>
                        <a:ext uri="{28A0092B-C50C-407E-A947-70E740481C1C}"/>
                      </a:extLst>
                    </a:blip>
                    <a:srcRect/>
                    <a:stretch>
                      <a:fillRect/>
                    </a:stretch>
                  </pic:blipFill>
                  <pic:spPr bwMode="auto">
                    <a:xfrm>
                      <a:off x="0" y="0"/>
                      <a:ext cx="273875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-271780</wp:posOffset>
            </wp:positionV>
            <wp:extent cx="2710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9">
                      <a:extLst>
                        <a:ext uri="{28A0092B-C50C-407E-A947-70E740481C1C}"/>
                      </a:extLst>
                    </a:blip>
                    <a:srcRect/>
                    <a:stretch>
                      <a:fillRect/>
                    </a:stretch>
                  </pic:blipFill>
                  <pic:spPr bwMode="auto">
                    <a:xfrm>
                      <a:off x="0" y="0"/>
                      <a:ext cx="271018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-151765</wp:posOffset>
            </wp:positionV>
            <wp:extent cx="25044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0">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-31750</wp:posOffset>
            </wp:positionV>
            <wp:extent cx="18180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1">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200" w:hanging="948"/>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10.30.8</w:t>
      </w:r>
      <w:r>
        <w:rPr>
          <w:sz w:val="20"/>
          <w:szCs w:val="20"/>
          <w:color w:val="auto"/>
        </w:rPr>
        <w:tab/>
      </w:r>
      <w:hyperlink r:id="rId312">
        <w:r>
          <w:rPr>
            <w:rFonts w:ascii="Arial" w:cs="Arial" w:eastAsia="Arial" w:hAnsi="Arial"/>
            <w:sz w:val="16"/>
            <w:szCs w:val="16"/>
            <w:u w:val="single" w:color="auto"/>
            <w:color w:val="0000FF"/>
          </w:rPr>
          <w:t>Eighth Amendment to Credit Agreement, dated as of</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September 27, 2023, among Viasat Technologies Limited,</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Viasat, Inc., JP Morgan Chase Bank, National Association,</w:t>
        </w:r>
      </w:hyperlink>
      <w:r>
        <w:rPr>
          <w:rFonts w:ascii="Arial" w:cs="Arial" w:eastAsia="Arial" w:hAnsi="Arial"/>
          <w:sz w:val="16"/>
          <w:szCs w:val="16"/>
          <w:u w:val="single" w:color="auto"/>
          <w:color w:val="0000FF"/>
        </w:rPr>
        <w:t xml:space="preserve"> </w:t>
      </w:r>
      <w:hyperlink r:id="rId312">
        <w:r>
          <w:rPr>
            <w:rFonts w:ascii="Arial" w:cs="Arial" w:eastAsia="Arial" w:hAnsi="Arial"/>
            <w:sz w:val="16"/>
            <w:szCs w:val="16"/>
            <w:u w:val="single" w:color="auto"/>
            <w:color w:val="0000FF"/>
          </w:rPr>
          <w:t>and the 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-391795</wp:posOffset>
            </wp:positionV>
            <wp:extent cx="241871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2418715"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-271780</wp:posOffset>
            </wp:positionV>
            <wp:extent cx="2675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2675890"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-151765</wp:posOffset>
            </wp:positionV>
            <wp:extent cx="26987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269875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-31750</wp:posOffset>
            </wp:positionV>
            <wp:extent cx="21901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400" w:hanging="879"/>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10.31</w:t>
      </w:r>
      <w:r>
        <w:rPr>
          <w:sz w:val="20"/>
          <w:szCs w:val="20"/>
          <w:color w:val="auto"/>
        </w:rPr>
        <w:tab/>
      </w:r>
      <w:hyperlink r:id="rId317">
        <w:r>
          <w:rPr>
            <w:rFonts w:ascii="Arial" w:cs="Arial" w:eastAsia="Arial" w:hAnsi="Arial"/>
            <w:sz w:val="16"/>
            <w:szCs w:val="16"/>
            <w:u w:val="single" w:color="auto"/>
            <w:color w:val="0000FF"/>
          </w:rPr>
          <w:t>Credit Agreement, dated as of March 4, 2022, by and</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among Viasat, Inc., Bank of America, N.A. (as</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administrative agent and collateral agent), and the other</w:t>
        </w:r>
      </w:hyperlink>
      <w:r>
        <w:rPr>
          <w:rFonts w:ascii="Arial" w:cs="Arial" w:eastAsia="Arial" w:hAnsi="Arial"/>
          <w:sz w:val="16"/>
          <w:szCs w:val="16"/>
          <w:u w:val="single" w:color="auto"/>
          <w:color w:val="0000FF"/>
        </w:rPr>
        <w:t xml:space="preserve"> </w:t>
      </w:r>
      <w:hyperlink r:id="rId317">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607695</wp:posOffset>
            </wp:positionH>
            <wp:positionV relativeFrom="paragraph">
              <wp:posOffset>-391795</wp:posOffset>
            </wp:positionV>
            <wp:extent cx="24530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8">
                      <a:extLst>
                        <a:ext uri="{28A0092B-C50C-407E-A947-70E740481C1C}"/>
                      </a:extLst>
                    </a:blip>
                    <a:srcRect/>
                    <a:stretch>
                      <a:fillRect/>
                    </a:stretch>
                  </pic:blipFill>
                  <pic:spPr bwMode="auto">
                    <a:xfrm>
                      <a:off x="0" y="0"/>
                      <a:ext cx="2453005"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-271780</wp:posOffset>
            </wp:positionV>
            <wp:extent cx="21209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9">
                      <a:extLst>
                        <a:ext uri="{28A0092B-C50C-407E-A947-70E740481C1C}"/>
                      </a:extLst>
                    </a:blip>
                    <a:srcRect/>
                    <a:stretch>
                      <a:fillRect/>
                    </a:stretch>
                  </pic:blipFill>
                  <pic:spPr bwMode="auto">
                    <a:xfrm>
                      <a:off x="0" y="0"/>
                      <a:ext cx="212090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-151765</wp:posOffset>
            </wp:positionV>
            <wp:extent cx="25730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0">
                      <a:extLst>
                        <a:ext uri="{28A0092B-C50C-407E-A947-70E740481C1C}"/>
                      </a:extLst>
                    </a:blip>
                    <a:srcRect/>
                    <a:stretch>
                      <a:fillRect/>
                    </a:stretch>
                  </pic:blipFill>
                  <pic:spPr bwMode="auto">
                    <a:xfrm>
                      <a:off x="0" y="0"/>
                      <a:ext cx="2573020" cy="8890"/>
                    </a:xfrm>
                    <a:prstGeom prst="rect">
                      <a:avLst/>
                    </a:prstGeom>
                    <a:noFill/>
                  </pic:spPr>
                </pic:pic>
              </a:graphicData>
            </a:graphic>
          </wp:anchor>
        </w:drawing>
        <w:drawing>
          <wp:anchor simplePos="0" relativeHeight="251657728" behindDoc="1" locked="0" layoutInCell="0" allowOverlap="1">
            <wp:simplePos x="0" y="0"/>
            <wp:positionH relativeFrom="column">
              <wp:posOffset>607695</wp:posOffset>
            </wp:positionH>
            <wp:positionV relativeFrom="paragraph">
              <wp:posOffset>-31750</wp:posOffset>
            </wp:positionV>
            <wp:extent cx="94361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1">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80" w:hanging="880"/>
        <w:spacing w:after="0" w:line="259"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10.32</w:t>
      </w:r>
      <w:r>
        <w:rPr>
          <w:sz w:val="20"/>
          <w:szCs w:val="20"/>
          <w:color w:val="auto"/>
        </w:rPr>
        <w:tab/>
      </w:r>
      <w:hyperlink r:id="rId322">
        <w:r>
          <w:rPr>
            <w:rFonts w:ascii="Arial" w:cs="Arial" w:eastAsia="Arial" w:hAnsi="Arial"/>
            <w:sz w:val="16"/>
            <w:szCs w:val="16"/>
            <w:u w:val="single" w:color="auto"/>
            <w:color w:val="0000FF"/>
          </w:rPr>
          <w:t>Amendment and Restatement Agreement, dated as of</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September 22, 2023, by and among Viasat, Inc., Bank of</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America, N.A. (as administrative agent and collateral agent),</w:t>
        </w:r>
      </w:hyperlink>
      <w:r>
        <w:rPr>
          <w:rFonts w:ascii="Arial" w:cs="Arial" w:eastAsia="Arial" w:hAnsi="Arial"/>
          <w:sz w:val="16"/>
          <w:szCs w:val="16"/>
          <w:u w:val="single" w:color="auto"/>
          <w:color w:val="0000FF"/>
        </w:rPr>
        <w:t xml:space="preserve"> </w:t>
      </w:r>
      <w:hyperlink r:id="rId322">
        <w:r>
          <w:rPr>
            <w:rFonts w:ascii="Arial" w:cs="Arial" w:eastAsia="Arial" w:hAnsi="Arial"/>
            <w:sz w:val="16"/>
            <w:szCs w:val="16"/>
            <w:u w:val="single" w:color="auto"/>
            <w:color w:val="0000FF"/>
          </w:rPr>
          <w:t>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-391795</wp:posOffset>
            </wp:positionV>
            <wp:extent cx="24930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3">
                      <a:extLst>
                        <a:ext uri="{28A0092B-C50C-407E-A947-70E740481C1C}"/>
                      </a:extLst>
                    </a:blip>
                    <a:srcRect/>
                    <a:stretch>
                      <a:fillRect/>
                    </a:stretch>
                  </pic:blipFill>
                  <pic:spPr bwMode="auto">
                    <a:xfrm>
                      <a:off x="0" y="0"/>
                      <a:ext cx="249301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-271780</wp:posOffset>
            </wp:positionV>
            <wp:extent cx="26130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4">
                      <a:extLst>
                        <a:ext uri="{28A0092B-C50C-407E-A947-70E740481C1C}"/>
                      </a:extLst>
                    </a:blip>
                    <a:srcRect/>
                    <a:stretch>
                      <a:fillRect/>
                    </a:stretch>
                  </pic:blipFill>
                  <pic:spPr bwMode="auto">
                    <a:xfrm>
                      <a:off x="0" y="0"/>
                      <a:ext cx="261302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-151765</wp:posOffset>
            </wp:positionV>
            <wp:extent cx="27514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5">
                      <a:extLst>
                        <a:ext uri="{28A0092B-C50C-407E-A947-70E740481C1C}"/>
                      </a:extLst>
                    </a:blip>
                    <a:srcRect/>
                    <a:stretch>
                      <a:fillRect/>
                    </a:stretch>
                  </pic:blipFill>
                  <pic:spPr bwMode="auto">
                    <a:xfrm>
                      <a:off x="0" y="0"/>
                      <a:ext cx="2751455"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-31750</wp:posOffset>
            </wp:positionV>
            <wp:extent cx="15779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6">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36" w:lineRule="exact"/>
        <w:rPr>
          <w:rFonts w:ascii="Arial" w:cs="Arial" w:eastAsia="Arial" w:hAnsi="Arial"/>
          <w:sz w:val="16"/>
          <w:szCs w:val="16"/>
          <w:u w:val="single" w:color="auto"/>
          <w:color w:val="0000FF"/>
        </w:rPr>
      </w:pPr>
    </w:p>
    <w:p>
      <w:pPr>
        <w:ind w:left="960" w:right="200" w:hanging="880"/>
        <w:spacing w:after="0" w:line="256" w:lineRule="auto"/>
        <w:tabs>
          <w:tab w:leader="none" w:pos="940" w:val="left"/>
        </w:tabs>
        <w:rPr>
          <w:rFonts w:ascii="Arial" w:cs="Arial" w:eastAsia="Arial" w:hAnsi="Arial"/>
          <w:sz w:val="16"/>
          <w:szCs w:val="16"/>
          <w:u w:val="single" w:color="auto"/>
          <w:color w:val="0000FF"/>
        </w:rPr>
      </w:pPr>
      <w:r>
        <w:rPr>
          <w:rFonts w:ascii="Arial" w:cs="Arial" w:eastAsia="Arial" w:hAnsi="Arial"/>
          <w:sz w:val="16"/>
          <w:szCs w:val="16"/>
          <w:color w:val="auto"/>
        </w:rPr>
        <w:t>10.33</w:t>
      </w:r>
      <w:r>
        <w:rPr>
          <w:sz w:val="20"/>
          <w:szCs w:val="20"/>
          <w:color w:val="auto"/>
        </w:rPr>
        <w:tab/>
      </w:r>
      <w:hyperlink r:id="rId327">
        <w:r>
          <w:rPr>
            <w:rFonts w:ascii="Arial" w:cs="Arial" w:eastAsia="Arial" w:hAnsi="Arial"/>
            <w:sz w:val="16"/>
            <w:szCs w:val="16"/>
            <w:u w:val="single" w:color="auto"/>
            <w:color w:val="0000FF"/>
          </w:rPr>
          <w:t>Credit Agreement, dated as of December 12, 2019, by and</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among Connect Midco Limited, Connect Bidco Limited,</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Connect Finco SARL, Connect U.S. Finco LLC, Barclays</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Bank PLC (as administrative agent and collateral agent),</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608330</wp:posOffset>
            </wp:positionH>
            <wp:positionV relativeFrom="paragraph">
              <wp:posOffset>-510540</wp:posOffset>
            </wp:positionV>
            <wp:extent cx="26987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269875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-390525</wp:posOffset>
            </wp:positionV>
            <wp:extent cx="25330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-270510</wp:posOffset>
            </wp:positionV>
            <wp:extent cx="26073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-150495</wp:posOffset>
            </wp:positionV>
            <wp:extent cx="26015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2601595" cy="8255"/>
                    </a:xfrm>
                    <a:prstGeom prst="rect">
                      <a:avLst/>
                    </a:prstGeom>
                    <a:noFill/>
                  </pic:spPr>
                </pic:pic>
              </a:graphicData>
            </a:graphic>
          </wp:anchor>
        </w:drawing>
        <w:drawing>
          <wp:anchor simplePos="0" relativeHeight="251657728" behindDoc="1" locked="0" layoutInCell="0" allowOverlap="1">
            <wp:simplePos x="0" y="0"/>
            <wp:positionH relativeFrom="column">
              <wp:posOffset>608330</wp:posOffset>
            </wp:positionH>
            <wp:positionV relativeFrom="paragraph">
              <wp:posOffset>-30480</wp:posOffset>
            </wp:positionV>
            <wp:extent cx="157797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155"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08/10/2015</w:t>
            </w:r>
          </w:p>
        </w:tc>
      </w:tr>
      <w:tr>
        <w:trPr>
          <w:trHeight w:val="104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03/24/2016</w:t>
            </w:r>
          </w:p>
        </w:tc>
      </w:tr>
      <w:tr>
        <w:trPr>
          <w:trHeight w:val="1039"/>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10/12/2016</w:t>
            </w:r>
          </w:p>
        </w:tc>
      </w:tr>
      <w:tr>
        <w:trPr>
          <w:trHeight w:val="1039"/>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07/23/2018</w:t>
            </w:r>
          </w:p>
        </w:tc>
      </w:tr>
      <w:tr>
        <w:trPr>
          <w:trHeight w:val="104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02/28/2019</w:t>
            </w:r>
          </w:p>
        </w:tc>
      </w:tr>
      <w:tr>
        <w:trPr>
          <w:trHeight w:val="1039"/>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10.2</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08/09/2022</w:t>
            </w:r>
          </w:p>
        </w:tc>
      </w:tr>
      <w:tr>
        <w:trPr>
          <w:trHeight w:val="851"/>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10.9</w:t>
            </w:r>
          </w:p>
        </w:tc>
        <w:tc>
          <w:tcPr>
            <w:tcW w:w="1020" w:type="dxa"/>
            <w:vAlign w:val="bottom"/>
          </w:tcPr>
          <w:p>
            <w:pPr>
              <w:jc w:val="right"/>
              <w:spacing w:after="0"/>
              <w:rPr>
                <w:sz w:val="20"/>
                <w:szCs w:val="20"/>
                <w:color w:val="auto"/>
              </w:rPr>
            </w:pPr>
            <w:r>
              <w:rPr>
                <w:rFonts w:ascii="Arial" w:cs="Arial" w:eastAsia="Arial" w:hAnsi="Arial"/>
                <w:sz w:val="16"/>
                <w:szCs w:val="16"/>
                <w:color w:val="auto"/>
              </w:rPr>
              <w:t>11/09/2023</w:t>
            </w:r>
          </w:p>
        </w:tc>
      </w:tr>
      <w:tr>
        <w:trPr>
          <w:trHeight w:val="850"/>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10.10</w:t>
            </w:r>
          </w:p>
        </w:tc>
        <w:tc>
          <w:tcPr>
            <w:tcW w:w="1020" w:type="dxa"/>
            <w:vAlign w:val="bottom"/>
          </w:tcPr>
          <w:p>
            <w:pPr>
              <w:jc w:val="right"/>
              <w:spacing w:after="0"/>
              <w:rPr>
                <w:sz w:val="20"/>
                <w:szCs w:val="20"/>
                <w:color w:val="auto"/>
              </w:rPr>
            </w:pPr>
            <w:r>
              <w:rPr>
                <w:rFonts w:ascii="Arial" w:cs="Arial" w:eastAsia="Arial" w:hAnsi="Arial"/>
                <w:sz w:val="16"/>
                <w:szCs w:val="16"/>
                <w:color w:val="auto"/>
              </w:rPr>
              <w:t>11/09/2023</w:t>
            </w:r>
          </w:p>
        </w:tc>
      </w:tr>
      <w:tr>
        <w:trPr>
          <w:trHeight w:val="85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03/04/2022</w:t>
            </w:r>
          </w:p>
        </w:tc>
      </w:tr>
      <w:tr>
        <w:trPr>
          <w:trHeight w:val="85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09/25/2023</w:t>
            </w:r>
          </w:p>
        </w:tc>
      </w:tr>
      <w:tr>
        <w:trPr>
          <w:trHeight w:val="850"/>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60" w:type="dxa"/>
            <w:vAlign w:val="bottom"/>
          </w:tcPr>
          <w:p>
            <w:pPr>
              <w:jc w:val="center"/>
              <w:spacing w:after="0"/>
              <w:rPr>
                <w:sz w:val="20"/>
                <w:szCs w:val="20"/>
                <w:color w:val="auto"/>
              </w:rPr>
            </w:pPr>
            <w:r>
              <w:rPr>
                <w:rFonts w:ascii="Arial" w:cs="Arial" w:eastAsia="Arial" w:hAnsi="Arial"/>
                <w:sz w:val="16"/>
                <w:szCs w:val="16"/>
                <w:color w:val="auto"/>
              </w:rPr>
              <w:t>10.4</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08/09/2023</w:t>
            </w:r>
          </w:p>
        </w:tc>
      </w:tr>
    </w:tbl>
    <w:p>
      <w:pPr>
        <w:sectPr>
          <w:pgSz w:w="11900" w:h="16838" w:orient="portrait"/>
          <w:cols w:equalWidth="0" w:num="2">
            <w:col w:w="5360" w:space="560"/>
            <w:col w:w="4020"/>
          </w:cols>
          <w:pgMar w:left="680" w:top="989" w:right="1279" w:bottom="1440" w:gutter="0" w:footer="0" w:header="0"/>
        </w:sectPr>
      </w:pPr>
    </w:p>
    <w:bookmarkStart w:id="77" w:name="page78"/>
    <w:bookmarkEnd w:id="77"/>
    <w:p>
      <w:pPr>
        <w:ind w:left="1000" w:right="140" w:hanging="948"/>
        <w:spacing w:after="0" w:line="256"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10.33.1</w:t>
      </w:r>
      <w:r>
        <w:rPr>
          <w:sz w:val="20"/>
          <w:szCs w:val="20"/>
          <w:color w:val="auto"/>
        </w:rPr>
        <w:tab/>
      </w:r>
      <w:hyperlink r:id="rId334">
        <w:r>
          <w:rPr>
            <w:rFonts w:ascii="Arial" w:cs="Arial" w:eastAsia="Arial" w:hAnsi="Arial"/>
            <w:sz w:val="16"/>
            <w:szCs w:val="16"/>
            <w:u w:val="single" w:color="auto"/>
            <w:color w:val="0000FF"/>
          </w:rPr>
          <w:t>Amendment No.1 to Credit Agreement, dated as of January</w:t>
        </w:r>
      </w:hyperlink>
      <w:r>
        <w:rPr>
          <w:rFonts w:ascii="Arial" w:cs="Arial" w:eastAsia="Arial" w:hAnsi="Arial"/>
          <w:sz w:val="16"/>
          <w:szCs w:val="16"/>
          <w:u w:val="single" w:color="auto"/>
          <w:color w:val="0000FF"/>
        </w:rPr>
        <w:t xml:space="preserve"> </w:t>
      </w:r>
      <w:hyperlink r:id="rId334">
        <w:r>
          <w:rPr>
            <w:rFonts w:ascii="Arial" w:cs="Arial" w:eastAsia="Arial" w:hAnsi="Arial"/>
            <w:sz w:val="16"/>
            <w:szCs w:val="16"/>
            <w:u w:val="single" w:color="auto"/>
            <w:color w:val="0000FF"/>
          </w:rPr>
          <w:t>25, 2021, by and among Connect Midco Limited, Connect</w:t>
        </w:r>
      </w:hyperlink>
      <w:r>
        <w:rPr>
          <w:rFonts w:ascii="Arial" w:cs="Arial" w:eastAsia="Arial" w:hAnsi="Arial"/>
          <w:sz w:val="16"/>
          <w:szCs w:val="16"/>
          <w:u w:val="single" w:color="auto"/>
          <w:color w:val="0000FF"/>
        </w:rPr>
        <w:t xml:space="preserve"> </w:t>
      </w:r>
      <w:hyperlink r:id="rId334">
        <w:r>
          <w:rPr>
            <w:rFonts w:ascii="Arial" w:cs="Arial" w:eastAsia="Arial" w:hAnsi="Arial"/>
            <w:sz w:val="16"/>
            <w:szCs w:val="16"/>
            <w:u w:val="single" w:color="auto"/>
            <w:color w:val="0000FF"/>
          </w:rPr>
          <w:t>Bidco Limited, Connect Finco SARL, Connect U.S. Finco</w:t>
        </w:r>
      </w:hyperlink>
      <w:r>
        <w:rPr>
          <w:rFonts w:ascii="Arial" w:cs="Arial" w:eastAsia="Arial" w:hAnsi="Arial"/>
          <w:sz w:val="16"/>
          <w:szCs w:val="16"/>
          <w:u w:val="single" w:color="auto"/>
          <w:color w:val="0000FF"/>
        </w:rPr>
        <w:t xml:space="preserve"> </w:t>
      </w:r>
      <w:hyperlink r:id="rId334">
        <w:r>
          <w:rPr>
            <w:rFonts w:ascii="Arial" w:cs="Arial" w:eastAsia="Arial" w:hAnsi="Arial"/>
            <w:sz w:val="16"/>
            <w:szCs w:val="16"/>
            <w:u w:val="single" w:color="auto"/>
            <w:color w:val="0000FF"/>
          </w:rPr>
          <w:t>LLC, Barclays Bank PLC (as administrative agent and</w:t>
        </w:r>
      </w:hyperlink>
      <w:r>
        <w:rPr>
          <w:rFonts w:ascii="Arial" w:cs="Arial" w:eastAsia="Arial" w:hAnsi="Arial"/>
          <w:sz w:val="16"/>
          <w:szCs w:val="16"/>
          <w:u w:val="single" w:color="auto"/>
          <w:color w:val="0000FF"/>
        </w:rPr>
        <w:t xml:space="preserve"> </w:t>
      </w:r>
      <w:hyperlink r:id="rId334">
        <w:r>
          <w:rPr>
            <w:rFonts w:ascii="Arial" w:cs="Arial" w:eastAsia="Arial" w:hAnsi="Arial"/>
            <w:sz w:val="16"/>
            <w:szCs w:val="16"/>
            <w:u w:val="single" w:color="auto"/>
            <w:color w:val="0000FF"/>
          </w:rPr>
          <w:t>collateral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633730</wp:posOffset>
            </wp:positionH>
            <wp:positionV relativeFrom="paragraph">
              <wp:posOffset>-510540</wp:posOffset>
            </wp:positionV>
            <wp:extent cx="2738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5">
                      <a:extLst>
                        <a:ext uri="{28A0092B-C50C-407E-A947-70E740481C1C}"/>
                      </a:extLst>
                    </a:blip>
                    <a:srcRect/>
                    <a:stretch>
                      <a:fillRect/>
                    </a:stretch>
                  </pic:blipFill>
                  <pic:spPr bwMode="auto">
                    <a:xfrm>
                      <a:off x="0" y="0"/>
                      <a:ext cx="273875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-390525</wp:posOffset>
            </wp:positionV>
            <wp:extent cx="265303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6">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-270510</wp:posOffset>
            </wp:positionV>
            <wp:extent cx="26130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7">
                      <a:extLst>
                        <a:ext uri="{28A0092B-C50C-407E-A947-70E740481C1C}"/>
                      </a:extLst>
                    </a:blip>
                    <a:srcRect/>
                    <a:stretch>
                      <a:fillRect/>
                    </a:stretch>
                  </pic:blipFill>
                  <pic:spPr bwMode="auto">
                    <a:xfrm>
                      <a:off x="0" y="0"/>
                      <a:ext cx="2613025" cy="889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-150495</wp:posOffset>
            </wp:positionV>
            <wp:extent cx="2481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8">
                      <a:extLst>
                        <a:ext uri="{28A0092B-C50C-407E-A947-70E740481C1C}"/>
                      </a:extLst>
                    </a:blip>
                    <a:srcRect/>
                    <a:stretch>
                      <a:fillRect/>
                    </a:stretch>
                  </pic:blipFill>
                  <pic:spPr bwMode="auto">
                    <a:xfrm>
                      <a:off x="0" y="0"/>
                      <a:ext cx="248158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-30480</wp:posOffset>
            </wp:positionV>
            <wp:extent cx="23672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9">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1000" w:right="100" w:hanging="948"/>
        <w:spacing w:after="0" w:line="256"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10.33.2</w:t>
      </w:r>
      <w:r>
        <w:rPr>
          <w:sz w:val="20"/>
          <w:szCs w:val="20"/>
          <w:color w:val="auto"/>
        </w:rPr>
        <w:tab/>
      </w:r>
      <w:hyperlink r:id="rId340">
        <w:r>
          <w:rPr>
            <w:rFonts w:ascii="Arial" w:cs="Arial" w:eastAsia="Arial" w:hAnsi="Arial"/>
            <w:sz w:val="16"/>
            <w:szCs w:val="16"/>
            <w:u w:val="single" w:color="auto"/>
            <w:color w:val="0000FF"/>
          </w:rPr>
          <w:t>Amendment No. 2 to Credit Agreement, dated as of</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December 17, 2021, by and among Connect Midco Limited,</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Connect Bidco Limited, Connect Finco SARL, Connect U.S.</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Finco LLC, Barclays Bank PLC (as administrative agent and</w:t>
        </w:r>
      </w:hyperlink>
      <w:r>
        <w:rPr>
          <w:rFonts w:ascii="Arial" w:cs="Arial" w:eastAsia="Arial" w:hAnsi="Arial"/>
          <w:sz w:val="16"/>
          <w:szCs w:val="16"/>
          <w:u w:val="single" w:color="auto"/>
          <w:color w:val="0000FF"/>
        </w:rPr>
        <w:t xml:space="preserve"> </w:t>
      </w:r>
      <w:hyperlink r:id="rId340">
        <w:r>
          <w:rPr>
            <w:rFonts w:ascii="Arial" w:cs="Arial" w:eastAsia="Arial" w:hAnsi="Arial"/>
            <w:sz w:val="16"/>
            <w:szCs w:val="16"/>
            <w:u w:val="single" w:color="auto"/>
            <w:color w:val="0000FF"/>
          </w:rPr>
          <w:t>collateral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633730</wp:posOffset>
            </wp:positionH>
            <wp:positionV relativeFrom="paragraph">
              <wp:posOffset>-510540</wp:posOffset>
            </wp:positionV>
            <wp:extent cx="23729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41">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-390525</wp:posOffset>
            </wp:positionV>
            <wp:extent cx="2744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2">
                      <a:extLst>
                        <a:ext uri="{28A0092B-C50C-407E-A947-70E740481C1C}"/>
                      </a:extLst>
                    </a:blip>
                    <a:srcRect/>
                    <a:stretch>
                      <a:fillRect/>
                    </a:stretch>
                  </pic:blipFill>
                  <pic:spPr bwMode="auto">
                    <a:xfrm>
                      <a:off x="0" y="0"/>
                      <a:ext cx="274447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-270510</wp:posOffset>
            </wp:positionV>
            <wp:extent cx="2744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3">
                      <a:extLst>
                        <a:ext uri="{28A0092B-C50C-407E-A947-70E740481C1C}"/>
                      </a:extLst>
                    </a:blip>
                    <a:srcRect/>
                    <a:stretch>
                      <a:fillRect/>
                    </a:stretch>
                  </pic:blipFill>
                  <pic:spPr bwMode="auto">
                    <a:xfrm>
                      <a:off x="0" y="0"/>
                      <a:ext cx="274447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-150495</wp:posOffset>
            </wp:positionV>
            <wp:extent cx="27514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4">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-30480</wp:posOffset>
            </wp:positionV>
            <wp:extent cx="23672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5">
                      <a:extLst>
                        <a:ext uri="{28A0092B-C50C-407E-A947-70E740481C1C}"/>
                      </a:extLst>
                    </a:blip>
                    <a:srcRect/>
                    <a:stretch>
                      <a:fillRect/>
                    </a:stretch>
                  </pic:blipFill>
                  <pic:spPr bwMode="auto">
                    <a:xfrm>
                      <a:off x="0" y="0"/>
                      <a:ext cx="2367280" cy="8890"/>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1000" w:right="100" w:hanging="948"/>
        <w:spacing w:after="0" w:line="256"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10.33.3</w:t>
      </w:r>
      <w:r>
        <w:rPr>
          <w:sz w:val="20"/>
          <w:szCs w:val="20"/>
          <w:color w:val="auto"/>
        </w:rPr>
        <w:tab/>
      </w:r>
      <w:hyperlink r:id="rId346">
        <w:r>
          <w:rPr>
            <w:rFonts w:ascii="Arial" w:cs="Arial" w:eastAsia="Arial" w:hAnsi="Arial"/>
            <w:sz w:val="16"/>
            <w:szCs w:val="16"/>
            <w:u w:val="single" w:color="auto"/>
            <w:color w:val="0000FF"/>
          </w:rPr>
          <w:t>Amendment No. 3 to Credit Agreement, dated as of</w:t>
        </w:r>
      </w:hyperlink>
      <w:r>
        <w:rPr>
          <w:rFonts w:ascii="Arial" w:cs="Arial" w:eastAsia="Arial" w:hAnsi="Arial"/>
          <w:sz w:val="16"/>
          <w:szCs w:val="16"/>
          <w:u w:val="single" w:color="auto"/>
          <w:color w:val="0000FF"/>
        </w:rPr>
        <w:t xml:space="preserve"> </w:t>
      </w:r>
      <w:hyperlink r:id="rId346">
        <w:r>
          <w:rPr>
            <w:rFonts w:ascii="Arial" w:cs="Arial" w:eastAsia="Arial" w:hAnsi="Arial"/>
            <w:sz w:val="16"/>
            <w:szCs w:val="16"/>
            <w:u w:val="single" w:color="auto"/>
            <w:color w:val="0000FF"/>
          </w:rPr>
          <w:t>December 2, 2022, by and among Connect Midco Limited,</w:t>
        </w:r>
      </w:hyperlink>
      <w:r>
        <w:rPr>
          <w:rFonts w:ascii="Arial" w:cs="Arial" w:eastAsia="Arial" w:hAnsi="Arial"/>
          <w:sz w:val="16"/>
          <w:szCs w:val="16"/>
          <w:u w:val="single" w:color="auto"/>
          <w:color w:val="0000FF"/>
        </w:rPr>
        <w:t xml:space="preserve"> </w:t>
      </w:r>
      <w:hyperlink r:id="rId346">
        <w:r>
          <w:rPr>
            <w:rFonts w:ascii="Arial" w:cs="Arial" w:eastAsia="Arial" w:hAnsi="Arial"/>
            <w:sz w:val="16"/>
            <w:szCs w:val="16"/>
            <w:u w:val="single" w:color="auto"/>
            <w:color w:val="0000FF"/>
          </w:rPr>
          <w:t>Connect Bidco Limited, Connect Finco SARL, Connect U.S.</w:t>
        </w:r>
      </w:hyperlink>
      <w:r>
        <w:rPr>
          <w:rFonts w:ascii="Arial" w:cs="Arial" w:eastAsia="Arial" w:hAnsi="Arial"/>
          <w:sz w:val="16"/>
          <w:szCs w:val="16"/>
          <w:u w:val="single" w:color="auto"/>
          <w:color w:val="0000FF"/>
        </w:rPr>
        <w:t xml:space="preserve"> </w:t>
      </w:r>
      <w:hyperlink r:id="rId346">
        <w:r>
          <w:rPr>
            <w:rFonts w:ascii="Arial" w:cs="Arial" w:eastAsia="Arial" w:hAnsi="Arial"/>
            <w:sz w:val="16"/>
            <w:szCs w:val="16"/>
            <w:u w:val="single" w:color="auto"/>
            <w:color w:val="0000FF"/>
          </w:rPr>
          <w:t>Finco LLC, Barclays Bank PLC (as administrative agent and</w:t>
        </w:r>
      </w:hyperlink>
      <w:r>
        <w:rPr>
          <w:rFonts w:ascii="Arial" w:cs="Arial" w:eastAsia="Arial" w:hAnsi="Arial"/>
          <w:sz w:val="16"/>
          <w:szCs w:val="16"/>
          <w:u w:val="single" w:color="auto"/>
          <w:color w:val="0000FF"/>
        </w:rPr>
        <w:t xml:space="preserve"> </w:t>
      </w:r>
      <w:hyperlink r:id="rId346">
        <w:r>
          <w:rPr>
            <w:rFonts w:ascii="Arial" w:cs="Arial" w:eastAsia="Arial" w:hAnsi="Arial"/>
            <w:sz w:val="16"/>
            <w:szCs w:val="16"/>
            <w:u w:val="single" w:color="auto"/>
            <w:color w:val="0000FF"/>
          </w:rPr>
          <w:t>collateral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633730</wp:posOffset>
            </wp:positionH>
            <wp:positionV relativeFrom="paragraph">
              <wp:posOffset>-510540</wp:posOffset>
            </wp:positionV>
            <wp:extent cx="23729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7">
                      <a:extLst>
                        <a:ext uri="{28A0092B-C50C-407E-A947-70E740481C1C}"/>
                      </a:extLst>
                    </a:blip>
                    <a:srcRect/>
                    <a:stretch>
                      <a:fillRect/>
                    </a:stretch>
                  </pic:blipFill>
                  <pic:spPr bwMode="auto">
                    <a:xfrm>
                      <a:off x="0" y="0"/>
                      <a:ext cx="237299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-390525</wp:posOffset>
            </wp:positionV>
            <wp:extent cx="2687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8">
                      <a:extLst>
                        <a:ext uri="{28A0092B-C50C-407E-A947-70E740481C1C}"/>
                      </a:extLst>
                    </a:blip>
                    <a:srcRect/>
                    <a:stretch>
                      <a:fillRect/>
                    </a:stretch>
                  </pic:blipFill>
                  <pic:spPr bwMode="auto">
                    <a:xfrm>
                      <a:off x="0" y="0"/>
                      <a:ext cx="2687320" cy="889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-270510</wp:posOffset>
            </wp:positionV>
            <wp:extent cx="2744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9">
                      <a:extLst>
                        <a:ext uri="{28A0092B-C50C-407E-A947-70E740481C1C}"/>
                      </a:extLst>
                    </a:blip>
                    <a:srcRect/>
                    <a:stretch>
                      <a:fillRect/>
                    </a:stretch>
                  </pic:blipFill>
                  <pic:spPr bwMode="auto">
                    <a:xfrm>
                      <a:off x="0" y="0"/>
                      <a:ext cx="274447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-150495</wp:posOffset>
            </wp:positionV>
            <wp:extent cx="27514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50">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-30480</wp:posOffset>
            </wp:positionV>
            <wp:extent cx="23672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51">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spacing w:after="0" w:line="38" w:lineRule="exact"/>
        <w:rPr>
          <w:rFonts w:ascii="Arial" w:cs="Arial" w:eastAsia="Arial" w:hAnsi="Arial"/>
          <w:sz w:val="16"/>
          <w:szCs w:val="16"/>
          <w:u w:val="single" w:color="auto"/>
          <w:color w:val="0000FF"/>
        </w:rPr>
      </w:pPr>
    </w:p>
    <w:p>
      <w:pPr>
        <w:ind w:left="1000" w:right="80" w:hanging="948"/>
        <w:spacing w:after="0" w:line="253" w:lineRule="auto"/>
        <w:tabs>
          <w:tab w:leader="none" w:pos="980" w:val="left"/>
        </w:tabs>
        <w:rPr>
          <w:rFonts w:ascii="Arial" w:cs="Arial" w:eastAsia="Arial" w:hAnsi="Arial"/>
          <w:sz w:val="16"/>
          <w:szCs w:val="16"/>
          <w:u w:val="single" w:color="auto"/>
          <w:color w:val="0000FF"/>
        </w:rPr>
      </w:pPr>
      <w:r>
        <w:rPr>
          <w:rFonts w:ascii="Arial" w:cs="Arial" w:eastAsia="Arial" w:hAnsi="Arial"/>
          <w:sz w:val="16"/>
          <w:szCs w:val="16"/>
          <w:color w:val="auto"/>
        </w:rPr>
        <w:t>10.33.4</w:t>
      </w:r>
      <w:r>
        <w:rPr>
          <w:sz w:val="20"/>
          <w:szCs w:val="20"/>
          <w:color w:val="auto"/>
        </w:rPr>
        <w:tab/>
      </w:r>
      <w:hyperlink r:id="rId352">
        <w:r>
          <w:rPr>
            <w:rFonts w:ascii="Arial" w:cs="Arial" w:eastAsia="Arial" w:hAnsi="Arial"/>
            <w:sz w:val="16"/>
            <w:szCs w:val="16"/>
            <w:u w:val="single" w:color="auto"/>
            <w:color w:val="0000FF"/>
          </w:rPr>
          <w:t>Amendment No. 4 to Credit Agreement, dated as of March</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28, 2024 by and among Connect Finco SARL, Connect U.S.</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Finco LLC, the subsidiary loan parties party thereto,</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Barclays Bank PLC, as existing administrative agent and</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collateral agent, Bank of America, N.A., as successor</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administrative agent and collateral agent, and the lenders</w:t>
        </w:r>
      </w:hyperlink>
      <w:r>
        <w:rPr>
          <w:rFonts w:ascii="Arial" w:cs="Arial" w:eastAsia="Arial" w:hAnsi="Arial"/>
          <w:sz w:val="16"/>
          <w:szCs w:val="16"/>
          <w:u w:val="single" w:color="auto"/>
          <w:color w:val="0000FF"/>
        </w:rPr>
        <w:t xml:space="preserve"> </w:t>
      </w:r>
      <w:hyperlink r:id="rId352">
        <w:r>
          <w:rPr>
            <w:rFonts w:ascii="Arial" w:cs="Arial" w:eastAsia="Arial" w:hAnsi="Arial"/>
            <w:sz w:val="16"/>
            <w:szCs w:val="16"/>
            <w:u w:val="single" w:color="auto"/>
            <w:color w:val="0000FF"/>
          </w:rPr>
          <w:t>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633730</wp:posOffset>
            </wp:positionH>
            <wp:positionV relativeFrom="paragraph">
              <wp:posOffset>-749935</wp:posOffset>
            </wp:positionV>
            <wp:extent cx="2687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53">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-629920</wp:posOffset>
            </wp:positionV>
            <wp:extent cx="27514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4">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-509905</wp:posOffset>
            </wp:positionV>
            <wp:extent cx="23844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5">
                      <a:extLst>
                        <a:ext uri="{28A0092B-C50C-407E-A947-70E740481C1C}"/>
                      </a:extLst>
                    </a:blip>
                    <a:srcRect/>
                    <a:stretch>
                      <a:fillRect/>
                    </a:stretch>
                  </pic:blipFill>
                  <pic:spPr bwMode="auto">
                    <a:xfrm>
                      <a:off x="0" y="0"/>
                      <a:ext cx="2384425" cy="8890"/>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-389890</wp:posOffset>
            </wp:positionV>
            <wp:extent cx="260731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6">
                      <a:extLst>
                        <a:ext uri="{28A0092B-C50C-407E-A947-70E740481C1C}"/>
                      </a:extLst>
                    </a:blip>
                    <a:srcRect/>
                    <a:stretch>
                      <a:fillRect/>
                    </a:stretch>
                  </pic:blipFill>
                  <pic:spPr bwMode="auto">
                    <a:xfrm>
                      <a:off x="0" y="0"/>
                      <a:ext cx="260731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-269875</wp:posOffset>
            </wp:positionV>
            <wp:extent cx="24523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7">
                      <a:extLst>
                        <a:ext uri="{28A0092B-C50C-407E-A947-70E740481C1C}"/>
                      </a:extLst>
                    </a:blip>
                    <a:srcRect/>
                    <a:stretch>
                      <a:fillRect/>
                    </a:stretch>
                  </pic:blipFill>
                  <pic:spPr bwMode="auto">
                    <a:xfrm>
                      <a:off x="0" y="0"/>
                      <a:ext cx="2452370"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-149860</wp:posOffset>
            </wp:positionV>
            <wp:extent cx="26422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8">
                      <a:extLst>
                        <a:ext uri="{28A0092B-C50C-407E-A947-70E740481C1C}"/>
                      </a:extLst>
                    </a:blip>
                    <a:srcRect/>
                    <a:stretch>
                      <a:fillRect/>
                    </a:stretch>
                  </pic:blipFill>
                  <pic:spPr bwMode="auto">
                    <a:xfrm>
                      <a:off x="0" y="0"/>
                      <a:ext cx="2642235" cy="8255"/>
                    </a:xfrm>
                    <a:prstGeom prst="rect">
                      <a:avLst/>
                    </a:prstGeom>
                    <a:noFill/>
                  </pic:spPr>
                </pic:pic>
              </a:graphicData>
            </a:graphic>
          </wp:anchor>
        </w:drawing>
        <w:drawing>
          <wp:anchor simplePos="0" relativeHeight="251657728" behindDoc="1" locked="0" layoutInCell="0" allowOverlap="1">
            <wp:simplePos x="0" y="0"/>
            <wp:positionH relativeFrom="column">
              <wp:posOffset>633730</wp:posOffset>
            </wp:positionH>
            <wp:positionV relativeFrom="paragraph">
              <wp:posOffset>-29845</wp:posOffset>
            </wp:positionV>
            <wp:extent cx="5772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9">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40" w:lineRule="exact"/>
        <w:rPr>
          <w:rFonts w:ascii="Arial" w:cs="Arial" w:eastAsia="Arial" w:hAnsi="Arial"/>
          <w:sz w:val="16"/>
          <w:szCs w:val="16"/>
          <w:u w:val="single" w:color="auto"/>
          <w:color w:val="0000FF"/>
        </w:rPr>
      </w:pPr>
    </w:p>
    <w:p>
      <w:pPr>
        <w:ind w:left="1000" w:right="660" w:hanging="770"/>
        <w:spacing w:after="0" w:line="286" w:lineRule="auto"/>
        <w:tabs>
          <w:tab w:leader="none" w:pos="1000" w:val="left"/>
        </w:tabs>
        <w:numPr>
          <w:ilvl w:val="0"/>
          <w:numId w:val="33"/>
        </w:numPr>
        <w:rPr>
          <w:rFonts w:ascii="Arial" w:cs="Arial" w:eastAsia="Arial" w:hAnsi="Arial"/>
          <w:sz w:val="16"/>
          <w:szCs w:val="16"/>
          <w:u w:val="single" w:color="auto"/>
          <w:color w:val="0000FF"/>
        </w:rPr>
      </w:pPr>
      <w:hyperlink r:id="rId360">
        <w:r>
          <w:rPr>
            <w:rFonts w:ascii="Arial" w:cs="Arial" w:eastAsia="Arial" w:hAnsi="Arial"/>
            <w:sz w:val="16"/>
            <w:szCs w:val="16"/>
            <w:u w:val="single" w:color="auto"/>
            <w:color w:val="0000FF"/>
          </w:rPr>
          <w:t>Viasat, Inc. Insider Trading Compliance Policies and</w:t>
        </w:r>
      </w:hyperlink>
      <w:r>
        <w:rPr>
          <w:rFonts w:ascii="Arial" w:cs="Arial" w:eastAsia="Arial" w:hAnsi="Arial"/>
          <w:sz w:val="16"/>
          <w:szCs w:val="16"/>
          <w:u w:val="single" w:color="auto"/>
          <w:color w:val="0000FF"/>
        </w:rPr>
        <w:t xml:space="preserve"> </w:t>
      </w:r>
      <w:hyperlink r:id="rId360">
        <w:r>
          <w:rPr>
            <w:rFonts w:ascii="Arial" w:cs="Arial" w:eastAsia="Arial" w:hAnsi="Arial"/>
            <w:sz w:val="16"/>
            <w:szCs w:val="16"/>
            <w:u w:val="single" w:color="auto"/>
            <w:color w:val="0000FF"/>
          </w:rPr>
          <w:t>Procedures</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-165735</wp:posOffset>
            </wp:positionV>
            <wp:extent cx="240728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61">
                      <a:extLst>
                        <a:ext uri="{28A0092B-C50C-407E-A947-70E740481C1C}"/>
                      </a:extLst>
                    </a:blip>
                    <a:srcRect/>
                    <a:stretch>
                      <a:fillRect/>
                    </a:stretch>
                  </pic:blipFill>
                  <pic:spPr bwMode="auto">
                    <a:xfrm>
                      <a:off x="0" y="0"/>
                      <a:ext cx="240728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-45720</wp:posOffset>
            </wp:positionV>
            <wp:extent cx="5257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62">
                      <a:extLst>
                        <a:ext uri="{28A0092B-C50C-407E-A947-70E740481C1C}"/>
                      </a:extLst>
                    </a:blip>
                    <a:srcRect/>
                    <a:stretch>
                      <a:fillRect/>
                    </a:stretch>
                  </pic:blipFill>
                  <pic:spPr bwMode="auto">
                    <a:xfrm>
                      <a:off x="0" y="0"/>
                      <a:ext cx="525780" cy="8890"/>
                    </a:xfrm>
                    <a:prstGeom prst="rect">
                      <a:avLst/>
                    </a:prstGeom>
                    <a:noFill/>
                  </pic:spPr>
                </pic:pic>
              </a:graphicData>
            </a:graphic>
          </wp:anchor>
        </w:drawing>
      </w:r>
    </w:p>
    <w:p>
      <w:pPr>
        <w:spacing w:after="0" w:line="14" w:lineRule="exact"/>
        <w:rPr>
          <w:rFonts w:ascii="Arial" w:cs="Arial" w:eastAsia="Arial" w:hAnsi="Arial"/>
          <w:sz w:val="16"/>
          <w:szCs w:val="16"/>
          <w:color w:val="auto"/>
        </w:rPr>
      </w:pPr>
    </w:p>
    <w:p>
      <w:pPr>
        <w:ind w:left="160"/>
        <w:spacing w:after="0"/>
        <w:tabs>
          <w:tab w:leader="none" w:pos="98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u w:val="single" w:color="auto"/>
          <w:color w:val="0000FF"/>
        </w:rPr>
        <w:t>Subsidiaries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-4445</wp:posOffset>
            </wp:positionV>
            <wp:extent cx="5600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63">
                      <a:extLst>
                        <a:ext uri="{28A0092B-C50C-407E-A947-70E740481C1C}"/>
                      </a:extLst>
                    </a:blip>
                    <a:srcRect/>
                    <a:stretch>
                      <a:fillRect/>
                    </a:stretch>
                  </pic:blipFill>
                  <pic:spPr bwMode="auto">
                    <a:xfrm>
                      <a:off x="0" y="0"/>
                      <a:ext cx="560070" cy="8255"/>
                    </a:xfrm>
                    <a:prstGeom prst="rect">
                      <a:avLst/>
                    </a:prstGeom>
                    <a:noFill/>
                  </pic:spPr>
                </pic:pic>
              </a:graphicData>
            </a:graphic>
          </wp:anchor>
        </w:drawing>
      </w:r>
    </w:p>
    <w:p>
      <w:pPr>
        <w:spacing w:after="0" w:line="80" w:lineRule="exact"/>
        <w:rPr>
          <w:rFonts w:ascii="Arial" w:cs="Arial" w:eastAsia="Arial" w:hAnsi="Arial"/>
          <w:sz w:val="16"/>
          <w:szCs w:val="16"/>
          <w:color w:val="auto"/>
        </w:rPr>
      </w:pPr>
    </w:p>
    <w:p>
      <w:pPr>
        <w:ind w:left="1000" w:right="440" w:hanging="834"/>
        <w:spacing w:after="0" w:line="286" w:lineRule="auto"/>
        <w:tabs>
          <w:tab w:leader="none" w:pos="98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u w:val="single" w:color="auto"/>
          <w:color w:val="0000FF"/>
        </w:rPr>
        <w:t>Consent of PricewaterhouseCoopers LLP, Independent Registered Public Accounting Firm</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-165735</wp:posOffset>
            </wp:positionV>
            <wp:extent cx="2550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64">
                      <a:extLst>
                        <a:ext uri="{28A0092B-C50C-407E-A947-70E740481C1C}"/>
                      </a:extLst>
                    </a:blip>
                    <a:srcRect/>
                    <a:stretch>
                      <a:fillRect/>
                    </a:stretch>
                  </pic:blipFill>
                  <pic:spPr bwMode="auto">
                    <a:xfrm>
                      <a:off x="0" y="0"/>
                      <a:ext cx="255016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-45720</wp:posOffset>
            </wp:positionV>
            <wp:extent cx="15779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5">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4" w:lineRule="exact"/>
        <w:rPr>
          <w:rFonts w:ascii="Arial" w:cs="Arial" w:eastAsia="Arial" w:hAnsi="Arial"/>
          <w:sz w:val="16"/>
          <w:szCs w:val="16"/>
          <w:color w:val="auto"/>
        </w:rPr>
      </w:pPr>
    </w:p>
    <w:p>
      <w:pPr>
        <w:ind w:left="160"/>
        <w:spacing w:after="0"/>
        <w:tabs>
          <w:tab w:leader="none" w:pos="980" w:val="left"/>
        </w:tabs>
        <w:rPr>
          <w:sz w:val="20"/>
          <w:szCs w:val="20"/>
          <w:color w:val="auto"/>
        </w:rPr>
      </w:pPr>
      <w:r>
        <w:rPr>
          <w:rFonts w:ascii="Arial" w:cs="Arial" w:eastAsia="Arial" w:hAnsi="Arial"/>
          <w:sz w:val="16"/>
          <w:szCs w:val="16"/>
          <w:color w:val="auto"/>
        </w:rPr>
        <w:t>24.1</w:t>
      </w:r>
      <w:r>
        <w:rPr>
          <w:sz w:val="20"/>
          <w:szCs w:val="20"/>
          <w:color w:val="auto"/>
        </w:rPr>
        <w:tab/>
      </w:r>
      <w:r>
        <w:rPr>
          <w:rFonts w:ascii="Arial" w:cs="Arial" w:eastAsia="Arial" w:hAnsi="Arial"/>
          <w:sz w:val="16"/>
          <w:szCs w:val="16"/>
          <w:u w:val="single" w:color="auto"/>
          <w:color w:val="0000FF"/>
        </w:rPr>
        <w:t>Power of Attorney (see signature page)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-4445</wp:posOffset>
            </wp:positionV>
            <wp:extent cx="179006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6">
                      <a:extLst>
                        <a:ext uri="{28A0092B-C50C-407E-A947-70E740481C1C}"/>
                      </a:extLst>
                    </a:blip>
                    <a:srcRect/>
                    <a:stretch>
                      <a:fillRect/>
                    </a:stretch>
                  </pic:blipFill>
                  <pic:spPr bwMode="auto">
                    <a:xfrm>
                      <a:off x="0" y="0"/>
                      <a:ext cx="1790065" cy="8255"/>
                    </a:xfrm>
                    <a:prstGeom prst="rect">
                      <a:avLst/>
                    </a:prstGeom>
                    <a:noFill/>
                  </pic:spPr>
                </pic:pic>
              </a:graphicData>
            </a:graphic>
          </wp:anchor>
        </w:drawing>
      </w:r>
    </w:p>
    <w:p>
      <w:pPr>
        <w:spacing w:after="0" w:line="80" w:lineRule="exact"/>
        <w:rPr>
          <w:rFonts w:ascii="Arial" w:cs="Arial" w:eastAsia="Arial" w:hAnsi="Arial"/>
          <w:sz w:val="16"/>
          <w:szCs w:val="16"/>
          <w:color w:val="auto"/>
        </w:rPr>
      </w:pPr>
    </w:p>
    <w:p>
      <w:pPr>
        <w:ind w:left="1000" w:right="120" w:hanging="834"/>
        <w:spacing w:after="0" w:line="286" w:lineRule="auto"/>
        <w:tabs>
          <w:tab w:leader="none" w:pos="98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u w:val="single" w:color="auto"/>
          <w:color w:val="0000FF"/>
        </w:rPr>
        <w:t>Certification Pursuant to Section 302 of the Sarbanes-Oxley Act of 2002 of Chief Executive Officer</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-165735</wp:posOffset>
            </wp:positionV>
            <wp:extent cx="27501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7">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-45720</wp:posOffset>
            </wp:positionV>
            <wp:extent cx="17094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8">
                      <a:extLst>
                        <a:ext uri="{28A0092B-C50C-407E-A947-70E740481C1C}"/>
                      </a:extLst>
                    </a:blip>
                    <a:srcRect/>
                    <a:stretch>
                      <a:fillRect/>
                    </a:stretch>
                  </pic:blipFill>
                  <pic:spPr bwMode="auto">
                    <a:xfrm>
                      <a:off x="0" y="0"/>
                      <a:ext cx="1709420" cy="8255"/>
                    </a:xfrm>
                    <a:prstGeom prst="rect">
                      <a:avLst/>
                    </a:prstGeom>
                    <a:noFill/>
                  </pic:spPr>
                </pic:pic>
              </a:graphicData>
            </a:graphic>
          </wp:anchor>
        </w:drawing>
      </w:r>
    </w:p>
    <w:p>
      <w:pPr>
        <w:spacing w:after="0" w:line="14" w:lineRule="exact"/>
        <w:rPr>
          <w:rFonts w:ascii="Arial" w:cs="Arial" w:eastAsia="Arial" w:hAnsi="Arial"/>
          <w:sz w:val="16"/>
          <w:szCs w:val="16"/>
          <w:color w:val="auto"/>
        </w:rPr>
      </w:pPr>
    </w:p>
    <w:p>
      <w:pPr>
        <w:ind w:left="1000" w:right="120" w:hanging="834"/>
        <w:spacing w:after="0" w:line="286" w:lineRule="auto"/>
        <w:tabs>
          <w:tab w:leader="none" w:pos="98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u w:val="single" w:color="auto"/>
          <w:color w:val="0000FF"/>
        </w:rPr>
        <w:t>Certification Pursuant to Section 302 of the Sarbanes-Oxley Act of 2002 of Chief Financial Officer</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-165735</wp:posOffset>
            </wp:positionV>
            <wp:extent cx="27501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9">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-45720</wp:posOffset>
            </wp:positionV>
            <wp:extent cx="167513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70">
                      <a:extLst>
                        <a:ext uri="{28A0092B-C50C-407E-A947-70E740481C1C}"/>
                      </a:extLst>
                    </a:blip>
                    <a:srcRect/>
                    <a:stretch>
                      <a:fillRect/>
                    </a:stretch>
                  </pic:blipFill>
                  <pic:spPr bwMode="auto">
                    <a:xfrm>
                      <a:off x="0" y="0"/>
                      <a:ext cx="1675130" cy="8890"/>
                    </a:xfrm>
                    <a:prstGeom prst="rect">
                      <a:avLst/>
                    </a:prstGeom>
                    <a:noFill/>
                  </pic:spPr>
                </pic:pic>
              </a:graphicData>
            </a:graphic>
          </wp:anchor>
        </w:drawing>
      </w:r>
    </w:p>
    <w:p>
      <w:pPr>
        <w:spacing w:after="0" w:line="14" w:lineRule="exact"/>
        <w:rPr>
          <w:rFonts w:ascii="Arial" w:cs="Arial" w:eastAsia="Arial" w:hAnsi="Arial"/>
          <w:sz w:val="16"/>
          <w:szCs w:val="16"/>
          <w:color w:val="auto"/>
        </w:rPr>
      </w:pPr>
    </w:p>
    <w:p>
      <w:pPr>
        <w:ind w:left="1000" w:right="80" w:hanging="834"/>
        <w:spacing w:after="0" w:line="266" w:lineRule="auto"/>
        <w:tabs>
          <w:tab w:leader="none" w:pos="98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u w:val="single" w:color="auto"/>
          <w:color w:val="0000FF"/>
        </w:rPr>
        <w:t>Certifications Pursuant to 18 U.S.C. Section 1350, as Adopted Pursuant to Section 906 of the Sarbanes-Oxley Act of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-276225</wp:posOffset>
            </wp:positionV>
            <wp:extent cx="2447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71">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-156210</wp:posOffset>
            </wp:positionV>
            <wp:extent cx="27520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2">
                      <a:extLst>
                        <a:ext uri="{28A0092B-C50C-407E-A947-70E740481C1C}"/>
                      </a:extLst>
                    </a:blip>
                    <a:srcRect/>
                    <a:stretch>
                      <a:fillRect/>
                    </a:stretch>
                  </pic:blipFill>
                  <pic:spPr bwMode="auto">
                    <a:xfrm>
                      <a:off x="0" y="0"/>
                      <a:ext cx="2752090" cy="8890"/>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-36195</wp:posOffset>
            </wp:positionV>
            <wp:extent cx="3429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7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0" w:lineRule="exact"/>
        <w:rPr>
          <w:rFonts w:ascii="Arial" w:cs="Arial" w:eastAsia="Arial" w:hAnsi="Arial"/>
          <w:sz w:val="16"/>
          <w:szCs w:val="16"/>
          <w:color w:val="auto"/>
        </w:rPr>
      </w:pPr>
    </w:p>
    <w:p>
      <w:pPr>
        <w:ind w:left="1000"/>
        <w:spacing w:after="0"/>
        <w:rPr>
          <w:rFonts w:ascii="Arial" w:cs="Arial" w:eastAsia="Arial" w:hAnsi="Arial"/>
          <w:sz w:val="16"/>
          <w:szCs w:val="16"/>
          <w:u w:val="single" w:color="auto"/>
          <w:color w:val="0000FF"/>
        </w:rPr>
      </w:pPr>
      <w:hyperlink r:id="rId374">
        <w:r>
          <w:rPr>
            <w:rFonts w:ascii="Arial" w:cs="Arial" w:eastAsia="Arial" w:hAnsi="Arial"/>
            <w:sz w:val="16"/>
            <w:szCs w:val="16"/>
            <w:u w:val="single" w:color="auto"/>
            <w:color w:val="0000FF"/>
          </w:rPr>
          <w:t>Viasat, Inc. Compensation Recovery Policy Adopted Under</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-4445</wp:posOffset>
            </wp:positionV>
            <wp:extent cx="2715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75">
                      <a:extLst>
                        <a:ext uri="{28A0092B-C50C-407E-A947-70E740481C1C}"/>
                      </a:extLst>
                    </a:blip>
                    <a:srcRect/>
                    <a:stretch>
                      <a:fillRect/>
                    </a:stretch>
                  </pic:blipFill>
                  <pic:spPr bwMode="auto">
                    <a:xfrm>
                      <a:off x="0" y="0"/>
                      <a:ext cx="2715895" cy="8890"/>
                    </a:xfrm>
                    <a:prstGeom prst="rect">
                      <a:avLst/>
                    </a:prstGeom>
                    <a:noFill/>
                  </pic:spPr>
                </pic:pic>
              </a:graphicData>
            </a:graphic>
          </wp:anchor>
        </w:drawing>
      </w:r>
    </w:p>
    <w:p>
      <w:pPr>
        <w:spacing w:after="0" w:line="1" w:lineRule="exact"/>
        <w:rPr>
          <w:rFonts w:ascii="Arial" w:cs="Arial" w:eastAsia="Arial" w:hAnsi="Arial"/>
          <w:sz w:val="16"/>
          <w:szCs w:val="16"/>
          <w:color w:val="auto"/>
        </w:rPr>
      </w:pPr>
    </w:p>
    <w:p>
      <w:pPr>
        <w:ind w:left="1000" w:right="180" w:hanging="770"/>
        <w:spacing w:after="0" w:line="265" w:lineRule="auto"/>
        <w:tabs>
          <w:tab w:leader="none" w:pos="1000" w:val="left"/>
        </w:tabs>
        <w:numPr>
          <w:ilvl w:val="0"/>
          <w:numId w:val="34"/>
        </w:numPr>
        <w:rPr>
          <w:rFonts w:ascii="Arial" w:cs="Arial" w:eastAsia="Arial" w:hAnsi="Arial"/>
          <w:sz w:val="16"/>
          <w:szCs w:val="16"/>
          <w:u w:val="single" w:color="auto"/>
          <w:color w:val="0000FF"/>
        </w:rPr>
      </w:pPr>
      <w:hyperlink r:id="rId374">
        <w:r>
          <w:rPr>
            <w:rFonts w:ascii="Arial" w:cs="Arial" w:eastAsia="Arial" w:hAnsi="Arial"/>
            <w:sz w:val="16"/>
            <w:szCs w:val="16"/>
            <w:u w:val="single" w:color="auto"/>
            <w:color w:val="0000FF"/>
          </w:rPr>
          <w:t>Section 10Q of the Exchange Act and the NASDAQ Listing</w:t>
        </w:r>
      </w:hyperlink>
      <w:r>
        <w:rPr>
          <w:rFonts w:ascii="Arial" w:cs="Arial" w:eastAsia="Arial" w:hAnsi="Arial"/>
          <w:sz w:val="16"/>
          <w:szCs w:val="16"/>
          <w:u w:val="single" w:color="auto"/>
          <w:color w:val="0000FF"/>
        </w:rPr>
        <w:t xml:space="preserve"> </w:t>
      </w:r>
      <w:hyperlink r:id="rId374">
        <w:r>
          <w:rPr>
            <w:rFonts w:ascii="Arial" w:cs="Arial" w:eastAsia="Arial" w:hAnsi="Arial"/>
            <w:sz w:val="16"/>
            <w:szCs w:val="16"/>
            <w:u w:val="single" w:color="auto"/>
            <w:color w:val="0000FF"/>
          </w:rPr>
          <w:t>Rules</w:t>
        </w:r>
      </w:hyperlink>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633095</wp:posOffset>
            </wp:positionH>
            <wp:positionV relativeFrom="paragraph">
              <wp:posOffset>-155575</wp:posOffset>
            </wp:positionV>
            <wp:extent cx="27044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6">
                      <a:extLst>
                        <a:ext uri="{28A0092B-C50C-407E-A947-70E740481C1C}"/>
                      </a:extLst>
                    </a:blip>
                    <a:srcRect/>
                    <a:stretch>
                      <a:fillRect/>
                    </a:stretch>
                  </pic:blipFill>
                  <pic:spPr bwMode="auto">
                    <a:xfrm>
                      <a:off x="0" y="0"/>
                      <a:ext cx="270446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-35560</wp:posOffset>
            </wp:positionV>
            <wp:extent cx="262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7">
                      <a:extLst>
                        <a:ext uri="{28A0092B-C50C-407E-A947-70E740481C1C}"/>
                      </a:extLst>
                    </a:blip>
                    <a:srcRect/>
                    <a:stretch>
                      <a:fillRect/>
                    </a:stretch>
                  </pic:blipFill>
                  <pic:spPr bwMode="auto">
                    <a:xfrm>
                      <a:off x="0" y="0"/>
                      <a:ext cx="262890" cy="8890"/>
                    </a:xfrm>
                    <a:prstGeom prst="rect">
                      <a:avLst/>
                    </a:prstGeom>
                    <a:noFill/>
                  </pic:spPr>
                </pic:pic>
              </a:graphicData>
            </a:graphic>
          </wp:anchor>
        </w:drawing>
      </w:r>
    </w:p>
    <w:p>
      <w:pPr>
        <w:spacing w:after="0" w:line="3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89"/>
        </w:trPr>
        <w:tc>
          <w:tcPr>
            <w:tcW w:w="820" w:type="dxa"/>
            <w:vAlign w:val="bottom"/>
          </w:tcPr>
          <w:p>
            <w:pPr>
              <w:jc w:val="center"/>
              <w:ind w:right="99"/>
              <w:spacing w:after="0"/>
              <w:rPr>
                <w:sz w:val="20"/>
                <w:szCs w:val="20"/>
                <w:color w:val="auto"/>
              </w:rPr>
            </w:pPr>
            <w:r>
              <w:rPr>
                <w:rFonts w:ascii="Arial" w:cs="Arial" w:eastAsia="Arial" w:hAnsi="Arial"/>
                <w:sz w:val="16"/>
                <w:szCs w:val="16"/>
                <w:color w:val="auto"/>
              </w:rPr>
              <w:t>101.INS</w:t>
            </w:r>
          </w:p>
        </w:tc>
        <w:tc>
          <w:tcPr>
            <w:tcW w:w="4400" w:type="dxa"/>
            <w:vAlign w:val="bottom"/>
          </w:tcPr>
          <w:p>
            <w:pPr>
              <w:ind w:left="180"/>
              <w:spacing w:after="0"/>
              <w:rPr>
                <w:sz w:val="20"/>
                <w:szCs w:val="20"/>
                <w:color w:val="auto"/>
              </w:rPr>
            </w:pPr>
            <w:r>
              <w:rPr>
                <w:rFonts w:ascii="Arial" w:cs="Arial" w:eastAsia="Arial" w:hAnsi="Arial"/>
                <w:sz w:val="16"/>
                <w:szCs w:val="16"/>
                <w:color w:val="auto"/>
              </w:rPr>
              <w:t>Inline XBRL Instance Document - the instance document</w:t>
            </w:r>
          </w:p>
        </w:tc>
      </w:tr>
      <w:tr>
        <w:trPr>
          <w:trHeight w:val="189"/>
        </w:trPr>
        <w:tc>
          <w:tcPr>
            <w:tcW w:w="820" w:type="dxa"/>
            <w:vAlign w:val="bottom"/>
          </w:tcPr>
          <w:p>
            <w:pPr>
              <w:spacing w:after="0"/>
              <w:rPr>
                <w:sz w:val="16"/>
                <w:szCs w:val="16"/>
                <w:color w:val="auto"/>
              </w:rPr>
            </w:pPr>
          </w:p>
        </w:tc>
        <w:tc>
          <w:tcPr>
            <w:tcW w:w="4400" w:type="dxa"/>
            <w:vAlign w:val="bottom"/>
          </w:tcPr>
          <w:p>
            <w:pPr>
              <w:ind w:left="180"/>
              <w:spacing w:after="0"/>
              <w:rPr>
                <w:sz w:val="20"/>
                <w:szCs w:val="20"/>
                <w:color w:val="auto"/>
              </w:rPr>
            </w:pPr>
            <w:r>
              <w:rPr>
                <w:rFonts w:ascii="Arial" w:cs="Arial" w:eastAsia="Arial" w:hAnsi="Arial"/>
                <w:sz w:val="16"/>
                <w:szCs w:val="16"/>
                <w:color w:val="auto"/>
              </w:rPr>
              <w:t>does not appear in the Interactive Data File as its XBRL</w:t>
            </w:r>
          </w:p>
        </w:tc>
      </w:tr>
      <w:tr>
        <w:trPr>
          <w:trHeight w:val="215"/>
        </w:trPr>
        <w:tc>
          <w:tcPr>
            <w:tcW w:w="8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6"/>
                <w:szCs w:val="16"/>
                <w:color w:val="auto"/>
              </w:rPr>
              <w:t>tags are embedded within the Inline XBRL document.</w:t>
            </w:r>
          </w:p>
        </w:tc>
      </w:tr>
      <w:tr>
        <w:trPr>
          <w:trHeight w:val="258"/>
        </w:trPr>
        <w:tc>
          <w:tcPr>
            <w:tcW w:w="820" w:type="dxa"/>
            <w:vAlign w:val="bottom"/>
          </w:tcPr>
          <w:p>
            <w:pPr>
              <w:jc w:val="center"/>
              <w:ind w:right="99"/>
              <w:spacing w:after="0"/>
              <w:rPr>
                <w:sz w:val="20"/>
                <w:szCs w:val="20"/>
                <w:color w:val="auto"/>
              </w:rPr>
            </w:pPr>
            <w:r>
              <w:rPr>
                <w:rFonts w:ascii="Arial" w:cs="Arial" w:eastAsia="Arial" w:hAnsi="Arial"/>
                <w:sz w:val="16"/>
                <w:szCs w:val="16"/>
                <w:color w:val="auto"/>
                <w:w w:val="98"/>
              </w:rPr>
              <w:t>101.SCH</w:t>
            </w:r>
          </w:p>
        </w:tc>
        <w:tc>
          <w:tcPr>
            <w:tcW w:w="4400" w:type="dxa"/>
            <w:vAlign w:val="bottom"/>
          </w:tcPr>
          <w:p>
            <w:pPr>
              <w:ind w:left="180"/>
              <w:spacing w:after="0"/>
              <w:rPr>
                <w:sz w:val="20"/>
                <w:szCs w:val="20"/>
                <w:color w:val="auto"/>
              </w:rPr>
            </w:pPr>
            <w:r>
              <w:rPr>
                <w:rFonts w:ascii="Arial" w:cs="Arial" w:eastAsia="Arial" w:hAnsi="Arial"/>
                <w:sz w:val="16"/>
                <w:szCs w:val="16"/>
                <w:color w:val="auto"/>
              </w:rPr>
              <w:t>Inline XBRL Taxonomy Extension Schema with Embedded</w:t>
            </w:r>
          </w:p>
        </w:tc>
      </w:tr>
      <w:tr>
        <w:trPr>
          <w:trHeight w:val="215"/>
        </w:trPr>
        <w:tc>
          <w:tcPr>
            <w:tcW w:w="8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Arial" w:cs="Arial" w:eastAsia="Arial" w:hAnsi="Arial"/>
                <w:sz w:val="16"/>
                <w:szCs w:val="16"/>
                <w:color w:val="auto"/>
              </w:rPr>
              <w:t>Linkbases Document</w:t>
            </w:r>
          </w:p>
        </w:tc>
      </w:tr>
    </w:tbl>
    <w:p>
      <w:pPr>
        <w:spacing w:after="0" w:line="69" w:lineRule="exact"/>
        <w:rPr>
          <w:rFonts w:ascii="Arial" w:cs="Arial" w:eastAsia="Arial" w:hAnsi="Arial"/>
          <w:sz w:val="16"/>
          <w:szCs w:val="16"/>
          <w:color w:val="auto"/>
        </w:rPr>
      </w:pPr>
    </w:p>
    <w:p>
      <w:pPr>
        <w:ind w:left="1000" w:right="420" w:hanging="815"/>
        <w:spacing w:after="0" w:line="286"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151"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-210185</wp:posOffset>
            </wp:positionH>
            <wp:positionV relativeFrom="paragraph">
              <wp:posOffset>476250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15"/>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10.4.1</w:t>
            </w:r>
          </w:p>
        </w:tc>
        <w:tc>
          <w:tcPr>
            <w:tcW w:w="100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1039"/>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10.4.2</w:t>
            </w:r>
          </w:p>
        </w:tc>
        <w:tc>
          <w:tcPr>
            <w:tcW w:w="100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1039"/>
        </w:trPr>
        <w:tc>
          <w:tcPr>
            <w:tcW w:w="740" w:type="dxa"/>
            <w:vAlign w:val="bottom"/>
          </w:tcPr>
          <w:p>
            <w:pPr>
              <w:jc w:val="center"/>
              <w:ind w:right="299"/>
              <w:spacing w:after="0"/>
              <w:rPr>
                <w:sz w:val="20"/>
                <w:szCs w:val="20"/>
                <w:color w:val="auto"/>
              </w:rPr>
            </w:pPr>
            <w:r>
              <w:rPr>
                <w:rFonts w:ascii="Arial" w:cs="Arial" w:eastAsia="Arial" w:hAnsi="Arial"/>
                <w:sz w:val="16"/>
                <w:szCs w:val="16"/>
                <w:color w:val="auto"/>
              </w:rPr>
              <w:t>10-Q</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10.4.3</w:t>
            </w:r>
          </w:p>
        </w:tc>
        <w:tc>
          <w:tcPr>
            <w:tcW w:w="100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1040"/>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8-K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right"/>
              <w:spacing w:after="0"/>
              <w:rPr>
                <w:sz w:val="20"/>
                <w:szCs w:val="20"/>
                <w:color w:val="auto"/>
              </w:rPr>
            </w:pPr>
            <w:r>
              <w:rPr>
                <w:rFonts w:ascii="Arial" w:cs="Arial" w:eastAsia="Arial" w:hAnsi="Arial"/>
                <w:sz w:val="16"/>
                <w:szCs w:val="16"/>
                <w:color w:val="auto"/>
              </w:rPr>
              <w:t>03/28/2024</w:t>
            </w:r>
          </w:p>
        </w:tc>
      </w:tr>
      <w:tr>
        <w:trPr>
          <w:trHeight w:val="1418"/>
        </w:trPr>
        <w:tc>
          <w:tcPr>
            <w:tcW w:w="740" w:type="dxa"/>
            <w:vAlign w:val="bottom"/>
          </w:tcPr>
          <w:p>
            <w:pPr>
              <w:jc w:val="center"/>
              <w:ind w:right="319"/>
              <w:spacing w:after="0"/>
              <w:rPr>
                <w:sz w:val="20"/>
                <w:szCs w:val="20"/>
                <w:color w:val="auto"/>
              </w:rPr>
            </w:pPr>
            <w:r>
              <w:rPr>
                <w:rFonts w:ascii="Arial" w:cs="Arial" w:eastAsia="Arial" w:hAnsi="Arial"/>
                <w:sz w:val="16"/>
                <w:szCs w:val="16"/>
                <w:color w:val="auto"/>
              </w:rPr>
              <w:t>10-K</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rPr>
              <w:t>19</w:t>
            </w:r>
          </w:p>
        </w:tc>
        <w:tc>
          <w:tcPr>
            <w:tcW w:w="1000" w:type="dxa"/>
            <w:vAlign w:val="bottom"/>
          </w:tcPr>
          <w:p>
            <w:pPr>
              <w:jc w:val="right"/>
              <w:spacing w:after="0"/>
              <w:rPr>
                <w:sz w:val="20"/>
                <w:szCs w:val="20"/>
                <w:color w:val="auto"/>
              </w:rPr>
            </w:pPr>
            <w:r>
              <w:rPr>
                <w:rFonts w:ascii="Arial" w:cs="Arial" w:eastAsia="Arial" w:hAnsi="Arial"/>
                <w:sz w:val="16"/>
                <w:szCs w:val="16"/>
                <w:color w:val="auto"/>
              </w:rPr>
              <w:t>05/29/2024</w:t>
            </w:r>
          </w:p>
        </w:tc>
      </w:tr>
    </w:tbl>
    <w:p>
      <w:pPr>
        <w:spacing w:after="0" w:line="25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194"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100"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289"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289"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7" w:lineRule="exact"/>
        <w:rPr>
          <w:rFonts w:ascii="Arial" w:cs="Arial" w:eastAsia="Arial" w:hAnsi="Arial"/>
          <w:sz w:val="16"/>
          <w:szCs w:val="16"/>
          <w:color w:val="auto"/>
        </w:rPr>
      </w:pPr>
    </w:p>
    <w:p>
      <w:pPr>
        <w:spacing w:after="0"/>
        <w:tabs>
          <w:tab w:leader="none" w:pos="1120" w:val="left"/>
          <w:tab w:leader="none" w:pos="2480" w:val="left"/>
          <w:tab w:leader="none" w:pos="320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000-21767</w:t>
      </w:r>
      <w:r>
        <w:rPr>
          <w:sz w:val="20"/>
          <w:szCs w:val="20"/>
          <w:color w:val="auto"/>
        </w:rPr>
        <w:tab/>
      </w:r>
      <w:r>
        <w:rPr>
          <w:rFonts w:ascii="Arial" w:cs="Arial" w:eastAsia="Arial" w:hAnsi="Arial"/>
          <w:sz w:val="16"/>
          <w:szCs w:val="16"/>
          <w:color w:val="auto"/>
        </w:rPr>
        <w:t>97</w:t>
      </w:r>
      <w:r>
        <w:rPr>
          <w:sz w:val="20"/>
          <w:szCs w:val="20"/>
          <w:color w:val="auto"/>
        </w:rPr>
        <w:tab/>
      </w:r>
      <w:r>
        <w:rPr>
          <w:rFonts w:ascii="Arial" w:cs="Arial" w:eastAsia="Arial" w:hAnsi="Arial"/>
          <w:sz w:val="15"/>
          <w:szCs w:val="15"/>
          <w:color w:val="auto"/>
        </w:rPr>
        <w:t>05/29/2024</w:t>
      </w:r>
    </w:p>
    <w:p>
      <w:pPr>
        <w:spacing w:after="0" w:line="289"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200" w:lineRule="exact"/>
        <w:rPr>
          <w:rFonts w:ascii="Arial" w:cs="Arial" w:eastAsia="Arial" w:hAnsi="Arial"/>
          <w:sz w:val="16"/>
          <w:szCs w:val="16"/>
          <w:color w:val="auto"/>
        </w:rPr>
      </w:pPr>
    </w:p>
    <w:p>
      <w:pPr>
        <w:spacing w:after="0" w:line="278"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pacing w:after="0" w:line="289" w:lineRule="exact"/>
        <w:rPr>
          <w:rFonts w:ascii="Arial" w:cs="Arial" w:eastAsia="Arial" w:hAnsi="Arial"/>
          <w:sz w:val="16"/>
          <w:szCs w:val="16"/>
          <w:color w:val="auto"/>
        </w:rPr>
      </w:pPr>
    </w:p>
    <w:p>
      <w:pPr>
        <w:jc w:val="right"/>
        <w:spacing w:after="0"/>
        <w:rPr>
          <w:sz w:val="20"/>
          <w:szCs w:val="20"/>
          <w:color w:val="auto"/>
        </w:rPr>
      </w:pPr>
      <w:r>
        <w:rPr>
          <w:rFonts w:ascii="Arial" w:cs="Arial" w:eastAsia="Arial" w:hAnsi="Arial"/>
          <w:sz w:val="16"/>
          <w:szCs w:val="16"/>
          <w:color w:val="auto"/>
        </w:rPr>
        <w:t>X</w:t>
      </w:r>
    </w:p>
    <w:p>
      <w:pPr>
        <w:sectPr>
          <w:pgSz w:w="11900" w:h="16838" w:orient="portrait"/>
          <w:cols w:equalWidth="0" w:num="2">
            <w:col w:w="5400" w:space="560"/>
            <w:col w:w="4680"/>
          </w:cols>
          <w:pgMar w:left="640" w:top="1084" w:right="619" w:bottom="1440" w:gutter="0" w:footer="0" w:header="0"/>
        </w:sectPr>
      </w:pPr>
    </w:p>
    <w:bookmarkStart w:id="78" w:name="page79"/>
    <w:bookmarkEnd w:id="78"/>
    <w:p>
      <w:pPr>
        <w:ind w:firstLine="8"/>
        <w:spacing w:after="0" w:line="250" w:lineRule="auto"/>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9512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9">
                      <a:extLst>
                        <a:ext uri="{28A0092B-C50C-407E-A947-70E740481C1C}"/>
                      </a:extLst>
                    </a:blip>
                    <a:srcRect/>
                    <a:stretch>
                      <a:fillRect/>
                    </a:stretch>
                  </pic:blipFill>
                  <pic:spPr bwMode="auto">
                    <a:xfrm>
                      <a:off x="0" y="0"/>
                      <a:ext cx="951230" cy="8255"/>
                    </a:xfrm>
                    <a:prstGeom prst="rect">
                      <a:avLst/>
                    </a:prstGeom>
                    <a:noFill/>
                  </pic:spPr>
                </pic:pic>
              </a:graphicData>
            </a:graphic>
          </wp:anchor>
        </w:drawing>
        <w:t>Certain schedules to this Exhibit omitted pursuant to Regulation S-K Item 601(b)(2) or 601(a)(5) (as applicable). Viasat agrees to furnish a supplemental copy of any omitted schedule to the SEC upon request; provided, however, that Viasat may request confidential treatment pursuant to Rule 24b-2 of the Exchange Act for any document so furnished.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compensatory plan or arrangement.</w:t>
      </w:r>
    </w:p>
    <w:p>
      <w:pPr>
        <w:spacing w:after="0" w:line="104"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4" w:right="49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546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8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Chairman of the Board and Chief Executive</w:t>
      </w:r>
    </w:p>
    <w:p>
      <w:pPr>
        <w:ind w:left="7220"/>
        <w:spacing w:after="0"/>
        <w:rPr>
          <w:sz w:val="20"/>
          <w:szCs w:val="20"/>
          <w:color w:val="auto"/>
        </w:rPr>
      </w:pPr>
      <w:r>
        <w:rPr>
          <w:rFonts w:ascii="Arial" w:cs="Arial" w:eastAsia="Arial" w:hAnsi="Arial"/>
          <w:sz w:val="18"/>
          <w:szCs w:val="18"/>
          <w:color w:val="auto"/>
        </w:rPr>
        <w:t>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2025</w:t>
      </w:r>
    </w:p>
    <w:p>
      <w:pPr>
        <w:spacing w:after="0" w:line="15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Garrett Chase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32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Date</w:t>
            </w:r>
          </w:p>
        </w:tc>
      </w:tr>
      <w:tr>
        <w:trPr>
          <w:trHeight w:val="31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DANKBERG</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Mark Dankberg</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GARRETT CHASE</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Garrett Chase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DUFFY</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Senior Vice President and Chief Accounting Officer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Shawn Duffy</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BALDRIDGE</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Richard Baldridge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William LaPlante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PAK</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Sean Pak</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Michael Paull</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STENBIT</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John Stenbit</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88"/>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THERESA WISE</w:t>
            </w:r>
          </w:p>
        </w:tc>
        <w:tc>
          <w:tcPr>
            <w:tcW w:w="1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May 23, 2025</w:t>
            </w:r>
          </w:p>
        </w:tc>
      </w:tr>
      <w:tr>
        <w:trPr>
          <w:trHeight w:val="232"/>
        </w:trPr>
        <w:tc>
          <w:tcPr>
            <w:tcW w:w="3340" w:type="dxa"/>
            <w:vAlign w:val="bottom"/>
          </w:tcPr>
          <w:p>
            <w:pPr>
              <w:spacing w:after="0"/>
              <w:rPr>
                <w:sz w:val="20"/>
                <w:szCs w:val="20"/>
                <w:color w:val="auto"/>
              </w:rPr>
            </w:pPr>
            <w:r>
              <w:rPr>
                <w:rFonts w:ascii="Arial" w:cs="Arial" w:eastAsia="Arial" w:hAnsi="Arial"/>
                <w:sz w:val="18"/>
                <w:szCs w:val="18"/>
                <w:color w:val="auto"/>
              </w:rPr>
              <w:t>Theresa Wise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737"/>
        </w:trPr>
        <w:tc>
          <w:tcPr>
            <w:tcW w:w="3340" w:type="dxa"/>
            <w:vAlign w:val="bottom"/>
          </w:tcPr>
          <w:p>
            <w:pPr>
              <w:spacing w:after="0"/>
              <w:rPr>
                <w:sz w:val="24"/>
                <w:szCs w:val="24"/>
                <w:color w:val="auto"/>
              </w:rPr>
            </w:pPr>
          </w:p>
        </w:tc>
        <w:tc>
          <w:tcPr>
            <w:tcW w:w="4580" w:type="dxa"/>
            <w:vAlign w:val="bottom"/>
            <w:gridSpan w:val="2"/>
          </w:tcPr>
          <w:p>
            <w:pPr>
              <w:ind w:left="21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746"/>
        </w:trPr>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Viasat,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Viasat, Inc. and its subsidiaries (the “Company”) as of March 31, 2025 and 2024, and the related consolidated statements of operations and comprehensive income (loss), of equity and of cash flows for each of the three years in the period ended March 31, 2025, including the related notes and financial statement schedules listed in the accompanying index appearing under Item 15 (a)(1) (collectively referred to as the “consolidated financial statements”). We also have audited the Company's internal control over financial reporting as of March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165"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March 31, 2025 and 2024</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March 31, 2025 in conformity with accounting principles generally accepted in the United States of America. Also in our opinion, the Company maintained, in all material respects, effective internal control over financial reporting as of March 31, 2025,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196"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Communication Services Segment</w:t>
      </w:r>
    </w:p>
    <w:p>
      <w:pPr>
        <w:spacing w:after="0" w:line="19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described in Notes 1 and 16 to the consolidated financial statements, the communication services segment revenues were $3,298 million for the year ended March 31, 2025. The Company’s communication services segment revenues are primarily derived from the Company’s aviation services (including in-flight connectivity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 The Company’s connectivity services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w:t>
      </w:r>
    </w:p>
    <w:p>
      <w:pPr>
        <w:spacing w:after="0" w:line="170"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within the communication services segment is a critical audit matter is a high degree of auditor effort in performing procedures related to the Company’s revenue recognition.</w:t>
      </w:r>
    </w:p>
    <w:p>
      <w:pPr>
        <w:spacing w:after="0" w:line="15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the communication services revenue at the transaction price based upon either a period of time or usage. These procedures also included, among others (i) testing revenue recognized for a sample of revenue transactions by obtaining and inspecting source documents, such as contracts, purchase orders, invoices, proof of transfer of control to the customer, and cash receipts; and (ii) confirming a sample of outstanding customer invoice balances as of March 31, 2025 and, for confirmations not returned, obtaining and inspecting source documents, such as invoices, proof of transfer of control to the customer, and subsequent cash receipts.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May 23,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4" w:right="37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r>
      <w:tr>
        <w:trPr>
          <w:trHeight w:val="171"/>
        </w:trPr>
        <w:tc>
          <w:tcPr>
            <w:tcW w:w="8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4"/>
                <w:szCs w:val="14"/>
                <w:color w:val="auto"/>
              </w:rPr>
            </w:pPr>
          </w:p>
        </w:tc>
      </w:tr>
      <w:tr>
        <w:trPr>
          <w:trHeight w:val="156"/>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680" w:type="dxa"/>
            <w:vAlign w:val="bottom"/>
            <w:gridSpan w:val="4"/>
          </w:tcPr>
          <w:p>
            <w:pPr>
              <w:jc w:val="right"/>
              <w:ind w:right="331"/>
              <w:spacing w:after="0" w:line="155" w:lineRule="exact"/>
              <w:rPr>
                <w:sz w:val="20"/>
                <w:szCs w:val="20"/>
                <w:color w:val="auto"/>
              </w:rPr>
            </w:pPr>
            <w:r>
              <w:rPr>
                <w:rFonts w:ascii="Arial" w:cs="Arial" w:eastAsia="Arial" w:hAnsi="Arial"/>
                <w:sz w:val="14"/>
                <w:szCs w:val="14"/>
                <w:b w:val="1"/>
                <w:bCs w:val="1"/>
                <w:color w:val="auto"/>
              </w:rPr>
              <w:t>except share data)</w:t>
            </w:r>
          </w:p>
        </w:tc>
        <w:tc>
          <w:tcPr>
            <w:tcW w:w="120" w:type="dxa"/>
            <w:vAlign w:val="bottom"/>
          </w:tcPr>
          <w:p>
            <w:pPr>
              <w:spacing w:after="0"/>
              <w:rPr>
                <w:sz w:val="13"/>
                <w:szCs w:val="13"/>
                <w:color w:val="auto"/>
              </w:rPr>
            </w:pPr>
          </w:p>
        </w:tc>
      </w:tr>
      <w:tr>
        <w:trPr>
          <w:trHeight w:val="203"/>
        </w:trPr>
        <w:tc>
          <w:tcPr>
            <w:tcW w:w="8020" w:type="dxa"/>
            <w:vAlign w:val="bottom"/>
            <w:shd w:val="clear" w:color="auto" w:fill="CFF0FC"/>
          </w:tcPr>
          <w:p>
            <w:pPr>
              <w:ind w:left="3560"/>
              <w:spacing w:after="0" w:line="20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1,612,105</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1,901,033</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699,552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678,210</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293,943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317,878</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282,343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581,783</w:t>
            </w:r>
          </w:p>
        </w:tc>
        <w:tc>
          <w:tcPr>
            <w:tcW w:w="120" w:type="dxa"/>
            <w:vAlign w:val="bottom"/>
          </w:tcPr>
          <w:p>
            <w:pPr>
              <w:spacing w:after="0"/>
              <w:rPr>
                <w:sz w:val="17"/>
                <w:szCs w:val="17"/>
                <w:color w:val="auto"/>
              </w:rPr>
            </w:pPr>
          </w:p>
        </w:tc>
      </w:tr>
      <w:tr>
        <w:trPr>
          <w:trHeight w:val="196"/>
        </w:trPr>
        <w:tc>
          <w:tcPr>
            <w:tcW w:w="80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2,887,943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3,478,904</w:t>
            </w:r>
          </w:p>
        </w:tc>
        <w:tc>
          <w:tcPr>
            <w:tcW w:w="120" w:type="dxa"/>
            <w:vAlign w:val="bottom"/>
            <w:shd w:val="clear" w:color="auto" w:fill="CFF0FC"/>
          </w:tcPr>
          <w:p>
            <w:pPr>
              <w:spacing w:after="0"/>
              <w:rPr>
                <w:sz w:val="17"/>
                <w:szCs w:val="17"/>
                <w:color w:val="auto"/>
              </w:rPr>
            </w:pPr>
          </w:p>
        </w:tc>
      </w:tr>
      <w:tr>
        <w:trPr>
          <w:trHeight w:val="122"/>
        </w:trPr>
        <w:tc>
          <w:tcPr>
            <w:tcW w:w="8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equipment and satellites, net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7,405,664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7,557,206</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416,490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393,077</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acquired intangible assets, net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2,270,777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2,544,467</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1,622,132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1,621,763</w:t>
            </w:r>
          </w:p>
        </w:tc>
        <w:tc>
          <w:tcPr>
            <w:tcW w:w="12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845,778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733,947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15,448,784</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16,329,364</w:t>
            </w:r>
          </w:p>
        </w:tc>
        <w:tc>
          <w:tcPr>
            <w:tcW w:w="12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80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r>
      <w:tr>
        <w:trPr>
          <w:trHeight w:val="203"/>
        </w:trPr>
        <w:tc>
          <w:tcPr>
            <w:tcW w:w="8020" w:type="dxa"/>
            <w:vAlign w:val="bottom"/>
          </w:tcPr>
          <w:p>
            <w:pPr>
              <w:ind w:left="2820"/>
              <w:spacing w:after="0" w:line="202"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264,300</w:t>
            </w:r>
          </w:p>
        </w:tc>
        <w:tc>
          <w:tcPr>
            <w:tcW w:w="160" w:type="dxa"/>
            <w:vAlign w:val="bottom"/>
          </w:tcPr>
          <w:p>
            <w:pPr>
              <w:spacing w:after="0"/>
              <w:rPr>
                <w:sz w:val="17"/>
                <w:szCs w:val="17"/>
                <w:color w:val="auto"/>
              </w:rPr>
            </w:pP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287,206</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Accrued and other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908,529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950,621</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503,825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58,054</w:t>
            </w:r>
          </w:p>
        </w:tc>
        <w:tc>
          <w:tcPr>
            <w:tcW w:w="120" w:type="dxa"/>
            <w:vAlign w:val="bottom"/>
          </w:tcPr>
          <w:p>
            <w:pPr>
              <w:spacing w:after="0"/>
              <w:rPr>
                <w:sz w:val="17"/>
                <w:szCs w:val="17"/>
                <w:color w:val="auto"/>
              </w:rPr>
            </w:pPr>
          </w:p>
        </w:tc>
      </w:tr>
      <w:tr>
        <w:trPr>
          <w:trHeight w:val="196"/>
        </w:trPr>
        <w:tc>
          <w:tcPr>
            <w:tcW w:w="80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1,676,654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1,295,881</w:t>
            </w:r>
          </w:p>
        </w:tc>
        <w:tc>
          <w:tcPr>
            <w:tcW w:w="120" w:type="dxa"/>
            <w:vAlign w:val="bottom"/>
            <w:shd w:val="clear" w:color="auto" w:fill="CFF0FC"/>
          </w:tcPr>
          <w:p>
            <w:pPr>
              <w:spacing w:after="0"/>
              <w:rPr>
                <w:sz w:val="17"/>
                <w:szCs w:val="17"/>
                <w:color w:val="auto"/>
              </w:rPr>
            </w:pPr>
          </w:p>
        </w:tc>
      </w:tr>
      <w:tr>
        <w:trPr>
          <w:trHeight w:val="122"/>
        </w:trPr>
        <w:tc>
          <w:tcPr>
            <w:tcW w:w="8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notes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3,652,882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4,354,714</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2,879,402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2,774,521</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414,133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379,644</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2,181,153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2,452,100</w:t>
            </w:r>
          </w:p>
        </w:tc>
        <w:tc>
          <w:tcPr>
            <w:tcW w:w="120" w:type="dxa"/>
            <w:vAlign w:val="bottom"/>
          </w:tcPr>
          <w:p>
            <w:pPr>
              <w:spacing w:after="0"/>
              <w:rPr>
                <w:sz w:val="17"/>
                <w:szCs w:val="17"/>
                <w:color w:val="auto"/>
              </w:rPr>
            </w:pPr>
          </w:p>
        </w:tc>
      </w:tr>
      <w:tr>
        <w:trPr>
          <w:trHeight w:val="196"/>
        </w:trPr>
        <w:tc>
          <w:tcPr>
            <w:tcW w:w="8020" w:type="dxa"/>
            <w:vAlign w:val="bottom"/>
            <w:tcBorders>
              <w:bottom w:val="single" w:sz="8" w:color="CFF0FC"/>
            </w:tcBorders>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10,804,224</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11,256,860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(Notes 14 and 15)</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Equity:</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color w:val="auto"/>
              </w:rPr>
              <w:t>Viasat, Inc. stockholders’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8020" w:type="dxa"/>
            <w:vAlign w:val="bottom"/>
            <w:shd w:val="clear" w:color="auto" w:fill="CFF0FC"/>
          </w:tcPr>
          <w:p>
            <w:pPr>
              <w:ind w:left="220"/>
              <w:spacing w:after="0" w:line="183" w:lineRule="exact"/>
              <w:rPr>
                <w:sz w:val="20"/>
                <w:szCs w:val="20"/>
                <w:color w:val="auto"/>
              </w:rPr>
            </w:pPr>
            <w:r>
              <w:rPr>
                <w:rFonts w:ascii="Arial" w:cs="Arial" w:eastAsia="Arial" w:hAnsi="Arial"/>
                <w:sz w:val="18"/>
                <w:szCs w:val="18"/>
                <w:color w:val="auto"/>
              </w:rPr>
              <w:t>Preferred stock, $0.0001 par value; 5,000,000 shares authorized;</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21"/>
        </w:trPr>
        <w:tc>
          <w:tcPr>
            <w:tcW w:w="80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 shares issued and outstanding at both March 31, 2025 and 2024</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184"/>
        </w:trPr>
        <w:tc>
          <w:tcPr>
            <w:tcW w:w="8020" w:type="dxa"/>
            <w:vAlign w:val="bottom"/>
          </w:tcPr>
          <w:p>
            <w:pPr>
              <w:ind w:left="220"/>
              <w:spacing w:after="0" w:line="183" w:lineRule="exact"/>
              <w:rPr>
                <w:sz w:val="20"/>
                <w:szCs w:val="20"/>
                <w:color w:val="auto"/>
              </w:rPr>
            </w:pPr>
            <w:r>
              <w:rPr>
                <w:rFonts w:ascii="Arial" w:cs="Arial" w:eastAsia="Arial" w:hAnsi="Arial"/>
                <w:sz w:val="18"/>
                <w:szCs w:val="18"/>
                <w:color w:val="auto"/>
              </w:rPr>
              <w:t>Common stock, $0.0001 par value, 200,000,000 shares authorized;</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1"/>
        </w:trPr>
        <w:tc>
          <w:tcPr>
            <w:tcW w:w="8020" w:type="dxa"/>
            <w:vAlign w:val="bottom"/>
          </w:tcPr>
          <w:p>
            <w:pPr>
              <w:ind w:left="360"/>
              <w:spacing w:after="0"/>
              <w:rPr>
                <w:sz w:val="20"/>
                <w:szCs w:val="20"/>
                <w:color w:val="auto"/>
              </w:rPr>
            </w:pPr>
            <w:r>
              <w:rPr>
                <w:rFonts w:ascii="Arial" w:cs="Arial" w:eastAsia="Arial" w:hAnsi="Arial"/>
                <w:sz w:val="18"/>
                <w:szCs w:val="18"/>
                <w:color w:val="auto"/>
              </w:rPr>
              <w:t>130,210,407 and 125,849,088 shares outstanding at March 31, 2025 and 2024, respectively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r>
      <w:tr>
        <w:trPr>
          <w:trHeight w:val="203"/>
        </w:trPr>
        <w:tc>
          <w:tcPr>
            <w:tcW w:w="80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Paid-in capital</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4,926,259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4,797,253</w:t>
            </w:r>
          </w:p>
        </w:tc>
        <w:tc>
          <w:tcPr>
            <w:tcW w:w="120" w:type="dxa"/>
            <w:vAlign w:val="bottom"/>
            <w:shd w:val="clear" w:color="auto" w:fill="CFF0FC"/>
          </w:tcPr>
          <w:p>
            <w:pPr>
              <w:spacing w:after="0"/>
              <w:rPr>
                <w:sz w:val="17"/>
                <w:szCs w:val="17"/>
                <w:color w:val="auto"/>
              </w:rPr>
            </w:pPr>
          </w:p>
        </w:tc>
      </w:tr>
      <w:tr>
        <w:trPr>
          <w:trHeight w:val="203"/>
        </w:trPr>
        <w:tc>
          <w:tcPr>
            <w:tcW w:w="8020" w:type="dxa"/>
            <w:vAlign w:val="bottom"/>
          </w:tcPr>
          <w:p>
            <w:pPr>
              <w:ind w:left="220"/>
              <w:spacing w:after="0" w:line="202" w:lineRule="exact"/>
              <w:rPr>
                <w:sz w:val="20"/>
                <w:szCs w:val="20"/>
                <w:color w:val="auto"/>
              </w:rPr>
            </w:pPr>
            <w:r>
              <w:rPr>
                <w:rFonts w:ascii="Arial" w:cs="Arial" w:eastAsia="Arial" w:hAnsi="Arial"/>
                <w:sz w:val="18"/>
                <w:szCs w:val="18"/>
                <w:color w:val="auto"/>
              </w:rPr>
              <w:t>Retained earnings (accumulated deficit)</w:t>
            </w:r>
          </w:p>
        </w:tc>
        <w:tc>
          <w:tcPr>
            <w:tcW w:w="160" w:type="dxa"/>
            <w:vAlign w:val="bottom"/>
          </w:tcPr>
          <w:p>
            <w:pPr>
              <w:spacing w:after="0"/>
              <w:rPr>
                <w:sz w:val="17"/>
                <w:szCs w:val="17"/>
                <w:color w:val="auto"/>
              </w:rPr>
            </w:pPr>
          </w:p>
        </w:tc>
        <w:tc>
          <w:tcPr>
            <w:tcW w:w="14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rPr>
              <w:t>(325,530)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249,432</w:t>
            </w:r>
          </w:p>
        </w:tc>
        <w:tc>
          <w:tcPr>
            <w:tcW w:w="120" w:type="dxa"/>
            <w:vAlign w:val="bottom"/>
          </w:tcPr>
          <w:p>
            <w:pPr>
              <w:spacing w:after="0"/>
              <w:rPr>
                <w:sz w:val="17"/>
                <w:szCs w:val="17"/>
                <w:color w:val="auto"/>
              </w:rPr>
            </w:pPr>
          </w:p>
        </w:tc>
      </w:tr>
      <w:tr>
        <w:trPr>
          <w:trHeight w:val="203"/>
        </w:trPr>
        <w:tc>
          <w:tcPr>
            <w:tcW w:w="8020" w:type="dxa"/>
            <w:vAlign w:val="bottom"/>
            <w:shd w:val="clear" w:color="auto" w:fill="CFF0FC"/>
          </w:tcPr>
          <w:p>
            <w:pPr>
              <w:ind w:left="2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8"/>
              <w:spacing w:after="0" w:line="202" w:lineRule="exact"/>
              <w:rPr>
                <w:sz w:val="20"/>
                <w:szCs w:val="20"/>
                <w:color w:val="auto"/>
              </w:rPr>
            </w:pPr>
            <w:r>
              <w:rPr>
                <w:rFonts w:ascii="Arial" w:cs="Arial" w:eastAsia="Arial" w:hAnsi="Arial"/>
                <w:sz w:val="18"/>
                <w:szCs w:val="18"/>
                <w:color w:val="auto"/>
              </w:rPr>
              <w:t>(46,911)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(21,268)</w:t>
            </w:r>
          </w:p>
        </w:tc>
      </w:tr>
      <w:tr>
        <w:trPr>
          <w:trHeight w:val="196"/>
        </w:trPr>
        <w:tc>
          <w:tcPr>
            <w:tcW w:w="8020" w:type="dxa"/>
            <w:vAlign w:val="bottom"/>
            <w:tcBorders>
              <w:top w:val="single" w:sz="8" w:color="CFF0FC"/>
            </w:tcBorders>
          </w:tcPr>
          <w:p>
            <w:pPr>
              <w:ind w:left="220"/>
              <w:spacing w:after="0" w:line="196" w:lineRule="exact"/>
              <w:rPr>
                <w:sz w:val="20"/>
                <w:szCs w:val="20"/>
                <w:color w:val="auto"/>
              </w:rPr>
            </w:pPr>
            <w:r>
              <w:rPr>
                <w:rFonts w:ascii="Arial" w:cs="Arial" w:eastAsia="Arial" w:hAnsi="Arial"/>
                <w:sz w:val="18"/>
                <w:szCs w:val="18"/>
                <w:color w:val="auto"/>
              </w:rPr>
              <w:t>Total Viasat, Inc. stockholders’ equity</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4,553,831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5,025,430</w:t>
            </w:r>
          </w:p>
        </w:tc>
        <w:tc>
          <w:tcPr>
            <w:tcW w:w="120" w:type="dxa"/>
            <w:vAlign w:val="bottom"/>
            <w:tcBorders>
              <w:top w:val="single" w:sz="8" w:color="CFF0FC"/>
            </w:tcBorders>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 in subsidiary</w:t>
            </w: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90,729</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47,074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220"/>
              <w:spacing w:after="0" w:line="196" w:lineRule="exact"/>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4,644,560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5,072,504</w:t>
            </w:r>
          </w:p>
        </w:tc>
        <w:tc>
          <w:tcPr>
            <w:tcW w:w="120" w:type="dxa"/>
            <w:vAlign w:val="bottom"/>
          </w:tcPr>
          <w:p>
            <w:pPr>
              <w:spacing w:after="0"/>
              <w:rPr>
                <w:sz w:val="17"/>
                <w:szCs w:val="17"/>
                <w:color w:val="auto"/>
              </w:rPr>
            </w:pPr>
          </w:p>
        </w:tc>
      </w:tr>
      <w:tr>
        <w:trPr>
          <w:trHeight w:val="216"/>
        </w:trPr>
        <w:tc>
          <w:tcPr>
            <w:tcW w:w="802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Total liabilities and equity</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15,448,784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16,329,364</w:t>
            </w:r>
          </w:p>
        </w:tc>
        <w:tc>
          <w:tcPr>
            <w:tcW w:w="120" w:type="dxa"/>
            <w:vAlign w:val="bottom"/>
            <w:shd w:val="clear" w:color="auto" w:fill="CFF0FC"/>
          </w:tcPr>
          <w:p>
            <w:pPr>
              <w:spacing w:after="0"/>
              <w:rPr>
                <w:sz w:val="18"/>
                <w:szCs w:val="18"/>
                <w:color w:val="auto"/>
              </w:rPr>
            </w:pPr>
          </w:p>
        </w:tc>
      </w:tr>
      <w:tr>
        <w:trPr>
          <w:trHeight w:val="20"/>
        </w:trPr>
        <w:tc>
          <w:tcPr>
            <w:tcW w:w="80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-3608070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-3608070</wp:posOffset>
            </wp:positionV>
            <wp:extent cx="77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-1859915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-1859915</wp:posOffset>
            </wp:positionV>
            <wp:extent cx="774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-565150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-565150</wp:posOffset>
            </wp:positionV>
            <wp:extent cx="774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-299720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388"/>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right"/>
              <w:ind w:right="440"/>
              <w:spacing w:after="0" w:line="147"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ind w:right="255"/>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(In</w:t>
            </w:r>
          </w:p>
        </w:tc>
        <w:tc>
          <w:tcPr>
            <w:tcW w:w="3260" w:type="dxa"/>
            <w:vAlign w:val="bottom"/>
            <w:gridSpan w:val="9"/>
          </w:tcPr>
          <w:p>
            <w:pPr>
              <w:jc w:val="right"/>
              <w:ind w:right="1080"/>
              <w:spacing w:after="0" w:line="155" w:lineRule="exact"/>
              <w:rPr>
                <w:sz w:val="20"/>
                <w:szCs w:val="20"/>
                <w:color w:val="auto"/>
              </w:rPr>
            </w:pPr>
            <w:r>
              <w:rPr>
                <w:rFonts w:ascii="Arial" w:cs="Arial" w:eastAsia="Arial" w:hAnsi="Arial"/>
                <w:sz w:val="14"/>
                <w:szCs w:val="14"/>
                <w:b w:val="1"/>
                <w:bCs w:val="1"/>
                <w:color w:val="auto"/>
                <w:w w:val="95"/>
              </w:rPr>
              <w:t>thousands, except per share data)</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Revenues: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Service revenues</w:t>
            </w: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3,225,776</w:t>
            </w:r>
          </w:p>
        </w:tc>
        <w:tc>
          <w:tcPr>
            <w:tcW w:w="120" w:type="dxa"/>
            <w:vAlign w:val="bottom"/>
          </w:tcPr>
          <w:p>
            <w:pPr>
              <w:spacing w:after="0"/>
              <w:rPr>
                <w:sz w:val="16"/>
                <w:szCs w:val="16"/>
                <w:color w:val="auto"/>
              </w:rPr>
            </w:pP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3,004,594</w:t>
            </w:r>
          </w:p>
        </w:tc>
        <w:tc>
          <w:tcPr>
            <w:tcW w:w="120" w:type="dxa"/>
            <w:vAlign w:val="bottom"/>
          </w:tcPr>
          <w:p>
            <w:pPr>
              <w:spacing w:after="0"/>
              <w:rPr>
                <w:sz w:val="16"/>
                <w:szCs w:val="16"/>
                <w:color w:val="auto"/>
              </w:rPr>
            </w:pPr>
          </w:p>
        </w:tc>
        <w:tc>
          <w:tcPr>
            <w:tcW w:w="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1,602,032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Borders>
              <w:bottom w:val="single" w:sz="8" w:color="CFF0FC"/>
            </w:tcBorders>
            <w:shd w:val="clear" w:color="auto" w:fill="CFF0FC"/>
          </w:tcPr>
          <w:p>
            <w:pPr>
              <w:ind w:left="180"/>
              <w:spacing w:after="0" w:line="189" w:lineRule="exact"/>
              <w:rPr>
                <w:sz w:val="20"/>
                <w:szCs w:val="20"/>
                <w:color w:val="auto"/>
              </w:rPr>
            </w:pPr>
            <w:r>
              <w:rPr>
                <w:rFonts w:ascii="Arial" w:cs="Arial" w:eastAsia="Arial" w:hAnsi="Arial"/>
                <w:sz w:val="17"/>
                <w:szCs w:val="17"/>
                <w:color w:val="auto"/>
              </w:rPr>
              <w:t>Product revenues</w:t>
            </w:r>
          </w:p>
        </w:tc>
        <w:tc>
          <w:tcPr>
            <w:tcW w:w="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1,293,795</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1,279,164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7"/>
                <w:szCs w:val="17"/>
                <w:color w:val="auto"/>
              </w:rPr>
              <w:t>954,126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color w:val="auto"/>
              </w:rPr>
              <w:t>Total revenues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7"/>
                <w:szCs w:val="17"/>
                <w:color w:val="auto"/>
              </w:rPr>
              <w:t>4,519,571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4,283,758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2,556,158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Cost of service revenues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2,091,721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1,928,721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1,098,308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Cost of product revenues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937,912</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973,375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736,446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340" w:type="dxa"/>
            <w:vAlign w:val="bottom"/>
          </w:tcPr>
          <w:p>
            <w:pPr>
              <w:ind w:left="180"/>
              <w:spacing w:after="0" w:line="167" w:lineRule="exact"/>
              <w:rPr>
                <w:sz w:val="20"/>
                <w:szCs w:val="20"/>
                <w:color w:val="auto"/>
              </w:rPr>
            </w:pPr>
            <w:r>
              <w:rPr>
                <w:rFonts w:ascii="Arial" w:cs="Arial" w:eastAsia="Arial" w:hAnsi="Arial"/>
                <w:sz w:val="17"/>
                <w:szCs w:val="17"/>
                <w:color w:val="auto"/>
              </w:rPr>
              <w:t>Selling, general and administrative (including ground network (FY25), satellite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6340" w:type="dxa"/>
            <w:vAlign w:val="bottom"/>
          </w:tcPr>
          <w:p>
            <w:pPr>
              <w:ind w:left="180"/>
              <w:spacing w:after="0"/>
              <w:rPr>
                <w:sz w:val="20"/>
                <w:szCs w:val="20"/>
                <w:color w:val="auto"/>
              </w:rPr>
            </w:pPr>
            <w:r>
              <w:rPr>
                <w:rFonts w:ascii="Arial" w:cs="Arial" w:eastAsia="Arial" w:hAnsi="Arial"/>
                <w:sz w:val="17"/>
                <w:szCs w:val="17"/>
                <w:color w:val="auto"/>
              </w:rPr>
              <w:t>(FY24) impairment and related charges, net — see Note 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1,181,091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1,893,650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718,626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Independent research and development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142,394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150,653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128,923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Amortization of acquired intangible assets</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263,933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227,165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29,811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Income (loss) from operations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(97,480)</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(889,806)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(155,956)</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Other income (expense):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Interest income</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83,920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96,258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19,512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(421,944)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(400,398)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(26,809)</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(Loss) gain on extinguishment of debt, net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(99,814)</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(9,976)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Income (loss) from continuing operations before income taxes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(545,294)</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(1,193,946)</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(162,155)</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(Provision for) benefit from income taxes from continuing operations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941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139,474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(49,418)</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Equity in income (loss) of unconsolidated affiliate, net</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13,228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6,975</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color w:val="auto"/>
              </w:rPr>
              <w:t>Net income (loss) from continuing operations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(531,125)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(1,047,497)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(211,639)</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Net income (loss) from discontinued operations, net of tax</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(10,422)</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1,302,387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color w:val="auto"/>
              </w:rPr>
              <w:t>Net income (loss)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(531,125)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(1,057,919)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1,090,748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shd w:val="clear" w:color="auto" w:fill="CFF0FC"/>
          </w:tcPr>
          <w:p>
            <w:pPr>
              <w:spacing w:after="0" w:line="167" w:lineRule="exact"/>
              <w:rPr>
                <w:sz w:val="20"/>
                <w:szCs w:val="20"/>
                <w:color w:val="auto"/>
              </w:rPr>
            </w:pPr>
            <w:r>
              <w:rPr>
                <w:rFonts w:ascii="Arial" w:cs="Arial" w:eastAsia="Arial" w:hAnsi="Arial"/>
                <w:sz w:val="17"/>
                <w:szCs w:val="17"/>
                <w:color w:val="auto"/>
              </w:rPr>
              <w:t>Less: net income (loss) attributable to noncontrolling</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43,837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10,985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5,942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3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7"/>
                <w:szCs w:val="17"/>
                <w:color w:val="auto"/>
              </w:rPr>
              <w:t>interest, net of tax</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color w:val="auto"/>
              </w:rPr>
              <w:t>Net income (loss) attributable to Viasat, Inc.</w:t>
            </w:r>
          </w:p>
        </w:tc>
        <w:tc>
          <w:tcPr>
            <w:tcW w:w="5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(574,962)</w:t>
            </w:r>
          </w:p>
        </w:tc>
        <w:tc>
          <w:tcPr>
            <w:tcW w:w="3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(1,068,904)</w:t>
            </w:r>
          </w:p>
        </w:tc>
        <w:tc>
          <w:tcPr>
            <w:tcW w:w="3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1,084,806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40" w:type="dxa"/>
            <w:vAlign w:val="bottom"/>
            <w:shd w:val="clear" w:color="auto" w:fill="CFF0FC"/>
          </w:tcPr>
          <w:p>
            <w:pPr>
              <w:spacing w:after="0" w:line="147" w:lineRule="exact"/>
              <w:rPr>
                <w:sz w:val="20"/>
                <w:szCs w:val="20"/>
                <w:color w:val="auto"/>
              </w:rPr>
            </w:pPr>
            <w:r>
              <w:rPr>
                <w:rFonts w:ascii="Arial" w:cs="Arial" w:eastAsia="Arial" w:hAnsi="Arial"/>
                <w:sz w:val="17"/>
                <w:szCs w:val="17"/>
                <w:color w:val="auto"/>
              </w:rPr>
              <w:t>Income (loss) per share attributable to Viasat, Inc.</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FF0FC"/>
          </w:tcPr>
          <w:p>
            <w:pPr>
              <w:ind w:left="160"/>
              <w:spacing w:after="0"/>
              <w:rPr>
                <w:sz w:val="20"/>
                <w:szCs w:val="20"/>
                <w:color w:val="auto"/>
              </w:rPr>
            </w:pPr>
            <w:r>
              <w:rPr>
                <w:rFonts w:ascii="Arial" w:cs="Arial" w:eastAsia="Arial" w:hAnsi="Arial"/>
                <w:sz w:val="17"/>
                <w:szCs w:val="17"/>
                <w:color w:val="auto"/>
              </w:rPr>
              <w:t>common stockholders - basic:</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Continuing operations</w:t>
            </w: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(4.48)</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(9.03)</w:t>
            </w:r>
          </w:p>
        </w:tc>
        <w:tc>
          <w:tcPr>
            <w:tcW w:w="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Discontinued operations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(0.09)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tcPr>
          <w:p>
            <w:pPr>
              <w:ind w:left="180"/>
              <w:spacing w:after="0" w:line="183" w:lineRule="exact"/>
              <w:rPr>
                <w:sz w:val="20"/>
                <w:szCs w:val="20"/>
                <w:color w:val="auto"/>
              </w:rPr>
            </w:pPr>
            <w:r>
              <w:rPr>
                <w:rFonts w:ascii="Arial" w:cs="Arial" w:eastAsia="Arial" w:hAnsi="Arial"/>
                <w:sz w:val="17"/>
                <w:szCs w:val="17"/>
                <w:color w:val="auto"/>
              </w:rPr>
              <w:t>Income (loss)</w:t>
            </w:r>
          </w:p>
        </w:tc>
        <w:tc>
          <w:tcPr>
            <w:tcW w:w="5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(4.48)</w:t>
            </w:r>
          </w:p>
        </w:tc>
        <w:tc>
          <w:tcPr>
            <w:tcW w:w="3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(9.12)</w:t>
            </w:r>
          </w:p>
        </w:tc>
        <w:tc>
          <w:tcPr>
            <w:tcW w:w="3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14.29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40" w:type="dxa"/>
            <w:vAlign w:val="bottom"/>
            <w:shd w:val="clear" w:color="auto" w:fill="CFF0FC"/>
          </w:tcPr>
          <w:p>
            <w:pPr>
              <w:spacing w:after="0" w:line="147" w:lineRule="exact"/>
              <w:rPr>
                <w:sz w:val="20"/>
                <w:szCs w:val="20"/>
                <w:color w:val="auto"/>
              </w:rPr>
            </w:pPr>
            <w:r>
              <w:rPr>
                <w:rFonts w:ascii="Arial" w:cs="Arial" w:eastAsia="Arial" w:hAnsi="Arial"/>
                <w:sz w:val="17"/>
                <w:szCs w:val="17"/>
                <w:color w:val="auto"/>
              </w:rPr>
              <w:t>Income (loss) per share attributable to Viasat, Inc.</w:t>
            </w: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340" w:type="dxa"/>
            <w:vAlign w:val="bottom"/>
            <w:shd w:val="clear" w:color="auto" w:fill="CFF0FC"/>
          </w:tcPr>
          <w:p>
            <w:pPr>
              <w:ind w:left="160"/>
              <w:spacing w:after="0"/>
              <w:rPr>
                <w:sz w:val="20"/>
                <w:szCs w:val="20"/>
                <w:color w:val="auto"/>
              </w:rPr>
            </w:pPr>
            <w:r>
              <w:rPr>
                <w:rFonts w:ascii="Arial" w:cs="Arial" w:eastAsia="Arial" w:hAnsi="Arial"/>
                <w:sz w:val="17"/>
                <w:szCs w:val="17"/>
                <w:color w:val="auto"/>
              </w:rPr>
              <w:t>common stockholders - diluted:</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Continuing operations</w:t>
            </w: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(4.48)</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(9.03)</w:t>
            </w:r>
          </w:p>
        </w:tc>
        <w:tc>
          <w:tcPr>
            <w:tcW w:w="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Discontinued operations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7"/>
                <w:szCs w:val="17"/>
                <w:color w:val="auto"/>
              </w:rPr>
              <w:t>(0.09)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17.16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tcPr>
          <w:p>
            <w:pPr>
              <w:ind w:left="180"/>
              <w:spacing w:after="0" w:line="183" w:lineRule="exact"/>
              <w:rPr>
                <w:sz w:val="20"/>
                <w:szCs w:val="20"/>
                <w:color w:val="auto"/>
              </w:rPr>
            </w:pPr>
            <w:r>
              <w:rPr>
                <w:rFonts w:ascii="Arial" w:cs="Arial" w:eastAsia="Arial" w:hAnsi="Arial"/>
                <w:sz w:val="17"/>
                <w:szCs w:val="17"/>
                <w:color w:val="auto"/>
              </w:rPr>
              <w:t>Income (loss)</w:t>
            </w:r>
          </w:p>
        </w:tc>
        <w:tc>
          <w:tcPr>
            <w:tcW w:w="50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(4.48)</w:t>
            </w:r>
          </w:p>
        </w:tc>
        <w:tc>
          <w:tcPr>
            <w:tcW w:w="36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(9.12)</w:t>
            </w:r>
          </w:p>
        </w:tc>
        <w:tc>
          <w:tcPr>
            <w:tcW w:w="340" w:type="dxa"/>
            <w:vAlign w:val="bottom"/>
            <w:gridSpan w:val="2"/>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14.29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40" w:type="dxa"/>
            <w:vAlign w:val="bottom"/>
            <w:shd w:val="clear" w:color="auto" w:fill="CFF0FC"/>
          </w:tcPr>
          <w:p>
            <w:pPr>
              <w:ind w:left="180"/>
              <w:spacing w:after="0" w:line="170" w:lineRule="exact"/>
              <w:rPr>
                <w:sz w:val="20"/>
                <w:szCs w:val="20"/>
                <w:color w:val="auto"/>
              </w:rPr>
            </w:pPr>
            <w:r>
              <w:rPr>
                <w:rFonts w:ascii="Arial" w:cs="Arial" w:eastAsia="Arial" w:hAnsi="Arial"/>
                <w:sz w:val="17"/>
                <w:szCs w:val="17"/>
                <w:color w:val="auto"/>
              </w:rPr>
              <w:t>Shares used in computing basic net income (loss) per share</w:t>
            </w: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128,476</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117,189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line="170" w:lineRule="exact"/>
              <w:rPr>
                <w:sz w:val="20"/>
                <w:szCs w:val="20"/>
                <w:color w:val="auto"/>
              </w:rPr>
            </w:pPr>
            <w:r>
              <w:rPr>
                <w:rFonts w:ascii="Arial" w:cs="Arial" w:eastAsia="Arial" w:hAnsi="Arial"/>
                <w:sz w:val="17"/>
                <w:szCs w:val="17"/>
                <w:color w:val="auto"/>
              </w:rPr>
              <w:t>75,915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Shares used in computing diluted net income (loss) per share</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128,476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117,189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75,915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Comprehensive income (loss):</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Net income (loss)</w:t>
            </w:r>
          </w:p>
        </w:tc>
        <w:tc>
          <w:tcPr>
            <w:tcW w:w="50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(531,125)</w:t>
            </w:r>
          </w:p>
        </w:tc>
        <w:tc>
          <w:tcPr>
            <w:tcW w:w="36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(1,057,919)</w:t>
            </w:r>
          </w:p>
        </w:tc>
        <w:tc>
          <w:tcPr>
            <w:tcW w:w="3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1,090,748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Other comprehensive income (loss), net of tax:</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180"/>
              <w:spacing w:after="0" w:line="189" w:lineRule="exact"/>
              <w:rPr>
                <w:sz w:val="20"/>
                <w:szCs w:val="20"/>
                <w:color w:val="auto"/>
              </w:rPr>
            </w:pPr>
            <w:r>
              <w:rPr>
                <w:rFonts w:ascii="Arial" w:cs="Arial" w:eastAsia="Arial" w:hAnsi="Arial"/>
                <w:sz w:val="17"/>
                <w:szCs w:val="17"/>
                <w:color w:val="auto"/>
              </w:rPr>
              <w:t>Foreign currency translation adjustments, net of tax</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(9,275)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2,982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(13,092)</w:t>
            </w:r>
          </w:p>
        </w:tc>
        <w:tc>
          <w:tcPr>
            <w:tcW w:w="0" w:type="dxa"/>
            <w:vAlign w:val="bottom"/>
          </w:tcPr>
          <w:p>
            <w:pPr>
              <w:spacing w:after="0"/>
              <w:rPr>
                <w:sz w:val="1"/>
                <w:szCs w:val="1"/>
                <w:color w:val="auto"/>
              </w:rPr>
            </w:pPr>
          </w:p>
        </w:tc>
      </w:tr>
      <w:tr>
        <w:trPr>
          <w:trHeight w:val="189"/>
        </w:trPr>
        <w:tc>
          <w:tcPr>
            <w:tcW w:w="6340" w:type="dxa"/>
            <w:vAlign w:val="bottom"/>
            <w:shd w:val="clear" w:color="auto" w:fill="CFF0FC"/>
          </w:tcPr>
          <w:p>
            <w:pPr>
              <w:ind w:left="180"/>
              <w:spacing w:after="0" w:line="189" w:lineRule="exact"/>
              <w:rPr>
                <w:sz w:val="20"/>
                <w:szCs w:val="20"/>
                <w:color w:val="auto"/>
              </w:rPr>
            </w:pPr>
            <w:r>
              <w:rPr>
                <w:rFonts w:ascii="Arial" w:cs="Arial" w:eastAsia="Arial" w:hAnsi="Arial"/>
                <w:sz w:val="17"/>
                <w:szCs w:val="17"/>
                <w:color w:val="auto"/>
              </w:rPr>
              <w:t>Unrealized gain (loss) on hedging, net of tax</w:t>
            </w:r>
          </w:p>
        </w:tc>
        <w:tc>
          <w:tcPr>
            <w:tcW w:w="3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7"/>
                <w:szCs w:val="17"/>
                <w:color w:val="auto"/>
              </w:rPr>
              <w:t>(16,368)</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spacing w:after="0" w:line="189" w:lineRule="exact"/>
              <w:rPr>
                <w:sz w:val="20"/>
                <w:szCs w:val="20"/>
                <w:color w:val="auto"/>
              </w:rPr>
            </w:pPr>
            <w:r>
              <w:rPr>
                <w:rFonts w:ascii="Arial" w:cs="Arial" w:eastAsia="Arial" w:hAnsi="Arial"/>
                <w:sz w:val="17"/>
                <w:szCs w:val="17"/>
                <w:color w:val="auto"/>
              </w:rPr>
              <w:t>10,463</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7"/>
                <w:szCs w:val="17"/>
                <w:color w:val="auto"/>
              </w:rPr>
              <w:t>Other comprehensive income (loss), net of tax</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(25,643)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Arial" w:cs="Arial" w:eastAsia="Arial" w:hAnsi="Arial"/>
                <w:sz w:val="17"/>
                <w:szCs w:val="17"/>
                <w:color w:val="auto"/>
              </w:rPr>
              <w:t>13,445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(13,092)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40" w:type="dxa"/>
            <w:vAlign w:val="bottom"/>
            <w:shd w:val="clear" w:color="auto" w:fill="CFF0FC"/>
          </w:tcPr>
          <w:p>
            <w:pPr>
              <w:spacing w:after="0" w:line="183" w:lineRule="exact"/>
              <w:rPr>
                <w:sz w:val="20"/>
                <w:szCs w:val="20"/>
                <w:color w:val="auto"/>
              </w:rPr>
            </w:pPr>
            <w:r>
              <w:rPr>
                <w:rFonts w:ascii="Arial" w:cs="Arial" w:eastAsia="Arial" w:hAnsi="Arial"/>
                <w:sz w:val="17"/>
                <w:szCs w:val="17"/>
                <w:color w:val="auto"/>
              </w:rPr>
              <w:t>Comprehensive income (loss)</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7"/>
                <w:szCs w:val="17"/>
                <w:color w:val="auto"/>
              </w:rPr>
              <w:t>(556,768)</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7"/>
                <w:szCs w:val="17"/>
                <w:color w:val="auto"/>
              </w:rPr>
              <w:t>(1,044,474)</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1,077,656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Pr>
          <w:p>
            <w:pPr>
              <w:spacing w:after="0" w:line="167" w:lineRule="exact"/>
              <w:rPr>
                <w:sz w:val="20"/>
                <w:szCs w:val="20"/>
                <w:color w:val="auto"/>
              </w:rPr>
            </w:pPr>
            <w:r>
              <w:rPr>
                <w:rFonts w:ascii="Arial" w:cs="Arial" w:eastAsia="Arial" w:hAnsi="Arial"/>
                <w:sz w:val="17"/>
                <w:szCs w:val="17"/>
                <w:color w:val="auto"/>
              </w:rPr>
              <w:t>Less: comprehensive income (loss) attributable to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43,837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10,985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5,942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340" w:type="dxa"/>
            <w:vAlign w:val="bottom"/>
          </w:tcPr>
          <w:p>
            <w:pPr>
              <w:ind w:left="160"/>
              <w:spacing w:after="0"/>
              <w:rPr>
                <w:sz w:val="20"/>
                <w:szCs w:val="20"/>
                <w:color w:val="auto"/>
              </w:rPr>
            </w:pPr>
            <w:r>
              <w:rPr>
                <w:rFonts w:ascii="Arial" w:cs="Arial" w:eastAsia="Arial" w:hAnsi="Arial"/>
                <w:sz w:val="17"/>
                <w:szCs w:val="17"/>
                <w:color w:val="auto"/>
              </w:rPr>
              <w:t>noncontrolling interest, net of tax</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340" w:type="dxa"/>
            <w:vAlign w:val="bottom"/>
            <w:shd w:val="clear" w:color="auto" w:fill="CFF0FC"/>
          </w:tcPr>
          <w:p>
            <w:pPr>
              <w:spacing w:after="0" w:line="160" w:lineRule="exact"/>
              <w:rPr>
                <w:sz w:val="20"/>
                <w:szCs w:val="20"/>
                <w:color w:val="auto"/>
              </w:rPr>
            </w:pPr>
            <w:r>
              <w:rPr>
                <w:rFonts w:ascii="Arial" w:cs="Arial" w:eastAsia="Arial" w:hAnsi="Arial"/>
                <w:sz w:val="17"/>
                <w:szCs w:val="17"/>
                <w:color w:val="auto"/>
              </w:rPr>
              <w:t>Comprehensive income (loss) attributable to</w:t>
            </w:r>
          </w:p>
        </w:tc>
        <w:tc>
          <w:tcPr>
            <w:tcW w:w="5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7"/>
                <w:szCs w:val="17"/>
                <w:color w:val="auto"/>
              </w:rPr>
              <w:t>(600,605)</w:t>
            </w:r>
          </w:p>
        </w:tc>
        <w:tc>
          <w:tcPr>
            <w:tcW w:w="3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7"/>
                <w:szCs w:val="17"/>
                <w:color w:val="auto"/>
              </w:rPr>
              <w:t>(1,055,459)</w:t>
            </w:r>
          </w:p>
        </w:tc>
        <w:tc>
          <w:tcPr>
            <w:tcW w:w="3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1,071,714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340" w:type="dxa"/>
            <w:vAlign w:val="bottom"/>
            <w:shd w:val="clear" w:color="auto" w:fill="CFF0FC"/>
          </w:tcPr>
          <w:p>
            <w:pPr>
              <w:ind w:left="160"/>
              <w:spacing w:after="0" w:line="150" w:lineRule="exact"/>
              <w:rPr>
                <w:sz w:val="20"/>
                <w:szCs w:val="20"/>
                <w:color w:val="auto"/>
              </w:rPr>
            </w:pPr>
            <w:r>
              <w:rPr>
                <w:rFonts w:ascii="Arial" w:cs="Arial" w:eastAsia="Arial" w:hAnsi="Arial"/>
                <w:sz w:val="17"/>
                <w:szCs w:val="17"/>
                <w:color w:val="auto"/>
              </w:rPr>
              <w:t>Viasat, Inc.</w:t>
            </w:r>
          </w:p>
        </w:tc>
        <w:tc>
          <w:tcPr>
            <w:tcW w:w="50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-5674360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-5674360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-5674360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-3608070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-3608070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-3359785</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-3359785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-2999740</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-2999740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-2365375</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-2365375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-2365375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-1731010</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-1731010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-736600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-736600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Fiscal Years Ended</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6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gridSpan w:val="2"/>
          </w:tcPr>
          <w:p>
            <w:pPr>
              <w:jc w:val="right"/>
              <w:ind w:right="620"/>
              <w:spacing w:after="0" w:line="111" w:lineRule="exact"/>
              <w:rPr>
                <w:sz w:val="20"/>
                <w:szCs w:val="20"/>
                <w:color w:val="auto"/>
              </w:rPr>
            </w:pPr>
            <w:r>
              <w:rPr>
                <w:rFonts w:ascii="Arial" w:cs="Arial" w:eastAsia="Arial" w:hAnsi="Arial"/>
                <w:sz w:val="12"/>
                <w:szCs w:val="12"/>
                <w:b w:val="1"/>
                <w:bCs w:val="1"/>
                <w:color w:val="auto"/>
              </w:rPr>
              <w:t>March 31,</w:t>
            </w:r>
          </w:p>
        </w:tc>
        <w:tc>
          <w:tcPr>
            <w:tcW w:w="80" w:type="dxa"/>
            <w:vAlign w:val="bottom"/>
          </w:tcPr>
          <w:p>
            <w:pPr>
              <w:spacing w:after="0"/>
              <w:rPr>
                <w:sz w:val="9"/>
                <w:szCs w:val="9"/>
                <w:color w:val="auto"/>
              </w:rPr>
            </w:pPr>
          </w:p>
        </w:tc>
        <w:tc>
          <w:tcPr>
            <w:tcW w:w="1400" w:type="dxa"/>
            <w:vAlign w:val="bottom"/>
            <w:gridSpan w:val="2"/>
          </w:tcPr>
          <w:p>
            <w:pPr>
              <w:jc w:val="center"/>
              <w:ind w:right="260"/>
              <w:spacing w:after="0" w:line="111"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right"/>
              <w:ind w:right="333"/>
              <w:spacing w:after="0" w:line="111"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Continuing and Discontinued Operations</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(531,125)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(1,057,919)</w:t>
            </w: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1,090,748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4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Adjustments to reconcile net income (loss) to net cash provided</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by operating activities:</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Depreciation</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1,036,467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867,641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409,564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Amortization of intangible assets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324,340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289,883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240"/>
              <w:spacing w:after="0"/>
              <w:rPr>
                <w:sz w:val="20"/>
                <w:szCs w:val="20"/>
                <w:color w:val="auto"/>
              </w:rPr>
            </w:pPr>
            <w:r>
              <w:rPr>
                <w:rFonts w:ascii="Arial" w:cs="Arial" w:eastAsia="Arial" w:hAnsi="Arial"/>
                <w:sz w:val="13"/>
                <w:szCs w:val="13"/>
                <w:color w:val="auto"/>
              </w:rPr>
              <w:t>Stock-based compensation expense</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80,385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83,631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84,459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Ground network (FY25) and satellite (FY24) impairment, and disposition of fixed assets losses, net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152,898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975,383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45,892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Loss (gain) on extinguishment of debt, net</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99,814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Deferred income taxes and other non-cash adjustments</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(106,956)</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(111,077)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380,672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Gain on disposition of business prior to costs to sell</w:t>
            </w:r>
          </w:p>
        </w:tc>
        <w:tc>
          <w:tcPr>
            <w:tcW w:w="2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(1,702,686)</w:t>
            </w:r>
          </w:p>
        </w:tc>
        <w:tc>
          <w:tcPr>
            <w:tcW w:w="0" w:type="dxa"/>
            <w:vAlign w:val="bottom"/>
          </w:tcPr>
          <w:p>
            <w:pPr>
              <w:spacing w:after="0"/>
              <w:rPr>
                <w:sz w:val="1"/>
                <w:szCs w:val="1"/>
                <w:color w:val="auto"/>
              </w:rPr>
            </w:pPr>
          </w:p>
        </w:tc>
      </w:tr>
      <w:tr>
        <w:trPr>
          <w:trHeight w:val="136"/>
        </w:trPr>
        <w:tc>
          <w:tcPr>
            <w:tcW w:w="664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Increase (decrease) in cash resulting from changes in operating assets</w:t>
            </w: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and liabilities, net of effect of acquisition:</w:t>
            </w: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22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(59,726)</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(69,156)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(128,149)</w:t>
            </w: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Inventories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33,223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(13,387)</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(73,135)</w:t>
            </w: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45,669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40,462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(41,499)</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240"/>
              <w:spacing w:after="0"/>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6,984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(141,610)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184,257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 liabilities</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(186,912)</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(139,363)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(51,213)</w:t>
            </w:r>
          </w:p>
        </w:tc>
        <w:tc>
          <w:tcPr>
            <w:tcW w:w="0" w:type="dxa"/>
            <w:vAlign w:val="bottom"/>
          </w:tcPr>
          <w:p>
            <w:pPr>
              <w:spacing w:after="0"/>
              <w:rPr>
                <w:sz w:val="1"/>
                <w:szCs w:val="1"/>
                <w:color w:val="auto"/>
              </w:rPr>
            </w:pPr>
          </w:p>
        </w:tc>
      </w:tr>
      <w:tr>
        <w:trPr>
          <w:trHeight w:val="142"/>
        </w:trPr>
        <w:tc>
          <w:tcPr>
            <w:tcW w:w="6640" w:type="dxa"/>
            <w:vAlign w:val="bottom"/>
            <w:tcBorders>
              <w:top w:val="single" w:sz="8" w:color="CFF0FC"/>
            </w:tcBorders>
          </w:tcPr>
          <w:p>
            <w:pPr>
              <w:ind w:left="36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908,187</w:t>
            </w: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688,196</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367,861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240"/>
              <w:spacing w:after="0"/>
              <w:rPr>
                <w:sz w:val="20"/>
                <w:szCs w:val="20"/>
                <w:color w:val="auto"/>
              </w:rPr>
            </w:pPr>
            <w:r>
              <w:rPr>
                <w:rFonts w:ascii="Arial" w:cs="Arial" w:eastAsia="Arial" w:hAnsi="Arial"/>
                <w:sz w:val="13"/>
                <w:szCs w:val="13"/>
                <w:color w:val="auto"/>
              </w:rPr>
              <w:t>Purchase of property, equipment and satellites, and other assets</w:t>
            </w:r>
          </w:p>
        </w:tc>
        <w:tc>
          <w:tcPr>
            <w:tcW w:w="22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(1,030,182)</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(1,539,385)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(1,164,317)</w:t>
            </w: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insurance claims on satellites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251,500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508,560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Proceeds from sale of businesses</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20,327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1,932,354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 related to acquisition of business, net of cash acquired</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(342,621)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Proceeds from sale of short-term investments</w:t>
            </w:r>
          </w:p>
        </w:tc>
        <w:tc>
          <w:tcPr>
            <w:tcW w:w="220" w:type="dxa"/>
            <w:vAlign w:val="bottom"/>
          </w:tcPr>
          <w:p>
            <w:pPr>
              <w:spacing w:after="0"/>
              <w:rPr>
                <w:sz w:val="12"/>
                <w:szCs w:val="12"/>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164,266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to acquire short-term investments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(82,000)</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tcPr>
          <w:p>
            <w:pPr>
              <w:ind w:left="36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220" w:type="dxa"/>
            <w:vAlign w:val="bottom"/>
          </w:tcPr>
          <w:p>
            <w:pPr>
              <w:spacing w:after="0"/>
              <w:rPr>
                <w:sz w:val="12"/>
                <w:szCs w:val="12"/>
                <w:color w:val="auto"/>
              </w:rPr>
            </w:pPr>
          </w:p>
        </w:tc>
        <w:tc>
          <w:tcPr>
            <w:tcW w:w="136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(758,355)</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(1,291,180)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768,037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240"/>
              <w:spacing w:after="0"/>
              <w:rPr>
                <w:sz w:val="20"/>
                <w:szCs w:val="20"/>
                <w:color w:val="auto"/>
              </w:rPr>
            </w:pPr>
            <w:r>
              <w:rPr>
                <w:rFonts w:ascii="Arial" w:cs="Arial" w:eastAsia="Arial" w:hAnsi="Arial"/>
                <w:sz w:val="13"/>
                <w:szCs w:val="13"/>
                <w:color w:val="auto"/>
              </w:rPr>
              <w:t>Proceeds from debt borrowings</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1,736,539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Payments on debt borrowings</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(2,390,713)</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(567,033)</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(576,474)</w:t>
            </w: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Payments of debt issuance costs</w:t>
            </w:r>
          </w:p>
        </w:tc>
        <w:tc>
          <w:tcPr>
            <w:tcW w:w="22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(36,284)</w:t>
            </w:r>
          </w:p>
        </w:tc>
        <w:tc>
          <w:tcPr>
            <w:tcW w:w="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(53,179)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(1,511)</w:t>
            </w:r>
          </w:p>
        </w:tc>
        <w:tc>
          <w:tcPr>
            <w:tcW w:w="0" w:type="dxa"/>
            <w:vAlign w:val="bottom"/>
          </w:tcPr>
          <w:p>
            <w:pPr>
              <w:spacing w:after="0"/>
              <w:rPr>
                <w:sz w:val="1"/>
                <w:szCs w:val="1"/>
                <w:color w:val="auto"/>
              </w:rPr>
            </w:pPr>
          </w:p>
        </w:tc>
      </w:tr>
      <w:tr>
        <w:trPr>
          <w:trHeight w:val="149"/>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Proceeds from issuance of common stock under equity plans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18,018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19,294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40" w:type="dxa"/>
            <w:vAlign w:val="bottom"/>
          </w:tcPr>
          <w:p>
            <w:pPr>
              <w:ind w:left="240"/>
              <w:spacing w:after="0" w:line="136" w:lineRule="exact"/>
              <w:rPr>
                <w:sz w:val="20"/>
                <w:szCs w:val="20"/>
                <w:color w:val="auto"/>
              </w:rPr>
            </w:pPr>
            <w:r>
              <w:rPr>
                <w:rFonts w:ascii="Arial" w:cs="Arial" w:eastAsia="Arial" w:hAnsi="Arial"/>
                <w:sz w:val="13"/>
                <w:szCs w:val="13"/>
                <w:color w:val="auto"/>
              </w:rPr>
              <w:t>Purchase of common stock in treasury (immediately retired)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tcPr>
          <w:p>
            <w:pPr>
              <w:ind w:left="360"/>
              <w:spacing w:after="0"/>
              <w:rPr>
                <w:sz w:val="20"/>
                <w:szCs w:val="20"/>
                <w:color w:val="auto"/>
              </w:rPr>
            </w:pPr>
            <w:r>
              <w:rPr>
                <w:rFonts w:ascii="Arial" w:cs="Arial" w:eastAsia="Arial" w:hAnsi="Arial"/>
                <w:sz w:val="13"/>
                <w:szCs w:val="13"/>
                <w:color w:val="auto"/>
              </w:rPr>
              <w:t>related to tax withholdings for stock-based compensation</w:t>
            </w:r>
          </w:p>
        </w:tc>
        <w:tc>
          <w:tcPr>
            <w:tcW w:w="220" w:type="dxa"/>
            <w:vAlign w:val="bottom"/>
          </w:tcPr>
          <w:p>
            <w:pPr>
              <w:spacing w:after="0"/>
              <w:rPr>
                <w:sz w:val="14"/>
                <w:szCs w:val="1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(5,510)</w:t>
            </w:r>
          </w:p>
        </w:tc>
        <w:tc>
          <w:tcPr>
            <w:tcW w:w="8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(11,713)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(16,493)</w:t>
            </w:r>
          </w:p>
        </w:tc>
        <w:tc>
          <w:tcPr>
            <w:tcW w:w="0" w:type="dxa"/>
            <w:vAlign w:val="bottom"/>
          </w:tcPr>
          <w:p>
            <w:pPr>
              <w:spacing w:after="0"/>
              <w:rPr>
                <w:sz w:val="1"/>
                <w:szCs w:val="1"/>
                <w:color w:val="auto"/>
              </w:rPr>
            </w:pPr>
          </w:p>
        </w:tc>
      </w:tr>
      <w:tr>
        <w:trPr>
          <w:trHeight w:val="149"/>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Repurchase of shares by majority-owned subsidiary</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(30,000)</w:t>
            </w:r>
          </w:p>
        </w:tc>
        <w:tc>
          <w:tcPr>
            <w:tcW w:w="0" w:type="dxa"/>
            <w:vAlign w:val="bottom"/>
          </w:tcPr>
          <w:p>
            <w:pPr>
              <w:spacing w:after="0"/>
              <w:rPr>
                <w:sz w:val="1"/>
                <w:szCs w:val="1"/>
                <w:color w:val="auto"/>
              </w:rPr>
            </w:pPr>
          </w:p>
        </w:tc>
      </w:tr>
      <w:tr>
        <w:trPr>
          <w:trHeight w:val="148"/>
        </w:trPr>
        <w:tc>
          <w:tcPr>
            <w:tcW w:w="6640" w:type="dxa"/>
            <w:vAlign w:val="bottom"/>
          </w:tcPr>
          <w:p>
            <w:pPr>
              <w:ind w:left="240"/>
              <w:spacing w:after="0"/>
              <w:rPr>
                <w:sz w:val="20"/>
                <w:szCs w:val="20"/>
                <w:color w:val="auto"/>
              </w:rPr>
            </w:pPr>
            <w:r>
              <w:rPr>
                <w:rFonts w:ascii="Arial" w:cs="Arial" w:eastAsia="Arial" w:hAnsi="Arial"/>
                <w:sz w:val="13"/>
                <w:szCs w:val="13"/>
                <w:color w:val="auto"/>
              </w:rPr>
              <w:t>Other financing activities</w:t>
            </w:r>
          </w:p>
        </w:tc>
        <w:tc>
          <w:tcPr>
            <w:tcW w:w="220" w:type="dxa"/>
            <w:vAlign w:val="bottom"/>
          </w:tcPr>
          <w:p>
            <w:pPr>
              <w:spacing w:after="0"/>
              <w:rPr>
                <w:sz w:val="12"/>
                <w:szCs w:val="1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3"/>
                <w:szCs w:val="13"/>
                <w:color w:val="auto"/>
              </w:rPr>
              <w:t>(3,102)</w:t>
            </w: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(3,336)</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shd w:val="clear" w:color="auto" w:fill="CFF0FC"/>
          </w:tcPr>
          <w:p>
            <w:pPr>
              <w:ind w:left="36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(442,591)</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1,124,356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2" w:lineRule="exact"/>
              <w:rPr>
                <w:sz w:val="20"/>
                <w:szCs w:val="20"/>
                <w:color w:val="auto"/>
              </w:rPr>
            </w:pPr>
            <w:r>
              <w:rPr>
                <w:rFonts w:ascii="Arial" w:cs="Arial" w:eastAsia="Arial" w:hAnsi="Arial"/>
                <w:sz w:val="13"/>
                <w:szCs w:val="13"/>
                <w:color w:val="auto"/>
              </w:rPr>
              <w:t>(66,128)</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Effect of exchange rate changes on cash</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(843)</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increase (decrease) in cash and cash equivalents and restricted cash</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00"/>
              <w:spacing w:after="0" w:line="142" w:lineRule="exact"/>
              <w:rPr>
                <w:sz w:val="20"/>
                <w:szCs w:val="20"/>
                <w:color w:val="auto"/>
              </w:rPr>
            </w:pPr>
            <w:r>
              <w:rPr>
                <w:rFonts w:ascii="Arial" w:cs="Arial" w:eastAsia="Arial" w:hAnsi="Arial"/>
                <w:sz w:val="13"/>
                <w:szCs w:val="13"/>
                <w:color w:val="auto"/>
              </w:rPr>
              <w:t>(288,928)</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521,647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1,068,927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20"/>
                <w:szCs w:val="20"/>
                <w:color w:val="auto"/>
              </w:rPr>
            </w:pPr>
            <w:r>
              <w:rPr>
                <w:rFonts w:ascii="Arial" w:cs="Arial" w:eastAsia="Arial" w:hAnsi="Arial"/>
                <w:sz w:val="13"/>
                <w:szCs w:val="13"/>
                <w:color w:val="auto"/>
              </w:rPr>
              <w:t>Cash and cash equivalents and restricted cash at beginning of fiscal year</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1,901,033</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1,379,386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310,459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and cash equivalents and restricted cash at end of fiscal year</w:t>
            </w:r>
          </w:p>
        </w:tc>
        <w:tc>
          <w:tcPr>
            <w:tcW w:w="220" w:type="dxa"/>
            <w:vAlign w:val="bottom"/>
            <w:shd w:val="clear" w:color="auto" w:fill="CFF0FC"/>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1,612,105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1,901,033</w:t>
            </w:r>
          </w:p>
        </w:tc>
        <w:tc>
          <w:tcPr>
            <w:tcW w:w="1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1,379,386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640" w:type="dxa"/>
            <w:vAlign w:val="bottom"/>
            <w:tcBorders>
              <w:top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Supplemental information:</w:t>
            </w: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Cash paid for interest (net of amounts capitalized)</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390,043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228,965</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40" w:type="dxa"/>
            <w:vAlign w:val="bottom"/>
          </w:tcPr>
          <w:p>
            <w:pPr>
              <w:ind w:left="240"/>
              <w:spacing w:after="0"/>
              <w:rPr>
                <w:sz w:val="20"/>
                <w:szCs w:val="20"/>
                <w:color w:val="auto"/>
              </w:rPr>
            </w:pPr>
            <w:r>
              <w:rPr>
                <w:rFonts w:ascii="Arial" w:cs="Arial" w:eastAsia="Arial" w:hAnsi="Arial"/>
                <w:sz w:val="13"/>
                <w:szCs w:val="13"/>
                <w:color w:val="auto"/>
              </w:rPr>
              <w:t>Cash paid for income taxes, net</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196,290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200,561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16,491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6640" w:type="dxa"/>
            <w:vAlign w:val="bottom"/>
          </w:tcPr>
          <w:p>
            <w:pPr>
              <w:ind w:left="240"/>
              <w:spacing w:after="0" w:line="136" w:lineRule="exact"/>
              <w:rPr>
                <w:sz w:val="20"/>
                <w:szCs w:val="20"/>
                <w:color w:val="auto"/>
              </w:rPr>
            </w:pPr>
            <w:r>
              <w:rPr>
                <w:rFonts w:ascii="Arial" w:cs="Arial" w:eastAsia="Arial" w:hAnsi="Arial"/>
                <w:sz w:val="13"/>
                <w:szCs w:val="13"/>
                <w:color w:val="auto"/>
              </w:rPr>
              <w:t>Issuance of common stock in satisfaction of certain accrued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40" w:type="dxa"/>
            <w:vAlign w:val="bottom"/>
          </w:tcPr>
          <w:p>
            <w:pPr>
              <w:ind w:left="360"/>
              <w:spacing w:after="0"/>
              <w:rPr>
                <w:sz w:val="20"/>
                <w:szCs w:val="20"/>
                <w:color w:val="auto"/>
              </w:rPr>
            </w:pPr>
            <w:r>
              <w:rPr>
                <w:rFonts w:ascii="Arial" w:cs="Arial" w:eastAsia="Arial" w:hAnsi="Arial"/>
                <w:sz w:val="13"/>
                <w:szCs w:val="13"/>
                <w:color w:val="auto"/>
              </w:rPr>
              <w:t>employee compensation liabilities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28,063</w:t>
            </w:r>
          </w:p>
        </w:tc>
        <w:tc>
          <w:tcPr>
            <w:tcW w:w="2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31,173</w:t>
            </w:r>
          </w:p>
        </w:tc>
        <w:tc>
          <w:tcPr>
            <w:tcW w:w="1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27,619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shd w:val="clear" w:color="auto" w:fill="CFF0FC"/>
          </w:tcPr>
          <w:p>
            <w:pPr>
              <w:ind w:left="240"/>
              <w:spacing w:after="0"/>
              <w:rPr>
                <w:sz w:val="20"/>
                <w:szCs w:val="20"/>
                <w:color w:val="auto"/>
              </w:rPr>
            </w:pPr>
            <w:r>
              <w:rPr>
                <w:rFonts w:ascii="Arial" w:cs="Arial" w:eastAsia="Arial" w:hAnsi="Arial"/>
                <w:sz w:val="13"/>
                <w:szCs w:val="13"/>
                <w:color w:val="auto"/>
              </w:rPr>
              <w:t>Capital expenditures not paid for during the period</w:t>
            </w:r>
          </w:p>
        </w:tc>
        <w:tc>
          <w:tcPr>
            <w:tcW w:w="22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240"/>
              <w:spacing w:after="0"/>
              <w:rPr>
                <w:sz w:val="20"/>
                <w:szCs w:val="20"/>
                <w:color w:val="auto"/>
              </w:rPr>
            </w:pPr>
            <w:r>
              <w:rPr>
                <w:rFonts w:ascii="Arial" w:cs="Arial" w:eastAsia="Arial" w:hAnsi="Arial"/>
                <w:sz w:val="13"/>
                <w:szCs w:val="13"/>
                <w:color w:val="auto"/>
              </w:rPr>
              <w:t>Issuance of common stock in connection with acquisition</w:t>
            </w:r>
          </w:p>
        </w:tc>
        <w:tc>
          <w:tcPr>
            <w:tcW w:w="220" w:type="dxa"/>
            <w:vAlign w:val="bottom"/>
          </w:tcPr>
          <w:p>
            <w:pPr>
              <w:spacing w:after="0"/>
              <w:rPr>
                <w:sz w:val="15"/>
                <w:szCs w:val="15"/>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2,123,455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-3008630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-3008630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-3008630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-2245995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-2245995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-2245995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-796925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-779780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-796925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-779780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Viasat, Inc. Stockholders</w:t>
            </w: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980" w:type="dxa"/>
            <w:vAlign w:val="bottom"/>
            <w:tcBorders>
              <w:bottom w:val="single" w:sz="8" w:color="auto"/>
            </w:tcBorders>
            <w:gridSpan w:val="4"/>
          </w:tcPr>
          <w:p>
            <w:pPr>
              <w:jc w:val="right"/>
              <w:ind w:right="397"/>
              <w:spacing w:after="0" w:line="129" w:lineRule="exact"/>
              <w:rPr>
                <w:sz w:val="20"/>
                <w:szCs w:val="20"/>
                <w:color w:val="auto"/>
              </w:rPr>
            </w:pPr>
            <w:r>
              <w:rPr>
                <w:rFonts w:ascii="Arial" w:cs="Arial" w:eastAsia="Arial" w:hAnsi="Arial"/>
                <w:sz w:val="13"/>
                <w:szCs w:val="13"/>
                <w:b w:val="1"/>
                <w:bCs w:val="1"/>
                <w:color w:val="auto"/>
              </w:rPr>
              <w:t>Common Stock</w:t>
            </w: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vMerge w:val="restart"/>
          </w:tcPr>
          <w:p>
            <w:pPr>
              <w:jc w:val="center"/>
              <w:ind w:right="320"/>
              <w:spacing w:after="0"/>
              <w:rPr>
                <w:sz w:val="20"/>
                <w:szCs w:val="20"/>
                <w:color w:val="auto"/>
              </w:rPr>
            </w:pPr>
            <w:r>
              <w:rPr>
                <w:rFonts w:ascii="Arial" w:cs="Arial" w:eastAsia="Arial" w:hAnsi="Arial"/>
                <w:sz w:val="13"/>
                <w:szCs w:val="13"/>
                <w:b w:val="1"/>
                <w:bCs w:val="1"/>
                <w:color w:val="auto"/>
                <w:w w:val="94"/>
              </w:rPr>
              <w:t>Retained</w:t>
            </w:r>
          </w:p>
        </w:tc>
        <w:tc>
          <w:tcPr>
            <w:tcW w:w="60" w:type="dxa"/>
            <w:vAlign w:val="bottom"/>
          </w:tcPr>
          <w:p>
            <w:pPr>
              <w:spacing w:after="0"/>
              <w:rPr>
                <w:sz w:val="11"/>
                <w:szCs w:val="11"/>
                <w:color w:val="auto"/>
              </w:rPr>
            </w:pPr>
          </w:p>
        </w:tc>
        <w:tc>
          <w:tcPr>
            <w:tcW w:w="126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240" w:type="dxa"/>
            <w:vAlign w:val="bottom"/>
            <w:gridSpan w:val="4"/>
            <w:vMerge w:val="restart"/>
          </w:tcPr>
          <w:p>
            <w:pPr>
              <w:jc w:val="center"/>
              <w:ind w:right="220"/>
              <w:spacing w:after="0"/>
              <w:rPr>
                <w:sz w:val="20"/>
                <w:szCs w:val="20"/>
                <w:color w:val="auto"/>
              </w:rPr>
            </w:pPr>
            <w:r>
              <w:rPr>
                <w:rFonts w:ascii="Arial" w:cs="Arial" w:eastAsia="Arial" w:hAnsi="Arial"/>
                <w:sz w:val="13"/>
                <w:szCs w:val="13"/>
                <w:b w:val="1"/>
                <w:bCs w:val="1"/>
                <w:color w:val="auto"/>
                <w:w w:val="97"/>
              </w:rPr>
              <w:t>Noncontrolling</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Earnings</w:t>
            </w:r>
          </w:p>
        </w:tc>
        <w:tc>
          <w:tcPr>
            <w:tcW w:w="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2"/>
              </w:rPr>
              <w:t>Other</w:t>
            </w:r>
          </w:p>
        </w:tc>
        <w:tc>
          <w:tcPr>
            <w:tcW w:w="124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1"/>
                <w:szCs w:val="11"/>
                <w:color w:val="auto"/>
              </w:rPr>
            </w:pPr>
          </w:p>
        </w:tc>
        <w:tc>
          <w:tcPr>
            <w:tcW w:w="12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200" w:type="dxa"/>
            <w:vAlign w:val="bottom"/>
          </w:tcPr>
          <w:p>
            <w:pPr>
              <w:spacing w:after="0"/>
              <w:rPr>
                <w:sz w:val="11"/>
                <w:szCs w:val="11"/>
                <w:color w:val="auto"/>
              </w:rPr>
            </w:pPr>
          </w:p>
        </w:tc>
        <w:tc>
          <w:tcPr>
            <w:tcW w:w="78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Capital</w:t>
            </w:r>
          </w:p>
        </w:tc>
        <w:tc>
          <w:tcPr>
            <w:tcW w:w="2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9"/>
              </w:rPr>
              <w:t>Deficit)</w:t>
            </w:r>
          </w:p>
        </w:tc>
        <w:tc>
          <w:tcPr>
            <w:tcW w:w="220" w:type="dxa"/>
            <w:vAlign w:val="bottom"/>
            <w:gridSpan w:val="2"/>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Income (Loss)</w:t>
            </w:r>
          </w:p>
        </w:tc>
        <w:tc>
          <w:tcPr>
            <w:tcW w:w="22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Subsidiary</w:t>
            </w:r>
          </w:p>
        </w:tc>
        <w:tc>
          <w:tcPr>
            <w:tcW w:w="220" w:type="dxa"/>
            <w:vAlign w:val="bottom"/>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(In</w:t>
            </w:r>
          </w:p>
        </w:tc>
        <w:tc>
          <w:tcPr>
            <w:tcW w:w="2780" w:type="dxa"/>
            <w:vAlign w:val="bottom"/>
            <w:gridSpan w:val="10"/>
          </w:tcPr>
          <w:p>
            <w:pPr>
              <w:spacing w:after="0" w:line="129" w:lineRule="exact"/>
              <w:rPr>
                <w:sz w:val="20"/>
                <w:szCs w:val="20"/>
                <w:color w:val="auto"/>
              </w:rPr>
            </w:pPr>
            <w:r>
              <w:rPr>
                <w:rFonts w:ascii="Arial" w:cs="Arial" w:eastAsia="Arial" w:hAnsi="Arial"/>
                <w:sz w:val="13"/>
                <w:szCs w:val="13"/>
                <w:b w:val="1"/>
                <w:bCs w:val="1"/>
                <w:color w:val="auto"/>
              </w:rPr>
              <w:t>thousands, except share data)</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Balance at March 31, 2022</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74,428,816</w:t>
            </w:r>
          </w:p>
        </w:tc>
        <w:tc>
          <w:tcPr>
            <w:tcW w:w="880" w:type="dxa"/>
            <w:vAlign w:val="bottom"/>
            <w:gridSpan w:val="3"/>
            <w:shd w:val="clear" w:color="auto" w:fill="CFF0FC"/>
          </w:tcPr>
          <w:p>
            <w:pPr>
              <w:jc w:val="right"/>
              <w:ind w:right="49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w:t>
            </w:r>
          </w:p>
        </w:tc>
        <w:tc>
          <w:tcPr>
            <w:tcW w:w="420" w:type="dxa"/>
            <w:vAlign w:val="bottom"/>
            <w:gridSpan w:val="3"/>
            <w:shd w:val="clear" w:color="auto" w:fill="CFF0FC"/>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2,421,950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233,530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(21,621)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48,728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2,682,594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Issuance of stock under</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3"/>
                <w:szCs w:val="13"/>
                <w:color w:val="auto"/>
              </w:rPr>
              <w:t>873,739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Stock-based compensation</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97,701</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2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120" w:type="dxa"/>
            <w:vAlign w:val="bottom"/>
            <w:gridSpan w:val="3"/>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97,701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Shares issued in settlement of certain</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color w:val="auto"/>
              </w:rPr>
              <w:t>accrued employee compensation liabilities</w:t>
            </w:r>
          </w:p>
        </w:tc>
        <w:tc>
          <w:tcPr>
            <w:tcW w:w="1100" w:type="dxa"/>
            <w:vAlign w:val="bottom"/>
          </w:tcPr>
          <w:p>
            <w:pPr>
              <w:jc w:val="right"/>
              <w:spacing w:after="0"/>
              <w:rPr>
                <w:sz w:val="20"/>
                <w:szCs w:val="20"/>
                <w:color w:val="auto"/>
              </w:rPr>
            </w:pPr>
            <w:r>
              <w:rPr>
                <w:rFonts w:ascii="Arial" w:cs="Arial" w:eastAsia="Arial" w:hAnsi="Arial"/>
                <w:sz w:val="13"/>
                <w:szCs w:val="13"/>
                <w:color w:val="auto"/>
              </w:rPr>
              <w:t>719,989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27,618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RSU awards vesting, net of shares withheld for</w:t>
            </w: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taxes</w:t>
            </w: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889,472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(16,493)</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(16,493)</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Other noncontrolling interest activity</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(11,783)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(18,411)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(30,194)</w:t>
            </w: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 (loss)</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1,084,806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5,942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1,090,748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Other comprehensive income (loss),</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(13,092)</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(13,092)</w:t>
            </w:r>
          </w:p>
        </w:tc>
        <w:tc>
          <w:tcPr>
            <w:tcW w:w="0" w:type="dxa"/>
            <w:vAlign w:val="bottom"/>
          </w:tcPr>
          <w:p>
            <w:pPr>
              <w:spacing w:after="0"/>
              <w:rPr>
                <w:sz w:val="1"/>
                <w:szCs w:val="1"/>
                <w:color w:val="auto"/>
              </w:rPr>
            </w:pPr>
          </w:p>
        </w:tc>
      </w:tr>
      <w:tr>
        <w:trPr>
          <w:trHeight w:val="139"/>
        </w:trPr>
        <w:tc>
          <w:tcPr>
            <w:tcW w:w="2780" w:type="dxa"/>
            <w:vAlign w:val="bottom"/>
          </w:tcPr>
          <w:p>
            <w:pPr>
              <w:ind w:left="120"/>
              <w:spacing w:after="0" w:line="139" w:lineRule="exact"/>
              <w:rPr>
                <w:sz w:val="20"/>
                <w:szCs w:val="20"/>
                <w:color w:val="auto"/>
              </w:rPr>
            </w:pPr>
            <w:r>
              <w:rPr>
                <w:rFonts w:ascii="Arial" w:cs="Arial" w:eastAsia="Arial" w:hAnsi="Arial"/>
                <w:sz w:val="13"/>
                <w:szCs w:val="13"/>
                <w:color w:val="auto"/>
              </w:rPr>
              <w:t>net of tax</w:t>
            </w: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at March 31, 2023</w:t>
            </w:r>
          </w:p>
        </w:tc>
        <w:tc>
          <w:tcPr>
            <w:tcW w:w="1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76,912,016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2,540,679</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1,318,336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(34,713)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36,259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3,860,569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2,633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Issuance of stock under</w:t>
            </w: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Stock Purchase Plan</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867,016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19,212</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94,370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12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94,370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Shares issued in settlement of certain</w:t>
            </w: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accrued employee compensation liabilities</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687,851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RSU awards vesting, net of shares withheld for</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taxes</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100" w:type="dxa"/>
            <w:vAlign w:val="bottom"/>
          </w:tcPr>
          <w:p>
            <w:pPr>
              <w:jc w:val="right"/>
              <w:spacing w:after="0"/>
              <w:rPr>
                <w:sz w:val="20"/>
                <w:szCs w:val="20"/>
                <w:color w:val="auto"/>
              </w:rPr>
            </w:pPr>
            <w:r>
              <w:rPr>
                <w:rFonts w:ascii="Arial" w:cs="Arial" w:eastAsia="Arial" w:hAnsi="Arial"/>
                <w:sz w:val="13"/>
                <w:szCs w:val="13"/>
                <w:color w:val="auto"/>
              </w:rPr>
              <w:t>1,015,936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(11,713)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(11,713)</w:t>
            </w: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Shares issued in connection with acquisition of</w:t>
            </w: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business,</w:t>
            </w: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issuance costs</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46,363,636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Other noncontrolling interest activity</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 (loss)</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(1,068,904)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10,985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(1,057,919)</w:t>
            </w: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Other comprehensive income (loss),</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0"/>
                <w:szCs w:val="10"/>
                <w:color w:val="auto"/>
              </w:rPr>
            </w:pPr>
          </w:p>
        </w:tc>
        <w:tc>
          <w:tcPr>
            <w:tcW w:w="1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780" w:type="dxa"/>
            <w:vAlign w:val="bottom"/>
          </w:tcPr>
          <w:p>
            <w:pPr>
              <w:ind w:left="120"/>
              <w:spacing w:after="0" w:line="139" w:lineRule="exact"/>
              <w:rPr>
                <w:sz w:val="20"/>
                <w:szCs w:val="20"/>
                <w:color w:val="auto"/>
              </w:rPr>
            </w:pPr>
            <w:r>
              <w:rPr>
                <w:rFonts w:ascii="Arial" w:cs="Arial" w:eastAsia="Arial" w:hAnsi="Arial"/>
                <w:sz w:val="13"/>
                <w:szCs w:val="13"/>
                <w:color w:val="auto"/>
              </w:rPr>
              <w:t>net of tax</w:t>
            </w: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at March 31, 2024</w:t>
            </w:r>
          </w:p>
        </w:tc>
        <w:tc>
          <w:tcPr>
            <w:tcW w:w="1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125,849,088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13</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4,797,253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249,432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(21,268)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47,074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5,072,504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Issuance of stock under</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color w:val="auto"/>
              </w:rPr>
              <w:t>Employee Stock Purchase Plan</w:t>
            </w:r>
          </w:p>
        </w:tc>
        <w:tc>
          <w:tcPr>
            <w:tcW w:w="1100" w:type="dxa"/>
            <w:vAlign w:val="bottom"/>
          </w:tcPr>
          <w:p>
            <w:pPr>
              <w:jc w:val="right"/>
              <w:spacing w:after="0"/>
              <w:rPr>
                <w:sz w:val="20"/>
                <w:szCs w:val="20"/>
                <w:color w:val="auto"/>
              </w:rPr>
            </w:pPr>
            <w:r>
              <w:rPr>
                <w:rFonts w:ascii="Arial" w:cs="Arial" w:eastAsia="Arial" w:hAnsi="Arial"/>
                <w:sz w:val="13"/>
                <w:szCs w:val="13"/>
                <w:color w:val="auto"/>
              </w:rPr>
              <w:t>1,584,384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18,018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Stock-based compensation</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88,435</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2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120" w:type="dxa"/>
            <w:vAlign w:val="bottom"/>
            <w:gridSpan w:val="3"/>
            <w:shd w:val="clear" w:color="auto" w:fill="CFF0F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88,435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Shares issued in settlement of certain</w:t>
            </w: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780" w:type="dxa"/>
            <w:vAlign w:val="bottom"/>
          </w:tcPr>
          <w:p>
            <w:pPr>
              <w:ind w:left="120"/>
              <w:spacing w:after="0"/>
              <w:rPr>
                <w:sz w:val="20"/>
                <w:szCs w:val="20"/>
                <w:color w:val="auto"/>
              </w:rPr>
            </w:pPr>
            <w:r>
              <w:rPr>
                <w:rFonts w:ascii="Arial" w:cs="Arial" w:eastAsia="Arial" w:hAnsi="Arial"/>
                <w:sz w:val="13"/>
                <w:szCs w:val="13"/>
                <w:color w:val="auto"/>
              </w:rPr>
              <w:t>accrued employee compensation liabilities</w:t>
            </w:r>
          </w:p>
        </w:tc>
        <w:tc>
          <w:tcPr>
            <w:tcW w:w="1100" w:type="dxa"/>
            <w:vAlign w:val="bottom"/>
          </w:tcPr>
          <w:p>
            <w:pPr>
              <w:jc w:val="right"/>
              <w:spacing w:after="0"/>
              <w:rPr>
                <w:sz w:val="20"/>
                <w:szCs w:val="20"/>
                <w:color w:val="auto"/>
              </w:rPr>
            </w:pPr>
            <w:r>
              <w:rPr>
                <w:rFonts w:ascii="Arial" w:cs="Arial" w:eastAsia="Arial" w:hAnsi="Arial"/>
                <w:sz w:val="13"/>
                <w:szCs w:val="13"/>
                <w:color w:val="auto"/>
              </w:rPr>
              <w:t>1,755,074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28,063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80" w:type="dxa"/>
            <w:vAlign w:val="bottom"/>
            <w:shd w:val="clear" w:color="auto" w:fill="CFF0FC"/>
          </w:tcPr>
          <w:p>
            <w:pPr>
              <w:spacing w:after="0" w:line="117" w:lineRule="exact"/>
              <w:rPr>
                <w:sz w:val="20"/>
                <w:szCs w:val="20"/>
                <w:color w:val="auto"/>
              </w:rPr>
            </w:pPr>
            <w:r>
              <w:rPr>
                <w:rFonts w:ascii="Arial" w:cs="Arial" w:eastAsia="Arial" w:hAnsi="Arial"/>
                <w:sz w:val="13"/>
                <w:szCs w:val="13"/>
                <w:color w:val="auto"/>
              </w:rPr>
              <w:t>RSU awards vesting, net of shares withheld for</w:t>
            </w: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taxes</w:t>
            </w: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1,021,861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(5,510)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(5,510)</w:t>
            </w:r>
          </w:p>
        </w:tc>
        <w:tc>
          <w:tcPr>
            <w:tcW w:w="0" w:type="dxa"/>
            <w:vAlign w:val="bottom"/>
          </w:tcPr>
          <w:p>
            <w:pPr>
              <w:spacing w:after="0"/>
              <w:rPr>
                <w:sz w:val="1"/>
                <w:szCs w:val="1"/>
                <w:color w:val="auto"/>
              </w:rPr>
            </w:pPr>
          </w:p>
        </w:tc>
      </w:tr>
      <w:tr>
        <w:trPr>
          <w:trHeight w:val="135"/>
        </w:trPr>
        <w:tc>
          <w:tcPr>
            <w:tcW w:w="2780" w:type="dxa"/>
            <w:vAlign w:val="bottom"/>
          </w:tcPr>
          <w:p>
            <w:pPr>
              <w:spacing w:after="0" w:line="135" w:lineRule="exact"/>
              <w:rPr>
                <w:sz w:val="20"/>
                <w:szCs w:val="20"/>
                <w:color w:val="auto"/>
              </w:rPr>
            </w:pPr>
            <w:r>
              <w:rPr>
                <w:rFonts w:ascii="Arial" w:cs="Arial" w:eastAsia="Arial" w:hAnsi="Arial"/>
                <w:sz w:val="13"/>
                <w:szCs w:val="13"/>
                <w:color w:val="auto"/>
              </w:rPr>
              <w:t>Other noncontrolling interest activity</w:t>
            </w:r>
          </w:p>
        </w:tc>
        <w:tc>
          <w:tcPr>
            <w:tcW w:w="11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6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35"/>
        </w:trPr>
        <w:tc>
          <w:tcPr>
            <w:tcW w:w="27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Net income (loss)</w:t>
            </w:r>
          </w:p>
        </w:tc>
        <w:tc>
          <w:tcPr>
            <w:tcW w:w="11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4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(574,962)</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60" w:type="dxa"/>
            <w:vAlign w:val="bottom"/>
            <w:gridSpan w:val="3"/>
            <w:shd w:val="clear" w:color="auto" w:fill="CFF0FC"/>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43,837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60"/>
              <w:spacing w:after="0" w:line="135" w:lineRule="exact"/>
              <w:rPr>
                <w:sz w:val="20"/>
                <w:szCs w:val="20"/>
                <w:color w:val="auto"/>
              </w:rPr>
            </w:pPr>
            <w:r>
              <w:rPr>
                <w:rFonts w:ascii="Arial" w:cs="Arial" w:eastAsia="Arial" w:hAnsi="Arial"/>
                <w:sz w:val="13"/>
                <w:szCs w:val="13"/>
                <w:color w:val="auto"/>
              </w:rPr>
              <w:t>(531,125)</w:t>
            </w:r>
          </w:p>
        </w:tc>
        <w:tc>
          <w:tcPr>
            <w:tcW w:w="0" w:type="dxa"/>
            <w:vAlign w:val="bottom"/>
          </w:tcPr>
          <w:p>
            <w:pPr>
              <w:spacing w:after="0"/>
              <w:rPr>
                <w:sz w:val="1"/>
                <w:szCs w:val="1"/>
                <w:color w:val="auto"/>
              </w:rPr>
            </w:pPr>
          </w:p>
        </w:tc>
      </w:tr>
      <w:tr>
        <w:trPr>
          <w:trHeight w:val="117"/>
        </w:trPr>
        <w:tc>
          <w:tcPr>
            <w:tcW w:w="2780" w:type="dxa"/>
            <w:vAlign w:val="bottom"/>
          </w:tcPr>
          <w:p>
            <w:pPr>
              <w:spacing w:after="0" w:line="117" w:lineRule="exact"/>
              <w:rPr>
                <w:sz w:val="20"/>
                <w:szCs w:val="20"/>
                <w:color w:val="auto"/>
              </w:rPr>
            </w:pPr>
            <w:r>
              <w:rPr>
                <w:rFonts w:ascii="Arial" w:cs="Arial" w:eastAsia="Arial" w:hAnsi="Arial"/>
                <w:sz w:val="13"/>
                <w:szCs w:val="13"/>
                <w:color w:val="auto"/>
              </w:rPr>
              <w:t>Other comprehensive income (loss),</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(25,643)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(25,643)</w:t>
            </w:r>
          </w:p>
        </w:tc>
        <w:tc>
          <w:tcPr>
            <w:tcW w:w="0" w:type="dxa"/>
            <w:vAlign w:val="bottom"/>
          </w:tcPr>
          <w:p>
            <w:pPr>
              <w:spacing w:after="0"/>
              <w:rPr>
                <w:sz w:val="1"/>
                <w:szCs w:val="1"/>
                <w:color w:val="auto"/>
              </w:rPr>
            </w:pPr>
          </w:p>
        </w:tc>
      </w:tr>
      <w:tr>
        <w:trPr>
          <w:trHeight w:val="139"/>
        </w:trPr>
        <w:tc>
          <w:tcPr>
            <w:tcW w:w="2780" w:type="dxa"/>
            <w:vAlign w:val="bottom"/>
          </w:tcPr>
          <w:p>
            <w:pPr>
              <w:ind w:left="120"/>
              <w:spacing w:after="0" w:line="139" w:lineRule="exact"/>
              <w:rPr>
                <w:sz w:val="20"/>
                <w:szCs w:val="20"/>
                <w:color w:val="auto"/>
              </w:rPr>
            </w:pPr>
            <w:r>
              <w:rPr>
                <w:rFonts w:ascii="Arial" w:cs="Arial" w:eastAsia="Arial" w:hAnsi="Arial"/>
                <w:sz w:val="13"/>
                <w:szCs w:val="13"/>
                <w:color w:val="auto"/>
              </w:rPr>
              <w:t>net of tax</w:t>
            </w: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7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Balance at March 31, 2025</w:t>
            </w:r>
          </w:p>
        </w:tc>
        <w:tc>
          <w:tcPr>
            <w:tcW w:w="11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130,210,407</w:t>
            </w:r>
          </w:p>
        </w:tc>
        <w:tc>
          <w:tcPr>
            <w:tcW w:w="240" w:type="dxa"/>
            <w:vAlign w:val="bottom"/>
            <w:gridSpan w:val="2"/>
            <w:shd w:val="clear" w:color="auto" w:fill="CFF0FC"/>
          </w:tcPr>
          <w:p>
            <w:pPr>
              <w:spacing w:after="0"/>
              <w:rPr>
                <w:sz w:val="12"/>
                <w:szCs w:val="12"/>
                <w:color w:val="auto"/>
              </w:rPr>
            </w:pPr>
          </w:p>
        </w:tc>
        <w:tc>
          <w:tcPr>
            <w:tcW w:w="640" w:type="dxa"/>
            <w:vAlign w:val="bottom"/>
            <w:shd w:val="clear" w:color="auto" w:fill="CFF0FC"/>
          </w:tcPr>
          <w:p>
            <w:pPr>
              <w:jc w:val="right"/>
              <w:ind w:right="497"/>
              <w:spacing w:after="0" w:line="129"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13</w:t>
            </w:r>
          </w:p>
        </w:tc>
        <w:tc>
          <w:tcPr>
            <w:tcW w:w="420" w:type="dxa"/>
            <w:vAlign w:val="bottom"/>
            <w:gridSpan w:val="3"/>
            <w:shd w:val="clear" w:color="auto" w:fill="CFF0FC"/>
          </w:tcPr>
          <w:p>
            <w:pPr>
              <w:jc w:val="right"/>
              <w:ind w:right="100"/>
              <w:spacing w:after="0" w:line="129" w:lineRule="exact"/>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4,926,259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(325,530)</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FF0FC"/>
          </w:tcPr>
          <w:p>
            <w:pPr>
              <w:jc w:val="right"/>
              <w:ind w:right="60"/>
              <w:spacing w:after="0" w:line="129" w:lineRule="exact"/>
              <w:rPr>
                <w:sz w:val="20"/>
                <w:szCs w:val="20"/>
                <w:color w:val="auto"/>
              </w:rPr>
            </w:pPr>
            <w:r>
              <w:rPr>
                <w:rFonts w:ascii="Arial" w:cs="Arial" w:eastAsia="Arial" w:hAnsi="Arial"/>
                <w:sz w:val="13"/>
                <w:szCs w:val="13"/>
                <w:color w:val="auto"/>
              </w:rPr>
              <w:t>(46,911)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90,729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4,644,560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-24765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7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Viasat, Inc. (also referred to hereafter as the “Company” or “Viasat”) is an innovative, global provider of communications technologies and services focused on making connectivity accessible, available and secure for current and future customers worldwide.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In fiscal year 2024, the Company completed the acquisition of Connect Topco Limited, a private company limited by shares and incorporated in Guernsey (Inmarsat Holdings and, together with its subsidiaries, are referred to herein as Inmarsat, and such acquisition, the Inmarsat Acquisition). The Inmarsat Acquisition was accounted for as a purchase and accordingly, the consolidated financial statements include the operating results of Inmarsat from the date of acquisition.</w:t>
      </w:r>
    </w:p>
    <w:p>
      <w:pPr>
        <w:spacing w:after="0" w:line="125"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consolidated balance sheets.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the Company’s Link-16 Tactical Data Links business (the Link-16 TDL Business), part of the Company’s defense and advanced technologies segment, to L3Harris Technologies, Inc. (L3Harris) in exchange for approximately $1.96 billion in cash, subject to certain adjustments (the Link-16 TDL Sale). In accordance with the authoritative guidance for discontinued operations (Accounting Standards Codification (ASC) 205-20), the Company determined that the Link-16 TDL Business met held-for sale and discontinued operations accounting criteria at the end of the second quarter of fiscal year 2023. Accordingly, the Company classified the results of the Link-16 TDL Business as discontinued operations in its consolidated statements of operations for the fiscal year ended March 31, 2023. On January 3, 2023, the Company completed the Link-16 TDL Sale. See Note 5 — Discontinued Operations for additional information.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75"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with a significant portion held in U.S. government-backed securities and treasuries.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87" w:name="page88"/>
    <w:bookmarkEnd w:id="8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derivative financial instruments and accounts receivable which are generally not collateralized. The Company limits its exposure to credit loss by placing its cash equivalents and derivative financial instruments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25"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Revenues from the U.S. Government as an individual customer comprised approximately 18%, 17% and 17% of total revenues for fiscal years 2025, 2024 and 2023, respectively. Billed accounts receivable to the U.S. Government as of March 31, 2025 and 2024 were approximately 11% and 13%, respectively, of total billed receivables. In addition, none of the Company’s commercial customers comprised 10% or more of total revenues for fiscal years 2025, 2024 and 2023. The Company's five largest contracts generated approximately 18%, 16% and 17% of the Company’s total revenues for fiscal years 2025, 2024 and 2023, respectively.</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sheets.</w:t>
      </w:r>
    </w:p>
    <w:p>
      <w:pPr>
        <w:spacing w:after="0" w:line="11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$215.4 million, $227.5 million and $159.7 million of interest expense during fiscal years 2025, 2024 and 2023, respectively.</w:t>
      </w:r>
    </w:p>
    <w:p>
      <w:pPr>
        <w:spacing w:after="0" w:line="12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Company's complementary fleet of 23 in service or operational satellites spans the Ka-, L- and S- bands, with 13 Ka-band satellites, eight high-availability L-band satellites (three of which are contingency L-band satellites that are operational but not currently in commercial service), an S-band satellite that supports the European Aviation Network (EAN) to provide in-flight connectivity (IFC) services to commercial airlines in Europe, and an Inmarsat-6 class hybrid Ka-/L-band satellite (the I-6 F1 satellite). In late July 2024, the ViaSat-3 F1 satellite completed in-orbit testing and was integrated into the Company's existing satellite fleet covering the Americas. In May 2025, subsequent to fiscal year end, two Ka-band highly-elliptical earth orbit satellite payloads (GX10A and GX10B) were put in service to provide polar coverage for government customers, with commercial maritime and aviation services anticipated to follow during fiscal year 2026. Furthermore, the Company has eight additional geostationary earth orbit (GEO) satellites under development: two additional high-capacity Ka-band GEO satellites (ViaSat-3 F2 and ViaSat-3 F3), three additional adaptive Ka-band GEO satellites (GX 7, GX 8 and GX 9)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2025 were $526.0 million and $328.0 million, respectively. The total cost and accumulated depreciation of CPE units included in property, equipment and satellites, net, as of March 31, 2024 were $567.5 million and $267.4 million, respectively.</w:t>
      </w:r>
    </w:p>
    <w:p>
      <w:pPr>
        <w:spacing w:after="0" w:line="12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part of the Company's continued integration of its networks and related satellite portfolio, in the fourth quarter of fiscal year 2025, the Company determined that it would exit from certain locations in EMEA markets, dispose of certain related assets and terminate certain related long-term contracts. As a result, the Company recorded $169.4 million of impairment charges and other liabilities related to such exit activities in the fourth quarter of fiscal year 2025 in selling, general and administrative expenses in its communication services segment in the consolidated statements of operations and comprehensive income (loss).</w:t>
      </w:r>
    </w:p>
    <w:p>
      <w:pPr>
        <w:spacing w:after="0" w:line="12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launched the first of its third-generation ViaSat-3 class satellites, ViaSat-3 F1, into orbit on April 30, 2023. 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spacing w:after="0" w:line="12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During fiscal year 2024, 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for fiscal year 2024 of approximately $1.67 billion (based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total insurance claim receivables of approximately $770.0 million. As a result, the Company recorded a net loss of approximately $905.5 million during fiscal year 2024, including liabilities associated with the termination of certain subcontractor agreements, in selling, general and administrative expenses in its communication services segment in the consolidated statements of operations and comprehensive income (loss). During fiscal years 2025 and 2024, the Company received approximately $251.5 million and $508.6 million, respectively, in insurance recovery proceeds related to such claims. Subsequent to fiscal year 2025, approximately $10.0 million in additional insurance recovery proceeds were received, marking the full receipt of all insurance recovery proceeds related to such claims.</w:t>
      </w:r>
    </w:p>
    <w:p>
      <w:pPr>
        <w:spacing w:after="0" w:line="13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(see Note 1 — The Company and a Summary of Its Significant Accounting Policies — Leases and Note 7 — Leases for more information).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15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spacing w:after="0" w:line="12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The Company has entered into several cloud computing arrangements that are hosted services contracts mainly as part of projects related to the continuous transformation of technology, integration and implementation of an ERP system. As of March 31, 2025 and 2024, gross capitalized implementation costs incurred in cloud computing arrangements was $88.7 million and $63.6 million, respectively. As of March 31, 2025 and 2024, the related accumulated amortization was $18.4 million and $9.5 million, respectively. The Company recognized amortization of capitalized implementation costs of $8.8 million, $4.2 million, and an insignificant amount during fiscal years 2025, 2024 and 2023, respectively.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authoritative guidance for leases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4" w:lineRule="exact"/>
        <w:rPr>
          <w:sz w:val="20"/>
          <w:szCs w:val="20"/>
          <w:color w:val="auto"/>
        </w:rPr>
      </w:pPr>
    </w:p>
    <w:p>
      <w:pPr>
        <w:ind w:right="200" w:firstLine="8"/>
        <w:spacing w:after="0" w:line="239"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6"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7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authoritative guidance for business combinations (ASC 805)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$129.4 million and $120.9 million were included in other assets as of March 31, 2025 and 2024, respectively. Accumulated amortization related to these assets was $10.2 million and $8.4 million as of March 31, 2025 and 2024, respectively. Amortization expense related to these assets was $1.9 million for fiscal year 2025, and an insignificant amount for each of fiscal years 2024 and 2023. If a patent, orbital slot or other license is rejected, abandoned or otherwise invalidated, the unamortized cost is expensed in that period. During fiscal years 2025, 2024 and 2023, the Company did not write off any significant costs due to abandonment or impairment.</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5"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The Company capitalized $35.6 million, $53.9 million and zero debt issuance costs during fiscal years 2025, 2024 and 2023, respectively. Unamortized debt issuance costs related to extinguished debt are expensed at the time the debt is extinguished and recorded in loss on extinguishment of debt in the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ASC 835-30.</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7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March 31, 2025 and 2024, the Company had $780.3 million and $723.9 million, respectively, of capitalized costs related to software developed for resale. Accumulated amortization related to these assets was $515.8 million and $483.3 million as of March 31, 2025 and 2024, respectively. The Company capitalized $78.4 million and $77.5 million of costs related to software developed for resale during the fiscal years ended March 31, 2025 and 2024, respectively. Amortization expense for capitalized software development costs was $54.5 million, $59.1 million and $54.4 million during fiscal years 2025, 2024 and 2023, respectively. Amortization expense related to these assets is expected to be in the range of approximately $60 million to $30 million over each of the next five fiscal years (with the higher end of the range in the earlier fiscal years), estimated based on annual minimum straight-line amortization.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the Company's exit from certain locations in EMEA markets, disposal of certain related assets and termination of certain related long-term contracts in the fourth quarter of fiscal year 2025, the impairment related to certain of the Company's satellites under construction and satellite programs (as discussed in Note 1 — The Company and a Summary of Its Significant Accounting Policies — Property, equipment and satellites above) in the second and third quarters of fiscal year 2024 and the impairment of certain right-of-use assets in the fourth quarter of fiscal year 2023, no other material impairments were recorded by the Company for fiscal years 2025, 2024 and 2023. See Note 7 — Leases for additional information.</w:t>
      </w:r>
    </w:p>
    <w:p>
      <w:pPr>
        <w:spacing w:after="0" w:line="129"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The Company accounts for its goodwill under ASC 350. Current authoritative guidance allows the Company to first assess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p>
    <w:p>
      <w:pPr>
        <w:spacing w:after="0" w:line="12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Furthermore, in addition to qualitative analysis, the Company believes it is appropriate to conduct a quantitative analysis periodically as a prudent review of its reporting unit goodwill fair values. The Company's quantitative analysis estimates the fair values of the reporting units using discounted cash flows and other indicators of fair value. The forecast of future cash flow is based on the Company's best estimate of each reporting unit’s future revenue and operating costs, based primarily on existing firm orders, expected future orders, contracts with suppliers, labor resources, general market conditions, successful launch of its satellites currently under construction and other relevant factors. Based on a quantitative analysis for fiscal year 2025, the Company concluded that estimated fair values of its reporting units exceed their respective carrying values.</w:t>
      </w:r>
    </w:p>
    <w:p>
      <w:pPr>
        <w:spacing w:after="0" w:line="13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Based on the Company’s qualitative and quantitative assessment performed during the fourth quarter of fiscal year 2025, the Company concluded that it was more likely than not that the estimated fair value of each of the Company’s reporting units exceeded their related carrying value as of March 31, 2025. No impairments were recorded by the Company related to goodwill and other intangible assets for fiscal years 2025, 2024 and 2023.</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other long-term interest bearing liabilities and interest rate cap contracts is determined by using available market information for those securities or similar financial instruments (see Note 3 — Fair Value Measurements).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and post-retirement medical benefit liabilities</w:t>
      </w:r>
    </w:p>
    <w:p>
      <w:pPr>
        <w:spacing w:after="0" w:line="7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$5.9 million and $6.5 million as of March 31, 2025 and 2024,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consolidated balance sheets in accordance with the estimated timing of the projected payments.</w:t>
      </w:r>
    </w:p>
    <w:p>
      <w:pPr>
        <w:spacing w:after="0" w:line="4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2025 and 2024, no such amounts were accrued related to the aforementioned provisions.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20"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On August 15, 2022, TrellisWare, a majority-owned subsidiary of the Company, completed the repurchase of shares of its common stock from participating stockholders for a total purchase price of approximately $30.0 million. The Company did not elect to participate in the share repurchase, and accordingly, the Company's ownership percentage of TrellisWare increased to slightly over 60% as a result of the share repurchase.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effect of the change in the Company's percentage ownership interest in TrellisWare 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for the fiscal years ended March 31, 2025, 2024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March 31, 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(574,962)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(1,068,904)</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1,084,806</w:t>
            </w: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Transfers to noncontrolling interest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(11,783)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Change from net income (loss) attributable to Viasat, Inc. and</w:t>
            </w:r>
          </w:p>
        </w:tc>
        <w:tc>
          <w:tcPr>
            <w:tcW w:w="76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(574,962)</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(1,068,904)</w:t>
            </w:r>
          </w:p>
        </w:tc>
        <w:tc>
          <w:tcPr>
            <w:tcW w:w="3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1,073,023</w:t>
            </w:r>
          </w:p>
        </w:tc>
        <w:tc>
          <w:tcPr>
            <w:tcW w:w="0" w:type="dxa"/>
            <w:vAlign w:val="bottom"/>
          </w:tcPr>
          <w:p>
            <w:pPr>
              <w:spacing w:after="0"/>
              <w:rPr>
                <w:sz w:val="1"/>
                <w:szCs w:val="1"/>
                <w:color w:val="auto"/>
              </w:rPr>
            </w:pPr>
          </w:p>
        </w:tc>
      </w:tr>
      <w:tr>
        <w:trPr>
          <w:trHeight w:val="201"/>
        </w:trPr>
        <w:tc>
          <w:tcPr>
            <w:tcW w:w="5160" w:type="dxa"/>
            <w:vAlign w:val="bottom"/>
            <w:shd w:val="clear" w:color="auto" w:fill="CFF0FC"/>
          </w:tcPr>
          <w:p>
            <w:pPr>
              <w:spacing w:after="0" w:line="161" w:lineRule="exact"/>
              <w:rPr>
                <w:sz w:val="20"/>
                <w:szCs w:val="20"/>
                <w:color w:val="auto"/>
              </w:rPr>
            </w:pPr>
            <w:r>
              <w:rPr>
                <w:rFonts w:ascii="Arial" w:cs="Arial" w:eastAsia="Arial" w:hAnsi="Arial"/>
                <w:sz w:val="18"/>
                <w:szCs w:val="18"/>
                <w:color w:val="auto"/>
              </w:rPr>
              <w:t>transfers from (to) noncontrolling interest</w:t>
            </w:r>
          </w:p>
        </w:tc>
        <w:tc>
          <w:tcPr>
            <w:tcW w:w="760" w:type="dxa"/>
            <w:vAlign w:val="bottom"/>
            <w:gridSpan w:val="2"/>
            <w:vMerge w:val="continue"/>
            <w:shd w:val="clear" w:color="auto" w:fill="CFF0FC"/>
          </w:tcPr>
          <w:p>
            <w:pPr>
              <w:spacing w:after="0"/>
              <w:rPr>
                <w:sz w:val="17"/>
                <w:szCs w:val="17"/>
                <w:color w:val="auto"/>
              </w:rPr>
            </w:pPr>
          </w:p>
        </w:tc>
        <w:tc>
          <w:tcPr>
            <w:tcW w:w="1680" w:type="dxa"/>
            <w:vAlign w:val="bottom"/>
            <w:gridSpan w:val="2"/>
            <w:vMerge w:val="continue"/>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660" w:type="dxa"/>
            <w:vAlign w:val="bottom"/>
            <w:gridSpan w:val="2"/>
            <w:vMerge w:val="continue"/>
            <w:shd w:val="clear" w:color="auto" w:fill="CFF0FC"/>
          </w:tcPr>
          <w:p>
            <w:pPr>
              <w:spacing w:after="0"/>
              <w:rPr>
                <w:sz w:val="17"/>
                <w:szCs w:val="17"/>
                <w:color w:val="auto"/>
              </w:rPr>
            </w:pPr>
          </w:p>
        </w:tc>
        <w:tc>
          <w:tcPr>
            <w:tcW w:w="300" w:type="dxa"/>
            <w:vAlign w:val="bottom"/>
            <w:gridSpan w:val="2"/>
            <w:vMerge w:val="continue"/>
            <w:shd w:val="clear" w:color="auto" w:fill="CFF0FC"/>
          </w:tcPr>
          <w:p>
            <w:pPr>
              <w:spacing w:after="0"/>
              <w:rPr>
                <w:sz w:val="17"/>
                <w:szCs w:val="17"/>
                <w:color w:val="auto"/>
              </w:rPr>
            </w:pPr>
          </w:p>
        </w:tc>
        <w:tc>
          <w:tcPr>
            <w:tcW w:w="15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F-14</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-925195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-908050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-925195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-908050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-925195</wp:posOffset>
            </wp:positionV>
            <wp:extent cx="774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-908050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2025 and 2024, the Company had zero shares of common stock held in treasury.</w:t>
      </w:r>
    </w:p>
    <w:p>
      <w:pPr>
        <w:spacing w:after="0" w:line="15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During fiscal years 2025, 2024 and 2023, the Company issued 1,575,356, 1,547,027 and 1,376,583 shares of common stock, respectively, based on the vesting terms of certain restricted stock unit (RSU) agreements. In order for employees to satisfy minimum statutory employee tax withholding requirements related to the issuance of common stock underlying these RSU agreements, the Company repurchased 553,495, 531,091 and 487,111 shares of common stock at cost and with a total value of $5.5 million, $11.7 million and $16.5 million during fiscal years 2025, 2024 and 2023,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These retired shares remain as authorized stock and are considered to be unissued. The retirement of treasury stock had no impact on the Company’s total consolidated stockholders’ equity.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As a result of the Inmarsat Acquisition (see Note 4 — Acquisition for more information), the Company assumed interest rate cap contracts to hedge the variable interest rate under Inmarsat's senior secured term loan facilities. The interest rate cap contracts provided protection from Compound SOFR rates over 2%, covered the total nominal amount of Inmarsat's senior secured term loan facilities of $1.6 billion, and matured in February 2025. At the time of the acquisition, the Company continued to account for the interest rate cap contracts as cash-flow hedges. Upon amendment of Inmarsat's senior secured term loan facilities on March 28, 2024 (see Note 8 — Senior Notes and Other Long-Term Debt for more information), the portion of the interest rate cap contracts related to Inmarsat's $1.3 billion senior secured term loan facility (the 2024 Inmarsat Term Loan Facility) continued to be accounted for as cash-flow hedges, as the interest rate cap contracts remained in place with their original maturity date.</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did not use this instrument, or these types of instruments in general, for speculative or trading purposes. The Company’s objective was to reduce the risk to earnings and cash flows associated with changes in debt with variable interest rates. Derivative instruments are recognized as either assets or liabilities in the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in the consolidated statements of operations as the earnings of the hedge item, with the offset recorded to other comprehensive income (loss).</w:t>
      </w:r>
    </w:p>
    <w:p>
      <w:pPr>
        <w:spacing w:after="0" w:line="13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During fiscal years 2025 and 2024, the Company recognized a gain of $1.2 million (and related tax expense of an insignificant amount) and a gain of $20.2 million (and related tax expense of $5.1 million), respectively, in other comprehensive income arising from changes in the fair value of the interest rate cap contracts (designated as cash-flow hedging instruments) related to Inmarsat's senior secured term loan facilities. During fiscal years 2025 and 2024, the Company recorded a decrease of $15.9 million (and related tax benefit of $4.0 million) and a decrease of $5.5 million (and related tax benefit of $1.4 million), respectively, to other comprehensive income and interest expense, net of the recognition into income of the non-zero hedge inception fair value (based on the nature of the underlying transaction). During fiscal years 2025 and 2024, the Company received $46.3 million and $45.6 million in cash, respectively, as a result of periodic cash settlements, which are included in operating cash flows in the consolidated statements of cash flows. As of March 31, 2024, the fair value of the Company's interest rate cap contracts recorded in other current assets in the consolidated balance sheets was $44.5 million.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5" w:lineRule="exact"/>
        <w:rPr>
          <w:sz w:val="20"/>
          <w:szCs w:val="20"/>
          <w:color w:val="auto"/>
        </w:rPr>
      </w:pPr>
    </w:p>
    <w:p>
      <w:pPr>
        <w:jc w:val="both"/>
        <w:ind w:right="460" w:firstLine="509"/>
        <w:spacing w:after="0" w:line="275" w:lineRule="auto"/>
        <w:rPr>
          <w:sz w:val="20"/>
          <w:szCs w:val="20"/>
          <w:color w:val="auto"/>
        </w:rPr>
      </w:pPr>
      <w:r>
        <w:rPr>
          <w:rFonts w:ascii="Arial" w:cs="Arial" w:eastAsia="Arial" w:hAnsi="Arial"/>
          <w:sz w:val="17"/>
          <w:szCs w:val="17"/>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9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Other comprehensive income or loss related to the effects of foreign currency translation adjustments attributable to Viasat, Inc. during fiscal years 2025, 2024 and 2023 was a loss of $9.3 million (net of an insignificant amount of tax), a gain of $3.0 million (net of an insignificant amount of tax), and a loss of $13.1 million (net of an insignificant amount of tax), respectively.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spacing w:after="0" w:line="13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Furthermore, from time to time, the Company participates in U.S. federal and state programs under which the government funds part of the costs of providing services in targeted locations such as unserved or under-served high cost or rural areas, or for certain types of customers. The Company accounts for funds received from the government by analogy to International Accounting Standards (IAS) 20, Accounting for Government Grants and Disclosure of Government Assistance, and recognizes funds received in the consolidated statement of operations and comprehensive income (loss) when there is reasonable assurance that it will comply with the conditions associated with the grant and the grant will be received. Recognition occurs on a systematic basis over the periods in which the entity recognizes as expenses the related costs for which the grant is intended to compensate. During the fiscal years ended March 31, 2025, 2024 and 2023, the amounts recorded in the Company’s consolidated financial statements related to these types of arrangements were not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1" w:lineRule="exact"/>
        <w:rPr>
          <w:sz w:val="20"/>
          <w:szCs w:val="20"/>
          <w:color w:val="auto"/>
        </w:rPr>
      </w:pPr>
    </w:p>
    <w:p>
      <w:pPr>
        <w:ind w:right="80" w:firstLine="8"/>
        <w:spacing w:after="0" w:line="242" w:lineRule="auto"/>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discussed above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2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2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Contract costs on U.S. Government contracts are subject to audit and review by the Defense Contract Management Agency (DCMA), the Defense Contract Audit Agency (DCAA), and other U.S. Government agencies, as well as negotiations with U.S. Government representatives. As of March 31, 2025, the DCMA had approved the Company’s incurred costs through fiscal year 2022. The DCAA is currently auditing the Company's fiscal year 2024 recurring incurred cost submissions.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$14.8 million and $16.6 million as of March 31, 2025 and March 31, 2024, respectively, in contract-related reserves for its estimate of potential refunds to customers for potential cost adjustments on several multi-year U.S. Government cost reimbursable contracts (see Note 15 — Contingencies for more information).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2" w:lineRule="exact"/>
        <w:rPr>
          <w:sz w:val="20"/>
          <w:szCs w:val="20"/>
          <w:color w:val="auto"/>
        </w:rPr>
      </w:pPr>
    </w:p>
    <w:p>
      <w:pPr>
        <w:ind w:right="28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7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IFC service contracts in its communication services segment do not have minimum service purchase requirements and therefore are not included in the Company’s remaining performance obligations. As of March 31, 2025, the aggregate amount of the transaction price allocated to remaining performance obligations was $3.6 billion, of which the Company expects to recognize approximately half over the next 12 months, with the balance recognized thereafter.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operates and manages its business in two 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16 — Segment Information for disaggregation of revenue by business line and additional disaggregated revenue disclosures.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sets forth disaggregated reported revenue by segment and products and services for the fiscal years ended March 31, 2025, 2024 and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rPr>
              <w:t>Fiscal Year Ended March 31, 2025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Defense and Advanced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 Services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Revenues</w:t>
            </w:r>
          </w:p>
        </w:tc>
      </w:tr>
      <w:tr>
        <w:trPr>
          <w:trHeight w:val="156"/>
        </w:trPr>
        <w:tc>
          <w:tcPr>
            <w:tcW w:w="3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Service revenues</w:t>
            </w:r>
          </w:p>
        </w:tc>
        <w:tc>
          <w:tcPr>
            <w:tcW w:w="2220" w:type="dxa"/>
            <w:vAlign w:val="bottom"/>
            <w:gridSpan w:val="2"/>
            <w:shd w:val="clear" w:color="auto" w:fill="CFF0FC"/>
          </w:tcPr>
          <w:p>
            <w:pPr>
              <w:ind w:left="17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3,022,346</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203,430</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3,225,776</w:t>
            </w:r>
          </w:p>
        </w:tc>
        <w:tc>
          <w:tcPr>
            <w:tcW w:w="120" w:type="dxa"/>
            <w:vAlign w:val="bottom"/>
            <w:shd w:val="clear" w:color="auto" w:fill="CFF0FC"/>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Product revenues</w:t>
            </w:r>
          </w:p>
        </w:tc>
        <w:tc>
          <w:tcPr>
            <w:tcW w:w="17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276,139</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1,017,656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1,293,795</w:t>
            </w:r>
          </w:p>
        </w:tc>
        <w:tc>
          <w:tcPr>
            <w:tcW w:w="120" w:type="dxa"/>
            <w:vAlign w:val="bottom"/>
          </w:tcPr>
          <w:p>
            <w:pPr>
              <w:spacing w:after="0"/>
              <w:rPr>
                <w:sz w:val="17"/>
                <w:szCs w:val="17"/>
                <w:color w:val="auto"/>
              </w:rPr>
            </w:pPr>
          </w:p>
        </w:tc>
      </w:tr>
      <w:tr>
        <w:trPr>
          <w:trHeight w:val="236"/>
        </w:trPr>
        <w:tc>
          <w:tcPr>
            <w:tcW w:w="3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3,298,485</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1,221,086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4,519,571</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58"/>
        </w:trPr>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rPr>
              <w:t>Fiscal Year Ended March 31, 2024</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Defense and Advanced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 Services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Revenues</w:t>
            </w:r>
          </w:p>
        </w:tc>
      </w:tr>
      <w:tr>
        <w:trPr>
          <w:trHeight w:val="156"/>
        </w:trPr>
        <w:tc>
          <w:tcPr>
            <w:tcW w:w="3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Service revenues</w:t>
            </w:r>
          </w:p>
        </w:tc>
        <w:tc>
          <w:tcPr>
            <w:tcW w:w="2220" w:type="dxa"/>
            <w:vAlign w:val="bottom"/>
            <w:gridSpan w:val="2"/>
            <w:shd w:val="clear" w:color="auto" w:fill="CFF0FC"/>
          </w:tcPr>
          <w:p>
            <w:pPr>
              <w:ind w:left="17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2,798,512</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206,082</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3,004,594</w:t>
            </w:r>
          </w:p>
        </w:tc>
        <w:tc>
          <w:tcPr>
            <w:tcW w:w="120" w:type="dxa"/>
            <w:vAlign w:val="bottom"/>
            <w:shd w:val="clear" w:color="auto" w:fill="CFF0FC"/>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Product revenues</w:t>
            </w:r>
          </w:p>
        </w:tc>
        <w:tc>
          <w:tcPr>
            <w:tcW w:w="17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343,028</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936,136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1,279,164</w:t>
            </w:r>
          </w:p>
        </w:tc>
        <w:tc>
          <w:tcPr>
            <w:tcW w:w="120" w:type="dxa"/>
            <w:vAlign w:val="bottom"/>
          </w:tcPr>
          <w:p>
            <w:pPr>
              <w:spacing w:after="0"/>
              <w:rPr>
                <w:sz w:val="17"/>
                <w:szCs w:val="17"/>
                <w:color w:val="auto"/>
              </w:rPr>
            </w:pPr>
          </w:p>
        </w:tc>
      </w:tr>
      <w:tr>
        <w:trPr>
          <w:trHeight w:val="236"/>
        </w:trPr>
        <w:tc>
          <w:tcPr>
            <w:tcW w:w="3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3,141,540</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1,142,218</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4,283,758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358"/>
        </w:trPr>
        <w:tc>
          <w:tcPr>
            <w:tcW w:w="3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rPr>
              <w:t>Fiscal Year Ended March 31, 2023</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6"/>
        </w:trPr>
        <w:tc>
          <w:tcPr>
            <w:tcW w:w="3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Defense and Advanced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Communication Services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Revenues</w:t>
            </w:r>
          </w:p>
        </w:tc>
      </w:tr>
      <w:tr>
        <w:trPr>
          <w:trHeight w:val="155"/>
        </w:trPr>
        <w:tc>
          <w:tcPr>
            <w:tcW w:w="3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Service revenues</w:t>
            </w:r>
          </w:p>
        </w:tc>
        <w:tc>
          <w:tcPr>
            <w:tcW w:w="2220" w:type="dxa"/>
            <w:vAlign w:val="bottom"/>
            <w:gridSpan w:val="2"/>
            <w:shd w:val="clear" w:color="auto" w:fill="CFF0FC"/>
          </w:tcPr>
          <w:p>
            <w:pPr>
              <w:ind w:left="170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1,435,649</w:t>
            </w:r>
          </w:p>
        </w:tc>
        <w:tc>
          <w:tcPr>
            <w:tcW w:w="5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166,383</w:t>
            </w:r>
          </w:p>
        </w:tc>
        <w:tc>
          <w:tcPr>
            <w:tcW w:w="2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1,602,032</w:t>
            </w:r>
          </w:p>
        </w:tc>
        <w:tc>
          <w:tcPr>
            <w:tcW w:w="120" w:type="dxa"/>
            <w:vAlign w:val="bottom"/>
            <w:shd w:val="clear" w:color="auto" w:fill="CFF0FC"/>
          </w:tcPr>
          <w:p>
            <w:pPr>
              <w:spacing w:after="0"/>
              <w:rPr>
                <w:sz w:val="17"/>
                <w:szCs w:val="17"/>
                <w:color w:val="auto"/>
              </w:rPr>
            </w:pPr>
          </w:p>
        </w:tc>
      </w:tr>
      <w:tr>
        <w:trPr>
          <w:trHeight w:val="203"/>
        </w:trPr>
        <w:tc>
          <w:tcPr>
            <w:tcW w:w="3120" w:type="dxa"/>
            <w:vAlign w:val="bottom"/>
          </w:tcPr>
          <w:p>
            <w:pPr>
              <w:spacing w:after="0" w:line="202" w:lineRule="exact"/>
              <w:rPr>
                <w:sz w:val="20"/>
                <w:szCs w:val="20"/>
                <w:color w:val="auto"/>
              </w:rPr>
            </w:pPr>
            <w:r>
              <w:rPr>
                <w:rFonts w:ascii="Arial" w:cs="Arial" w:eastAsia="Arial" w:hAnsi="Arial"/>
                <w:sz w:val="18"/>
                <w:szCs w:val="18"/>
                <w:color w:val="auto"/>
              </w:rPr>
              <w:t>Product revenues</w:t>
            </w:r>
          </w:p>
        </w:tc>
        <w:tc>
          <w:tcPr>
            <w:tcW w:w="17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269,126</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954,126</w:t>
            </w:r>
          </w:p>
        </w:tc>
        <w:tc>
          <w:tcPr>
            <w:tcW w:w="120" w:type="dxa"/>
            <w:vAlign w:val="bottom"/>
          </w:tcPr>
          <w:p>
            <w:pPr>
              <w:spacing w:after="0"/>
              <w:rPr>
                <w:sz w:val="17"/>
                <w:szCs w:val="17"/>
                <w:color w:val="auto"/>
              </w:rPr>
            </w:pPr>
          </w:p>
        </w:tc>
      </w:tr>
      <w:tr>
        <w:trPr>
          <w:trHeight w:val="236"/>
        </w:trPr>
        <w:tc>
          <w:tcPr>
            <w:tcW w:w="3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1,704,775</w:t>
            </w:r>
          </w:p>
        </w:tc>
        <w:tc>
          <w:tcPr>
            <w:tcW w:w="3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851,383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2,556,158</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-1996440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-1979295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-1996440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-1979295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-1996440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-1010920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-993775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-1010920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-993775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0"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Revenues from the U.S. Government as an individual customer comprised approximately 18%, 17% and 17% of total revenues for fiscal years 2025, 2024 and 2023, respectively. Revenues from the U.S. Government were attributable to each of the communication services segment and defense and advanced technologies segment, with approximately half of such revenues reported within each of these two segments for fiscal years 2025 and 2024, while the majority of revenues from the U.S. Government was attributable to the defense and advanced technologies segment for fiscal year 2023.</w:t>
      </w:r>
    </w:p>
    <w:p>
      <w:pPr>
        <w:spacing w:after="0" w:line="12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Company’s revenues are primarily derived from two types of contracts: fixed-price and cost-reimbursement contracts. Fixed-price contracts (which require the Company to provide products and services under a contract at a specified price) comprised approximately 96%, 95% and 93% of the Company's total revenues for fiscal years 2025, 2024 and 2023, respectively, a majority of which were reported in the Company's communication services segment. The remainder of the Company’s revenues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which contracts are mainly reported within the Company's defense and advanced technologies segment.</w:t>
      </w:r>
    </w:p>
    <w:p>
      <w:pPr>
        <w:spacing w:after="0" w:line="13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Historically, a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11%, 12% and 16% of its total revenues for fiscal years 2025, 2024 and 2023, respectively, mainly reported within the Company's defense and advanced technologies segment.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22" w:lineRule="exact"/>
        <w:rPr>
          <w:sz w:val="20"/>
          <w:szCs w:val="20"/>
          <w:color w:val="auto"/>
        </w:rPr>
      </w:pPr>
    </w:p>
    <w:p>
      <w:pPr>
        <w:ind w:right="360" w:firstLine="509"/>
        <w:spacing w:after="0" w:line="253"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2025 and March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71"/>
        </w:trPr>
        <w:tc>
          <w:tcPr>
            <w:tcW w:w="6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55"/>
        </w:trPr>
        <w:tc>
          <w:tcPr>
            <w:tcW w:w="6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82"/>
              </w:rPr>
              <w:t>thousands)</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Unbilled accounts receivable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180,871</w:t>
            </w:r>
          </w:p>
        </w:tc>
        <w:tc>
          <w:tcPr>
            <w:tcW w:w="56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156,322</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Collections in excess of revenues and deferred revenues</w:t>
            </w:r>
          </w:p>
        </w:tc>
        <w:tc>
          <w:tcPr>
            <w:tcW w:w="280" w:type="dxa"/>
            <w:vAlign w:val="bottom"/>
          </w:tcPr>
          <w:p>
            <w:pPr>
              <w:spacing w:after="0"/>
              <w:rPr>
                <w:sz w:val="17"/>
                <w:szCs w:val="17"/>
                <w:color w:val="auto"/>
              </w:rPr>
            </w:pPr>
          </w:p>
        </w:tc>
        <w:tc>
          <w:tcPr>
            <w:tcW w:w="1820" w:type="dxa"/>
            <w:vAlign w:val="bottom"/>
            <w:gridSpan w:val="2"/>
          </w:tcPr>
          <w:p>
            <w:pPr>
              <w:jc w:val="right"/>
              <w:ind w:right="68"/>
              <w:spacing w:after="0" w:line="202" w:lineRule="exact"/>
              <w:rPr>
                <w:sz w:val="20"/>
                <w:szCs w:val="20"/>
                <w:color w:val="auto"/>
              </w:rPr>
            </w:pPr>
            <w:r>
              <w:rPr>
                <w:rFonts w:ascii="Arial" w:cs="Arial" w:eastAsia="Arial" w:hAnsi="Arial"/>
                <w:sz w:val="18"/>
                <w:szCs w:val="18"/>
                <w:color w:val="auto"/>
              </w:rPr>
              <w:t>294,034</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260,264</w:t>
            </w: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revenues, long-term portion</w:t>
            </w:r>
          </w:p>
        </w:tc>
        <w:tc>
          <w:tcPr>
            <w:tcW w:w="28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8"/>
              <w:spacing w:after="0" w:line="202" w:lineRule="exact"/>
              <w:rPr>
                <w:sz w:val="20"/>
                <w:szCs w:val="20"/>
                <w:color w:val="auto"/>
              </w:rPr>
            </w:pPr>
            <w:r>
              <w:rPr>
                <w:rFonts w:ascii="Arial" w:cs="Arial" w:eastAsia="Arial" w:hAnsi="Arial"/>
                <w:sz w:val="18"/>
                <w:szCs w:val="18"/>
                <w:color w:val="auto"/>
              </w:rPr>
              <w:t>786,710</w:t>
            </w:r>
          </w:p>
        </w:tc>
        <w:tc>
          <w:tcPr>
            <w:tcW w:w="1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896,402</w:t>
            </w:r>
          </w:p>
        </w:tc>
      </w:tr>
    </w:tbl>
    <w:p>
      <w:pPr>
        <w:spacing w:after="0" w:line="170"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Unbilled accounts receivable increased by $24.5 million during fiscal year 2025, primarily driven by revenue recognized in excess of billings primarily in the Company's communication services segment revenues.</w:t>
      </w:r>
    </w:p>
    <w:p>
      <w:pPr>
        <w:spacing w:after="0" w:line="100"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Collections in excess of revenues and deferred revenues increased by $33.8 million during fiscal year 2025, driven by advances on goods or services received in excess of revenue recognized in each of the Company's segments.</w:t>
      </w:r>
    </w:p>
    <w:p>
      <w:pPr>
        <w:spacing w:after="0" w:line="100"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During fiscal year 2025, the Company recognized revenue of $238.6 million that was previously included in the Company’s collections in excess of revenues and deferred revenues at March 31, 2024. During fiscal year 2024, the Company recognized revenue of $97.8 million that was previously included in the Company’s collections in excess of revenues and deferred revenues at March 31,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7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In accordance with the guidance, the Company recognizes an asset related to commission costs incurred, primarily in the Company’s communication services segment, and recognizes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$13.0 million and $56.4 million, respectively, as of March 31, 2025. Of the Company’s total deferred customer contract acquisition costs and costs to fulfill contracts, $15.2 million was included in other current assets within the prepaid expenses and other current assets caption on the Company’s consolidated balance sheets and $54.2 million was included in other assets on the Company’s consolidated balance sheets as of March 31, 2025. The Company’s deferred customer contract acquisition costs and costs to fulfill contract balances were $23.1 million and $55.1 million, respectively, as of March 31, 2024. Of the Company’s total deferred customer contract acquisition costs and costs to fulfill contracts, $20.2 million was included in other current assets within the prepaid expenses and other current assets caption on the Company’s consolidated balance sheets and $58.0 million was included in other assets on the Company’s consolidated balance sheets as of March 31, 2024. For total deferred customer contract acquisition costs and contract fulfillment costs, the Company’s amortization and reduction of carrying value associated with contract termination was $33.1 million, $40.4 million and $48.2 million for fiscal years 2025, 2024 and 2023,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5" w:lineRule="exact"/>
        <w:rPr>
          <w:sz w:val="20"/>
          <w:szCs w:val="20"/>
          <w:color w:val="auto"/>
        </w:rPr>
      </w:pPr>
    </w:p>
    <w:p>
      <w:pPr>
        <w:jc w:val="both"/>
        <w:ind w:right="400" w:firstLine="509"/>
        <w:spacing w:after="0" w:line="253"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in the consolidated statements of operations and comprehensive income (loss). Advertising expenses for fiscal years 2025, 2024 and 2023 were $19.2 million, $26.4 million and $22.8 million, respectively.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performance-based RSUs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regardless of the actual outcome achieved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are classified within operating activities. See Note 9 — Common Stock and Stock Plans to the Company's consolidated financial statements for more information.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75"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IR&amp;D, which is not directly funded by a third party, is expensed as incurred. IR&amp;D expenses consist primarily of salaries and other personnel-related expenses, supplies, prototype materials and other expenses related to research and development (R&amp;D) programs.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2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the reversal of temporary differences, taxable income in prior carryback years (if permitted), and the availability of tax planning strategies.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which are included in the earnings per share calculations using the treasury stock method. Potential common stock includes options granted (including market-based performance stock options), RSUs (other than PSUs), market condition PSUs and performance condition PSUs awarded under the Company’s equity compensation plan, common shares expected to be issued under the Company’s employee stock purchase plan, and shares potentially issuable under the Viasat 401(k) Profit Sharing Plan in connection with the Company’s decision to pay a discretionary match in common stock or cash.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1" w:name="page102"/>
    <w:bookmarkEnd w:id="101"/>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7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Company reports its results in two 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 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spacing w:after="0" w:line="5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Company’s communication services segment provides a wide range of broadband and narrowband communications solutions across government and commercial mobility markets, as well as for residential and enterprise fixed broadband customers. 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56"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In June 2022, the FASB issued ASU 2022-03, Fair Value Measurement (Topic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Company adopted the new guidance in the first quarter of fiscal year 2025 and the guidance did not have a material impact on its consolidated financial statements and disclosures.</w:t>
      </w:r>
    </w:p>
    <w:p>
      <w:pPr>
        <w:spacing w:after="0" w:line="12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In March 2023, the FASB issued ASU 2023-01, Leases (Topic 842) – Common Control Agreements. The amendments in this update that apply to public business entities clarify the accounting for leasehold improvements associated with common control leases. The Company adopted the new guidance in the first quarter of fiscal year 2025 and the guidance did not have a material impact on its consolidated financial statements and disclosures.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spacing w:after="0" w:line="13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enhance disclosures about their reportable segments' significant expenses on an interim and annual basis. Beginning with the annual reporting of fiscal year 2025, the Company adopted the new guidance on a retrospective basis. See Note 16 — Segment Information for additional information.</w:t>
      </w:r>
    </w:p>
    <w:p>
      <w:pPr>
        <w:spacing w:after="0" w:line="12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the new standard should be applied prospectively, however retrospective application is permitted. The Company is currently evaluating the impact of this standard on its consolidated financial statements and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amendments in this update are effective for the Company beginning in fiscal year 2026. Early adoption is permitted. The Company is currently evaluating the impact of this standard on its consolidated financial statements and disclosures.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right"/>
              <w:ind w:right="65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As of</w:t>
            </w:r>
          </w:p>
        </w:tc>
      </w:tr>
      <w:tr>
        <w:trPr>
          <w:trHeight w:val="203"/>
        </w:trPr>
        <w:tc>
          <w:tcPr>
            <w:tcW w:w="7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March 31, 2024</w:t>
            </w:r>
          </w:p>
        </w:tc>
        <w:tc>
          <w:tcPr>
            <w:tcW w:w="100" w:type="dxa"/>
            <w:vAlign w:val="bottom"/>
          </w:tcPr>
          <w:p>
            <w:pPr>
              <w:spacing w:after="0"/>
              <w:rPr>
                <w:sz w:val="17"/>
                <w:szCs w:val="17"/>
                <w:color w:val="auto"/>
              </w:rPr>
            </w:pPr>
          </w:p>
        </w:tc>
      </w:tr>
      <w:tr>
        <w:trPr>
          <w:trHeight w:val="18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139"/>
              <w:spacing w:after="0" w:line="183" w:lineRule="exact"/>
              <w:rPr>
                <w:sz w:val="20"/>
                <w:szCs w:val="20"/>
                <w:color w:val="auto"/>
              </w:rPr>
            </w:pPr>
            <w:r>
              <w:rPr>
                <w:rFonts w:ascii="Arial" w:cs="Arial" w:eastAsia="Arial" w:hAnsi="Arial"/>
                <w:sz w:val="16"/>
                <w:szCs w:val="16"/>
                <w:b w:val="1"/>
                <w:bCs w:val="1"/>
                <w:color w:val="auto"/>
              </w:rPr>
              <w:t>(In</w:t>
            </w:r>
          </w:p>
        </w:tc>
        <w:tc>
          <w:tcPr>
            <w:tcW w:w="1840" w:type="dxa"/>
            <w:vAlign w:val="bottom"/>
            <w:gridSpan w:val="4"/>
          </w:tcPr>
          <w:p>
            <w:pPr>
              <w:jc w:val="center"/>
              <w:ind w:right="1079"/>
              <w:spacing w:after="0" w:line="183" w:lineRule="exact"/>
              <w:rPr>
                <w:sz w:val="20"/>
                <w:szCs w:val="20"/>
                <w:color w:val="auto"/>
              </w:rPr>
            </w:pPr>
            <w:r>
              <w:rPr>
                <w:rFonts w:ascii="Arial" w:cs="Arial" w:eastAsia="Arial" w:hAnsi="Arial"/>
                <w:sz w:val="16"/>
                <w:szCs w:val="16"/>
                <w:b w:val="1"/>
                <w:bCs w:val="1"/>
                <w:color w:val="auto"/>
                <w:w w:val="78"/>
              </w:rPr>
              <w:t>thousands)</w:t>
            </w: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Billed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539,522</w:t>
            </w:r>
          </w:p>
        </w:tc>
        <w:tc>
          <w:tcPr>
            <w:tcW w:w="16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545,081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Unbilled</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180,871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156,322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Allowance for doubtful accounts</w:t>
            </w:r>
          </w:p>
        </w:tc>
        <w:tc>
          <w:tcPr>
            <w:tcW w:w="140" w:type="dxa"/>
            <w:vAlign w:val="bottom"/>
          </w:tcPr>
          <w:p>
            <w:pPr>
              <w:spacing w:after="0"/>
              <w:rPr>
                <w:sz w:val="16"/>
                <w:szCs w:val="16"/>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(20,841)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(23,193)</w:t>
            </w:r>
          </w:p>
        </w:tc>
      </w:tr>
      <w:tr>
        <w:trPr>
          <w:trHeight w:val="20"/>
        </w:trPr>
        <w:tc>
          <w:tcPr>
            <w:tcW w:w="7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699,552</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678,210</w:t>
            </w:r>
          </w:p>
        </w:tc>
        <w:tc>
          <w:tcPr>
            <w:tcW w:w="100" w:type="dxa"/>
            <w:vAlign w:val="bottom"/>
            <w:shd w:val="clear" w:color="auto" w:fill="CFF0FC"/>
          </w:tcPr>
          <w:p>
            <w:pPr>
              <w:spacing w:after="0"/>
              <w:rPr>
                <w:sz w:val="19"/>
                <w:szCs w:val="19"/>
                <w:color w:val="auto"/>
              </w:rPr>
            </w:pPr>
          </w:p>
        </w:tc>
      </w:tr>
      <w:tr>
        <w:trPr>
          <w:trHeight w:val="169"/>
        </w:trPr>
        <w:tc>
          <w:tcPr>
            <w:tcW w:w="77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Inventories: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Raw materials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96,893</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89,778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Work in process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19,761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31,884</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Finished goods</w:t>
            </w: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177,289</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196,216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293,943</w:t>
            </w:r>
          </w:p>
        </w:tc>
        <w:tc>
          <w:tcPr>
            <w:tcW w:w="160" w:type="dxa"/>
            <w:vAlign w:val="bottom"/>
          </w:tcPr>
          <w:p>
            <w:pPr>
              <w:spacing w:after="0"/>
              <w:rPr>
                <w:sz w:val="15"/>
                <w:szCs w:val="15"/>
                <w:color w:val="auto"/>
              </w:rPr>
            </w:pPr>
          </w:p>
        </w:tc>
        <w:tc>
          <w:tcPr>
            <w:tcW w:w="260" w:type="dxa"/>
            <w:vAlign w:val="bottom"/>
            <w:gridSpan w:val="2"/>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317,878</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74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Insurance receivable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6"/>
                <w:szCs w:val="16"/>
                <w:color w:val="auto"/>
              </w:rPr>
            </w:pPr>
          </w:p>
        </w:tc>
        <w:tc>
          <w:tcPr>
            <w:tcW w:w="26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261,500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176,694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185,892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134,391</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282,343</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581,783</w:t>
            </w:r>
          </w:p>
        </w:tc>
        <w:tc>
          <w:tcPr>
            <w:tcW w:w="100" w:type="dxa"/>
            <w:vAlign w:val="bottom"/>
            <w:shd w:val="clear" w:color="auto" w:fill="CFF0FC"/>
          </w:tcPr>
          <w:p>
            <w:pPr>
              <w:spacing w:after="0"/>
              <w:rPr>
                <w:sz w:val="19"/>
                <w:szCs w:val="19"/>
                <w:color w:val="auto"/>
              </w:rPr>
            </w:pPr>
          </w:p>
        </w:tc>
      </w:tr>
      <w:tr>
        <w:trPr>
          <w:trHeight w:val="169"/>
        </w:trPr>
        <w:tc>
          <w:tcPr>
            <w:tcW w:w="77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Property, equipment and satellites, net:</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Equipment and software (estimated useful life of 3-7 years)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3,837,083</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2,992,325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CPE leased equipment (estimated useful life of 4-7 years)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525,972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567,548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Furniture and fixtures (estimated useful life of 7 years)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58,153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65,433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Leasehold improvements (estimated useful life of 2-20 years)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313,249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209,162</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Buildings (estimated useful life of 12-38 years)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15,388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Land</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19,661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20,787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Construction in progress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722,194</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1,301,376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Satellites (estimated useful life of 7-17 years)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3,405,067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3,324,458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Satellite Ka-band capacity obtained under finance leases (estimated useful life of 7-15 years)</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338,201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177,576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Satellites under construction</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2,205,305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1,976,469</w:t>
            </w:r>
          </w:p>
        </w:tc>
        <w:tc>
          <w:tcPr>
            <w:tcW w:w="100" w:type="dxa"/>
            <w:vAlign w:val="bottom"/>
          </w:tcPr>
          <w:p>
            <w:pPr>
              <w:spacing w:after="0"/>
              <w:rPr>
                <w:sz w:val="16"/>
                <w:szCs w:val="16"/>
                <w:color w:val="auto"/>
              </w:rPr>
            </w:pPr>
          </w:p>
        </w:tc>
      </w:tr>
      <w:tr>
        <w:trPr>
          <w:trHeight w:val="183"/>
        </w:trPr>
        <w:tc>
          <w:tcPr>
            <w:tcW w:w="77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11,440,273</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10,651,781</w:t>
            </w: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Pr>
          <w:p>
            <w:pPr>
              <w:spacing w:after="0"/>
              <w:rPr>
                <w:sz w:val="16"/>
                <w:szCs w:val="16"/>
                <w:color w:val="auto"/>
              </w:rPr>
            </w:pPr>
          </w:p>
        </w:tc>
        <w:tc>
          <w:tcPr>
            <w:tcW w:w="1580" w:type="dxa"/>
            <w:vAlign w:val="bottom"/>
            <w:gridSpan w:val="2"/>
          </w:tcPr>
          <w:p>
            <w:pPr>
              <w:jc w:val="right"/>
              <w:ind w:right="19"/>
              <w:spacing w:after="0"/>
              <w:rPr>
                <w:sz w:val="20"/>
                <w:szCs w:val="20"/>
                <w:color w:val="auto"/>
              </w:rPr>
            </w:pPr>
            <w:r>
              <w:rPr>
                <w:rFonts w:ascii="Arial" w:cs="Arial" w:eastAsia="Arial" w:hAnsi="Arial"/>
                <w:sz w:val="16"/>
                <w:szCs w:val="16"/>
                <w:color w:val="auto"/>
              </w:rPr>
              <w:t>(4,034,609)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(3,094,575)</w:t>
            </w:r>
          </w:p>
        </w:tc>
      </w:tr>
      <w:tr>
        <w:trPr>
          <w:trHeight w:val="20"/>
        </w:trPr>
        <w:tc>
          <w:tcPr>
            <w:tcW w:w="7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7,405,664</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7,557,206</w:t>
            </w:r>
          </w:p>
        </w:tc>
        <w:tc>
          <w:tcPr>
            <w:tcW w:w="100" w:type="dxa"/>
            <w:vAlign w:val="bottom"/>
            <w:shd w:val="clear" w:color="auto" w:fill="CFF0FC"/>
          </w:tcPr>
          <w:p>
            <w:pPr>
              <w:spacing w:after="0"/>
              <w:rPr>
                <w:sz w:val="19"/>
                <w:szCs w:val="19"/>
                <w:color w:val="auto"/>
              </w:rPr>
            </w:pPr>
          </w:p>
        </w:tc>
      </w:tr>
      <w:tr>
        <w:trPr>
          <w:trHeight w:val="170"/>
        </w:trPr>
        <w:tc>
          <w:tcPr>
            <w:tcW w:w="77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Other assets: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160,452</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163,590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Capitalized software costs, net</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264,492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240,597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Patents, orbital slots and other licenses, net</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119,193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112,535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301,641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217,225</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845,778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733,947</w:t>
            </w:r>
          </w:p>
        </w:tc>
        <w:tc>
          <w:tcPr>
            <w:tcW w:w="100" w:type="dxa"/>
            <w:vAlign w:val="bottom"/>
            <w:shd w:val="clear" w:color="auto" w:fill="CFF0FC"/>
          </w:tcPr>
          <w:p>
            <w:pPr>
              <w:spacing w:after="0"/>
              <w:rPr>
                <w:sz w:val="19"/>
                <w:szCs w:val="19"/>
                <w:color w:val="auto"/>
              </w:rPr>
            </w:pPr>
          </w:p>
        </w:tc>
      </w:tr>
      <w:tr>
        <w:trPr>
          <w:trHeight w:val="170"/>
        </w:trPr>
        <w:tc>
          <w:tcPr>
            <w:tcW w:w="77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Accrued and other liabilities: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Collections in excess of revenues and deferred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294,034</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260,264</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Accrued employee compensation</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185,556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177,854</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vacation</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46,651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48,636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65,310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71,561</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Interest payable</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52,183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127,098</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265,208</w:t>
            </w:r>
          </w:p>
        </w:tc>
        <w:tc>
          <w:tcPr>
            <w:tcW w:w="100" w:type="dxa"/>
            <w:vAlign w:val="bottom"/>
          </w:tcPr>
          <w:p>
            <w:pPr>
              <w:spacing w:after="0"/>
              <w:rPr>
                <w:sz w:val="16"/>
                <w:szCs w:val="16"/>
                <w:color w:val="auto"/>
              </w:rPr>
            </w:pPr>
          </w:p>
        </w:tc>
      </w:tr>
      <w:tr>
        <w:trPr>
          <w:trHeight w:val="223"/>
        </w:trPr>
        <w:tc>
          <w:tcPr>
            <w:tcW w:w="77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908,529</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950,621</w:t>
            </w:r>
          </w:p>
        </w:tc>
        <w:tc>
          <w:tcPr>
            <w:tcW w:w="100" w:type="dxa"/>
            <w:vAlign w:val="bottom"/>
            <w:shd w:val="clear" w:color="auto" w:fill="CFF0FC"/>
          </w:tcPr>
          <w:p>
            <w:pPr>
              <w:spacing w:after="0"/>
              <w:rPr>
                <w:sz w:val="19"/>
                <w:szCs w:val="19"/>
                <w:color w:val="auto"/>
              </w:rPr>
            </w:pPr>
          </w:p>
        </w:tc>
      </w:tr>
      <w:tr>
        <w:trPr>
          <w:trHeight w:val="170"/>
        </w:trPr>
        <w:tc>
          <w:tcPr>
            <w:tcW w:w="774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Other liabilities:</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Deferred revenues, long-term portion</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786,710</w:t>
            </w:r>
          </w:p>
        </w:tc>
        <w:tc>
          <w:tcPr>
            <w:tcW w:w="16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896,402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1,069,717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1,228,270</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324,726</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327,428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2,181,153</w:t>
            </w:r>
          </w:p>
        </w:tc>
        <w:tc>
          <w:tcPr>
            <w:tcW w:w="160" w:type="dxa"/>
            <w:vAlign w:val="bottom"/>
          </w:tcPr>
          <w:p>
            <w:pPr>
              <w:spacing w:after="0"/>
              <w:rPr>
                <w:sz w:val="15"/>
                <w:szCs w:val="15"/>
                <w:color w:val="auto"/>
              </w:rPr>
            </w:pPr>
          </w:p>
        </w:tc>
        <w:tc>
          <w:tcPr>
            <w:tcW w:w="260" w:type="dxa"/>
            <w:vAlign w:val="bottom"/>
            <w:gridSpan w:val="2"/>
          </w:tcPr>
          <w:p>
            <w:pPr>
              <w:jc w:val="center"/>
              <w:spacing w:after="0" w:line="183" w:lineRule="exact"/>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2,452,100</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-5400040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-5382895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-5400040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-5382895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-4893945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-4893945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-4131310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-4114165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-4131310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-2407920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-1653540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-1636395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-659130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-641985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3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89"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35"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00"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March 31, 2025 and March 31, 2024. The Company had no liabilities measured at fair value on a recurring basis as of both March 31, 2025 and March 31,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rPr>
              <w:t>Fair Value as of</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2025</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98"/>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2"/>
              </w:rPr>
              <w:t>thousands)</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572,256</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572,256</w:t>
            </w:r>
          </w:p>
        </w:tc>
        <w:tc>
          <w:tcPr>
            <w:tcW w:w="6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shd w:val="clear" w:color="auto" w:fill="CFF0FC"/>
          </w:tcPr>
          <w:p>
            <w:pPr>
              <w:spacing w:after="0" w:line="177" w:lineRule="exact"/>
              <w:rPr>
                <w:sz w:val="20"/>
                <w:szCs w:val="20"/>
                <w:color w:val="auto"/>
              </w:rPr>
            </w:pPr>
            <w:r>
              <w:rPr>
                <w:rFonts w:ascii="Arial" w:cs="Arial" w:eastAsia="Arial" w:hAnsi="Arial"/>
                <w:sz w:val="18"/>
                <w:szCs w:val="18"/>
                <w:color w:val="auto"/>
              </w:rPr>
              <w:t>Total assets measured at fair value on a recurring</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572,256</w:t>
            </w:r>
          </w:p>
        </w:tc>
        <w:tc>
          <w:tcPr>
            <w:tcW w:w="5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572,256</w:t>
            </w:r>
          </w:p>
        </w:tc>
        <w:tc>
          <w:tcPr>
            <w:tcW w:w="680" w:type="dxa"/>
            <w:vAlign w:val="bottom"/>
            <w:gridSpan w:val="2"/>
            <w:vMerge w:val="restart"/>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spacing w:after="0" w:line="161" w:lineRule="exact"/>
              <w:rPr>
                <w:sz w:val="20"/>
                <w:szCs w:val="20"/>
                <w:color w:val="auto"/>
              </w:rPr>
            </w:pPr>
            <w:r>
              <w:rPr>
                <w:rFonts w:ascii="Arial" w:cs="Arial" w:eastAsia="Arial" w:hAnsi="Arial"/>
                <w:sz w:val="18"/>
                <w:szCs w:val="18"/>
                <w:color w:val="auto"/>
              </w:rPr>
              <w:t>basis</w:t>
            </w:r>
          </w:p>
        </w:tc>
        <w:tc>
          <w:tcPr>
            <w:tcW w:w="140" w:type="dxa"/>
            <w:vAlign w:val="bottom"/>
            <w:vMerge w:val="continue"/>
            <w:shd w:val="clear" w:color="auto" w:fill="CFF0FC"/>
          </w:tcPr>
          <w:p>
            <w:pPr>
              <w:spacing w:after="0"/>
              <w:rPr>
                <w:sz w:val="19"/>
                <w:szCs w:val="19"/>
                <w:color w:val="auto"/>
              </w:rPr>
            </w:pPr>
          </w:p>
        </w:tc>
        <w:tc>
          <w:tcPr>
            <w:tcW w:w="1300" w:type="dxa"/>
            <w:vAlign w:val="bottom"/>
            <w:vMerge w:val="continue"/>
            <w:shd w:val="clear" w:color="auto" w:fill="CFF0FC"/>
          </w:tcPr>
          <w:p>
            <w:pPr>
              <w:spacing w:after="0"/>
              <w:rPr>
                <w:sz w:val="19"/>
                <w:szCs w:val="19"/>
                <w:color w:val="auto"/>
              </w:rPr>
            </w:pPr>
          </w:p>
        </w:tc>
        <w:tc>
          <w:tcPr>
            <w:tcW w:w="560" w:type="dxa"/>
            <w:vAlign w:val="bottom"/>
            <w:gridSpan w:val="2"/>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680" w:type="dxa"/>
            <w:vAlign w:val="bottom"/>
            <w:gridSpan w:val="2"/>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540" w:type="dxa"/>
            <w:vAlign w:val="bottom"/>
            <w:gridSpan w:val="2"/>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45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Fair Value as of</w:t>
            </w: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98"/>
              <w:spacing w:after="0" w:line="155"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82"/>
              </w:rPr>
              <w:t>thousands)</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120"/>
              <w:spacing w:after="0" w:line="202" w:lineRule="exact"/>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474,743</w:t>
            </w:r>
          </w:p>
        </w:tc>
        <w:tc>
          <w:tcPr>
            <w:tcW w:w="5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474,743</w:t>
            </w:r>
          </w:p>
        </w:tc>
        <w:tc>
          <w:tcPr>
            <w:tcW w:w="68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5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rate cap contracts</w:t>
            </w: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44,497</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44,497</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ind w:left="96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line="177" w:lineRule="exact"/>
              <w:rPr>
                <w:sz w:val="20"/>
                <w:szCs w:val="20"/>
                <w:color w:val="auto"/>
              </w:rPr>
            </w:pPr>
            <w:r>
              <w:rPr>
                <w:rFonts w:ascii="Arial" w:cs="Arial" w:eastAsia="Arial" w:hAnsi="Arial"/>
                <w:sz w:val="18"/>
                <w:szCs w:val="18"/>
                <w:color w:val="auto"/>
              </w:rPr>
              <w:t>Total assets measured at fair value on a recurring</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519,240</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474,743</w:t>
            </w:r>
          </w:p>
        </w:tc>
        <w:tc>
          <w:tcPr>
            <w:tcW w:w="68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44,497</w:t>
            </w: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1"/>
        </w:trPr>
        <w:tc>
          <w:tcPr>
            <w:tcW w:w="4580" w:type="dxa"/>
            <w:vAlign w:val="bottom"/>
          </w:tcPr>
          <w:p>
            <w:pPr>
              <w:spacing w:after="0" w:line="161" w:lineRule="exact"/>
              <w:rPr>
                <w:sz w:val="20"/>
                <w:szCs w:val="20"/>
                <w:color w:val="auto"/>
              </w:rPr>
            </w:pPr>
            <w:r>
              <w:rPr>
                <w:rFonts w:ascii="Arial" w:cs="Arial" w:eastAsia="Arial" w:hAnsi="Arial"/>
                <w:sz w:val="18"/>
                <w:szCs w:val="18"/>
                <w:color w:val="auto"/>
              </w:rPr>
              <w:t>basis</w:t>
            </w:r>
          </w:p>
        </w:tc>
        <w:tc>
          <w:tcPr>
            <w:tcW w:w="14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-1250950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-1233805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-1233805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-1250950</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-1233805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-265430</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-265430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-265430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with a significant portion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government-backed securities and treasuries.</w:t>
      </w:r>
    </w:p>
    <w:p>
      <w:pPr>
        <w:spacing w:after="0" w:line="14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i w:val="1"/>
          <w:iCs w:val="1"/>
          <w:color w:val="auto"/>
        </w:rPr>
        <w:t xml:space="preserve">Interest rate cap contracts </w:t>
      </w:r>
      <w:r>
        <w:rPr>
          <w:rFonts w:ascii="Arial" w:cs="Arial" w:eastAsia="Arial" w:hAnsi="Arial"/>
          <w:sz w:val="17"/>
          <w:szCs w:val="17"/>
          <w:color w:val="auto"/>
        </w:rPr>
        <w:t>— The Company assumed interest rate cap contracts to hedge the variable interest rate under Inmarsat's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secured term loan facilities (see Note 1 — The Company and a Summary of Its Significant Accounting Policies — Derivatives for more information). The Company’s interest rate cap contracts were valued using the forward interest rate curve at each reporting date (Level 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March 31, 2025, the Company’s long-term debt (including current portion) was comprised of (1) $442.6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aggregate principal amount of Viasat's 5.625% Senior Notes due 2025 (the 2025 Notes) (which were redeemed in full subsequent to fiscal</w:t>
      </w:r>
    </w:p>
    <w:p>
      <w:pPr>
        <w:spacing w:after="0" w:line="234" w:lineRule="auto"/>
        <w:rPr>
          <w:sz w:val="20"/>
          <w:szCs w:val="20"/>
          <w:color w:val="auto"/>
        </w:rPr>
      </w:pPr>
      <w:r>
        <w:rPr>
          <w:rFonts w:ascii="Arial" w:cs="Arial" w:eastAsia="Arial" w:hAnsi="Arial"/>
          <w:sz w:val="18"/>
          <w:szCs w:val="18"/>
          <w:color w:val="auto"/>
        </w:rPr>
        <w:t>year end), $600.0 million in aggregate principal amount of Viasat's 5.625% Senior Secured Notes due 2027 (the 2027 Notes), $400.0 million</w:t>
      </w:r>
    </w:p>
    <w:p>
      <w:pPr>
        <w:spacing w:after="0" w:line="235" w:lineRule="auto"/>
        <w:rPr>
          <w:sz w:val="20"/>
          <w:szCs w:val="20"/>
          <w:color w:val="auto"/>
        </w:rPr>
      </w:pPr>
      <w:r>
        <w:rPr>
          <w:rFonts w:ascii="Arial" w:cs="Arial" w:eastAsia="Arial" w:hAnsi="Arial"/>
          <w:sz w:val="18"/>
          <w:szCs w:val="18"/>
          <w:color w:val="auto"/>
        </w:rPr>
        <w:t>in aggregate principal amount of Viasat's 6.500% Senior Notes due 2028 (the 2028 Notes), $1.975 billion in aggregate principal amount of</w:t>
      </w:r>
    </w:p>
    <w:p>
      <w:pPr>
        <w:spacing w:after="0" w:line="235" w:lineRule="auto"/>
        <w:rPr>
          <w:sz w:val="20"/>
          <w:szCs w:val="20"/>
          <w:color w:val="auto"/>
        </w:rPr>
      </w:pPr>
      <w:r>
        <w:rPr>
          <w:rFonts w:ascii="Arial" w:cs="Arial" w:eastAsia="Arial" w:hAnsi="Arial"/>
          <w:sz w:val="18"/>
          <w:szCs w:val="18"/>
          <w:color w:val="auto"/>
        </w:rPr>
        <w:t>Inmarsat's 9.000% Senior Secured Notes due 2029 (the Inmarsat 2029 Notes), and $733.4 million in aggregate principal amount of Viasat’s</w:t>
      </w:r>
    </w:p>
    <w:p>
      <w:pPr>
        <w:spacing w:after="0" w:line="235" w:lineRule="auto"/>
        <w:rPr>
          <w:sz w:val="20"/>
          <w:szCs w:val="20"/>
          <w:color w:val="auto"/>
        </w:rPr>
      </w:pPr>
      <w:r>
        <w:rPr>
          <w:rFonts w:ascii="Arial" w:cs="Arial" w:eastAsia="Arial" w:hAnsi="Arial"/>
          <w:sz w:val="18"/>
          <w:szCs w:val="18"/>
          <w:color w:val="auto"/>
        </w:rPr>
        <w:t>7.500% Senior Notes due 2031 (the 2031 Notes), (2) borrowings under Viasat’s $700.0 million senior secured term loan facility (the 2022</w:t>
      </w:r>
    </w:p>
    <w:p>
      <w:pPr>
        <w:spacing w:after="0" w:line="235" w:lineRule="auto"/>
        <w:rPr>
          <w:sz w:val="20"/>
          <w:szCs w:val="20"/>
          <w:color w:val="auto"/>
        </w:rPr>
      </w:pPr>
      <w:r>
        <w:rPr>
          <w:rFonts w:ascii="Arial" w:cs="Arial" w:eastAsia="Arial" w:hAnsi="Arial"/>
          <w:sz w:val="18"/>
          <w:szCs w:val="18"/>
          <w:color w:val="auto"/>
        </w:rPr>
        <w:t>Term Loan Facility), borrowings under Viasat’s $616.7 million senior secured term loan facility (the 2023 Term Loan Facility), borrowings</w:t>
      </w:r>
    </w:p>
    <w:p>
      <w:pPr>
        <w:spacing w:after="0" w:line="234" w:lineRule="auto"/>
        <w:rPr>
          <w:sz w:val="20"/>
          <w:szCs w:val="20"/>
          <w:color w:val="auto"/>
        </w:rPr>
      </w:pPr>
      <w:r>
        <w:rPr>
          <w:rFonts w:ascii="Arial" w:cs="Arial" w:eastAsia="Arial" w:hAnsi="Arial"/>
          <w:sz w:val="18"/>
          <w:szCs w:val="18"/>
          <w:color w:val="auto"/>
        </w:rPr>
        <w:t>under the 2024 Inmarsat Term Loan Facility, borrowings under Inmarsat’s original senior secured term loan facility (the Original Inmarsat</w:t>
      </w:r>
    </w:p>
    <w:p>
      <w:pPr>
        <w:spacing w:after="0" w:line="235" w:lineRule="auto"/>
        <w:rPr>
          <w:sz w:val="20"/>
          <w:szCs w:val="20"/>
          <w:color w:val="auto"/>
        </w:rPr>
      </w:pPr>
      <w:r>
        <w:rPr>
          <w:rFonts w:ascii="Arial" w:cs="Arial" w:eastAsia="Arial" w:hAnsi="Arial"/>
          <w:sz w:val="18"/>
          <w:szCs w:val="18"/>
          <w:color w:val="auto"/>
        </w:rPr>
        <w:t>Term Loan Facility and, together with the 2024 Inmarsat Term Loan Facility, the Inmarsat Term Loan Facilities) and borrowings under</w:t>
      </w:r>
    </w:p>
    <w:p>
      <w:pPr>
        <w:spacing w:after="0" w:line="235" w:lineRule="auto"/>
        <w:rPr>
          <w:sz w:val="20"/>
          <w:szCs w:val="20"/>
          <w:color w:val="auto"/>
        </w:rPr>
      </w:pPr>
      <w:r>
        <w:rPr>
          <w:rFonts w:ascii="Arial" w:cs="Arial" w:eastAsia="Arial" w:hAnsi="Arial"/>
          <w:sz w:val="18"/>
          <w:szCs w:val="18"/>
          <w:color w:val="auto"/>
        </w:rPr>
        <w:t>Viasat’s direct loan facility with the Export-Import Bank of the United States (the Ex-Im Credit Facility), and (3) finance lease obligations</w:t>
      </w:r>
    </w:p>
    <w:p>
      <w:pPr>
        <w:spacing w:after="0" w:line="235" w:lineRule="auto"/>
        <w:rPr>
          <w:sz w:val="20"/>
          <w:szCs w:val="20"/>
          <w:color w:val="auto"/>
        </w:rPr>
      </w:pPr>
      <w:r>
        <w:rPr>
          <w:rFonts w:ascii="Arial" w:cs="Arial" w:eastAsia="Arial" w:hAnsi="Arial"/>
          <w:sz w:val="18"/>
          <w:szCs w:val="18"/>
          <w:color w:val="auto"/>
        </w:rPr>
        <w:t>reported at the present value of future minimum lease payments with current accrued interest. Long-term debt related to the Revolving Credit</w:t>
      </w:r>
    </w:p>
    <w:p>
      <w:pPr>
        <w:spacing w:after="0" w:line="235" w:lineRule="auto"/>
        <w:rPr>
          <w:sz w:val="20"/>
          <w:szCs w:val="20"/>
          <w:color w:val="auto"/>
        </w:rPr>
      </w:pPr>
      <w:r>
        <w:rPr>
          <w:rFonts w:ascii="Arial" w:cs="Arial" w:eastAsia="Arial" w:hAnsi="Arial"/>
          <w:sz w:val="18"/>
          <w:szCs w:val="18"/>
          <w:color w:val="auto"/>
        </w:rPr>
        <w:t>Facilities is reported at the outstanding principal amount of borrowings, while long-term debt related to the Company's other Credit Facilities</w:t>
      </w:r>
    </w:p>
    <w:p>
      <w:pPr>
        <w:spacing w:after="0" w:line="234" w:lineRule="auto"/>
        <w:rPr>
          <w:sz w:val="20"/>
          <w:szCs w:val="20"/>
          <w:color w:val="auto"/>
        </w:rPr>
      </w:pPr>
      <w:r>
        <w:rPr>
          <w:rFonts w:ascii="Arial" w:cs="Arial" w:eastAsia="Arial" w:hAnsi="Arial"/>
          <w:sz w:val="18"/>
          <w:szCs w:val="18"/>
          <w:color w:val="auto"/>
        </w:rPr>
        <w:t>and the Notes is reported at amortized cost. However, for disclosure purposes, the Company is required to measure the fair value of</w:t>
      </w:r>
    </w:p>
    <w:p>
      <w:pPr>
        <w:spacing w:after="0" w:line="235" w:lineRule="auto"/>
        <w:rPr>
          <w:sz w:val="20"/>
          <w:szCs w:val="20"/>
          <w:color w:val="auto"/>
        </w:rPr>
      </w:pPr>
      <w:r>
        <w:rPr>
          <w:rFonts w:ascii="Arial" w:cs="Arial" w:eastAsia="Arial" w:hAnsi="Arial"/>
          <w:sz w:val="18"/>
          <w:szCs w:val="18"/>
          <w:color w:val="auto"/>
        </w:rPr>
        <w:t>outstanding debt on a recurring basis. The fair value of the Company’s long-term debt related to the Company's variable rate Credit Facilities</w:t>
      </w:r>
    </w:p>
    <w:p>
      <w:pPr>
        <w:spacing w:after="0" w:line="235" w:lineRule="auto"/>
        <w:rPr>
          <w:sz w:val="20"/>
          <w:szCs w:val="20"/>
          <w:color w:val="auto"/>
        </w:rPr>
      </w:pPr>
      <w:r>
        <w:rPr>
          <w:rFonts w:ascii="Arial" w:cs="Arial" w:eastAsia="Arial" w:hAnsi="Arial"/>
          <w:sz w:val="18"/>
          <w:szCs w:val="18"/>
          <w:color w:val="auto"/>
        </w:rPr>
        <w:t>approximates its carrying amount due to its variable interest rate, which approximates a market interest rate. As of March 31, 2025 and 2024,</w:t>
      </w:r>
    </w:p>
    <w:p>
      <w:pPr>
        <w:spacing w:after="0" w:line="235" w:lineRule="auto"/>
        <w:rPr>
          <w:sz w:val="20"/>
          <w:szCs w:val="20"/>
          <w:color w:val="auto"/>
        </w:rPr>
      </w:pPr>
      <w:r>
        <w:rPr>
          <w:rFonts w:ascii="Arial" w:cs="Arial" w:eastAsia="Arial" w:hAnsi="Arial"/>
          <w:sz w:val="18"/>
          <w:szCs w:val="18"/>
          <w:color w:val="auto"/>
        </w:rPr>
        <w:t>the fair value of the Company’s long-term debt related to the Ex-Im Credit Facility was Level 2 and was approximately $19.2 million and</w:t>
      </w:r>
    </w:p>
    <w:p>
      <w:pPr>
        <w:spacing w:after="0" w:line="235" w:lineRule="auto"/>
        <w:rPr>
          <w:sz w:val="20"/>
          <w:szCs w:val="20"/>
          <w:color w:val="auto"/>
        </w:rPr>
      </w:pPr>
      <w:r>
        <w:rPr>
          <w:rFonts w:ascii="Arial" w:cs="Arial" w:eastAsia="Arial" w:hAnsi="Arial"/>
          <w:sz w:val="18"/>
          <w:szCs w:val="18"/>
          <w:color w:val="auto"/>
        </w:rPr>
        <w:t>$38.5 million, respectively. As of March 31, 2025 and 2024, the estimated fair value of the Company’s outstanding long-term debt related to</w:t>
      </w:r>
    </w:p>
    <w:p>
      <w:pPr>
        <w:spacing w:after="0" w:line="234" w:lineRule="auto"/>
        <w:rPr>
          <w:sz w:val="20"/>
          <w:szCs w:val="20"/>
          <w:color w:val="auto"/>
        </w:rPr>
      </w:pPr>
      <w:r>
        <w:rPr>
          <w:rFonts w:ascii="Arial" w:cs="Arial" w:eastAsia="Arial" w:hAnsi="Arial"/>
          <w:sz w:val="18"/>
          <w:szCs w:val="18"/>
          <w:color w:val="auto"/>
        </w:rPr>
        <w:t>each series of Notes was Level 2 and was $438.6 million and $680.8 million, respectively, for the 2025 Notes, $575.0 million and $564.0</w:t>
      </w:r>
    </w:p>
    <w:p>
      <w:pPr>
        <w:spacing w:after="0" w:line="235" w:lineRule="auto"/>
        <w:rPr>
          <w:sz w:val="20"/>
          <w:szCs w:val="20"/>
          <w:color w:val="auto"/>
        </w:rPr>
      </w:pPr>
      <w:r>
        <w:rPr>
          <w:rFonts w:ascii="Arial" w:cs="Arial" w:eastAsia="Arial" w:hAnsi="Arial"/>
          <w:sz w:val="18"/>
          <w:szCs w:val="18"/>
          <w:color w:val="auto"/>
        </w:rPr>
        <w:t>million, respectively, for the 2027 Notes, $350.0 million and $307.5 million, respectively, for the 2028 Notes, and $552.8 million and $529.9</w:t>
      </w:r>
    </w:p>
    <w:p>
      <w:pPr>
        <w:spacing w:after="0" w:line="235" w:lineRule="auto"/>
        <w:rPr>
          <w:sz w:val="20"/>
          <w:szCs w:val="20"/>
          <w:color w:val="auto"/>
        </w:rPr>
      </w:pPr>
      <w:r>
        <w:rPr>
          <w:rFonts w:ascii="Arial" w:cs="Arial" w:eastAsia="Arial" w:hAnsi="Arial"/>
          <w:sz w:val="18"/>
          <w:szCs w:val="18"/>
          <w:color w:val="auto"/>
        </w:rPr>
        <w:t>million, respectively, for the 2031 Notes. As of March 31, 2025, the estimated fair value of Inmarsat 2029 Notes was Level 2 and was $1.82</w:t>
      </w:r>
    </w:p>
    <w:p>
      <w:pPr>
        <w:spacing w:after="0" w:line="235" w:lineRule="auto"/>
        <w:rPr>
          <w:sz w:val="20"/>
          <w:szCs w:val="20"/>
          <w:color w:val="auto"/>
        </w:rPr>
      </w:pPr>
      <w:r>
        <w:rPr>
          <w:rFonts w:ascii="Arial" w:cs="Arial" w:eastAsia="Arial" w:hAnsi="Arial"/>
          <w:sz w:val="18"/>
          <w:szCs w:val="18"/>
          <w:color w:val="auto"/>
        </w:rPr>
        <w:t>billion. As of March 31, 2024, the estimated fair value of Inmarsat's 6.750% Senior Secured Notes due 2026 (the Inmarsat 2026 Notes) was</w:t>
      </w:r>
    </w:p>
    <w:p>
      <w:pPr>
        <w:spacing w:after="0"/>
        <w:rPr>
          <w:sz w:val="20"/>
          <w:szCs w:val="20"/>
          <w:color w:val="auto"/>
        </w:rPr>
      </w:pPr>
      <w:r>
        <w:rPr>
          <w:rFonts w:ascii="Arial" w:cs="Arial" w:eastAsia="Arial" w:hAnsi="Arial"/>
          <w:sz w:val="18"/>
          <w:szCs w:val="18"/>
          <w:color w:val="auto"/>
        </w:rPr>
        <w:t>Level 2 and was $2.04 billion. The Inmarsat 2026 Notes were repurchased and redeemed in full during fiscal year 2025.</w:t>
      </w:r>
    </w:p>
    <w:p>
      <w:pPr>
        <w:spacing w:after="0" w:line="140"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2025 and 2024, the Company’s estimated satellite performance incentive obligations relating to certain satellites in commercial service, including accrued interest, were $11.4 million and $15.9 million, respectively.</w:t>
      </w:r>
    </w:p>
    <w:p>
      <w:pPr>
        <w:spacing w:after="0" w:line="126" w:lineRule="exact"/>
        <w:rPr>
          <w:sz w:val="20"/>
          <w:szCs w:val="20"/>
          <w:color w:val="auto"/>
        </w:rPr>
      </w:pPr>
    </w:p>
    <w:p>
      <w:pPr>
        <w:ind w:right="80" w:firstLine="509"/>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Euro Broadband Infrastructure Sàrl (EBI)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consolidated statements of operations and comprehensive income (loss). 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 For both fiscal years 2024 and 2023, the change in fair value of the contingent consideration was immaterial.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w:t>
      </w:r>
    </w:p>
    <w:p>
      <w:pPr>
        <w:spacing w:after="0" w:line="7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May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goodwill of $1.5 billion which was recognized in the Company's communication services segment. The goodwill recognized was not deductible for U.S. and foreign income tax purposes.</w:t>
      </w:r>
    </w:p>
    <w:p>
      <w:pPr>
        <w:spacing w:after="0" w:line="4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consideration transferred of approximately $2.7 billion was comprised of $2.1 billion of the fair value of approximately 46.36 million shares of the Company’s common stock issued at the closing of the transaction and $550.7 million in cash consideration. In connection with the Inmarsat Acquisition, the Company recorded acquisition-related transaction costs of zero, $31.3 million and $40.4 million during fiscal years 2025, 2024 and 2023, respectively, included in selling, general and administrative expenses.</w:t>
      </w:r>
    </w:p>
    <w:p>
      <w:pPr>
        <w:spacing w:after="0" w:line="120"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purchase price allocation of the acquired assets and assumed liabilities in the Inmarsat Acquisition based on the estimated fair values as of May 30, 2023, adjusted since the closing of the Inmarsat Acquisition, primarily between property, equipment and satellites, identifiable intangible assets, deferred tax liabilities and goodwill,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r>
      <w:tr>
        <w:trPr>
          <w:trHeight w:val="196"/>
        </w:trPr>
        <w:tc>
          <w:tcPr>
            <w:tcW w:w="9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assets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641,893</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Property, equipment and satellites</w:t>
            </w:r>
          </w:p>
        </w:tc>
        <w:tc>
          <w:tcPr>
            <w:tcW w:w="280" w:type="dxa"/>
            <w:vAlign w:val="bottom"/>
          </w:tcPr>
          <w:p>
            <w:pPr>
              <w:spacing w:after="0"/>
              <w:rPr>
                <w:sz w:val="17"/>
                <w:szCs w:val="17"/>
                <w:color w:val="auto"/>
              </w:rPr>
            </w:pPr>
          </w:p>
        </w:tc>
        <w:tc>
          <w:tcPr>
            <w:tcW w:w="1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4,363,049</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2,570,000</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388,745</w:t>
            </w:r>
          </w:p>
        </w:tc>
        <w:tc>
          <w:tcPr>
            <w:tcW w:w="120" w:type="dxa"/>
            <w:vAlign w:val="bottom"/>
          </w:tcPr>
          <w:p>
            <w:pPr>
              <w:spacing w:after="0"/>
              <w:rPr>
                <w:sz w:val="17"/>
                <w:szCs w:val="17"/>
                <w:color w:val="auto"/>
              </w:rPr>
            </w:pPr>
          </w:p>
        </w:tc>
      </w:tr>
      <w:tr>
        <w:trPr>
          <w:trHeight w:val="196"/>
        </w:trPr>
        <w:tc>
          <w:tcPr>
            <w:tcW w:w="92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assets acquired</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7,963,687</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7"/>
                <w:szCs w:val="17"/>
                <w:color w:val="auto"/>
              </w:rPr>
            </w:pP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(598,296)</w:t>
            </w:r>
          </w:p>
        </w:tc>
      </w:tr>
      <w:tr>
        <w:trPr>
          <w:trHeight w:val="203"/>
        </w:trPr>
        <w:tc>
          <w:tcPr>
            <w:tcW w:w="9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 excluding short-term portion</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(3,519,774)</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7"/>
                <w:szCs w:val="17"/>
                <w:color w:val="auto"/>
              </w:rPr>
            </w:pPr>
          </w:p>
        </w:tc>
        <w:tc>
          <w:tcPr>
            <w:tcW w:w="1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(2,629,406)</w:t>
            </w:r>
          </w:p>
        </w:tc>
      </w:tr>
      <w:tr>
        <w:trPr>
          <w:trHeight w:val="20"/>
        </w:trPr>
        <w:tc>
          <w:tcPr>
            <w:tcW w:w="9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2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liabilities assumed</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(6,747,476)</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1,462,881</w:t>
            </w:r>
          </w:p>
        </w:tc>
        <w:tc>
          <w:tcPr>
            <w:tcW w:w="120" w:type="dxa"/>
            <w:vAlign w:val="bottom"/>
          </w:tcPr>
          <w:p>
            <w:pPr>
              <w:spacing w:after="0"/>
              <w:rPr>
                <w:sz w:val="17"/>
                <w:szCs w:val="17"/>
                <w:color w:val="auto"/>
              </w:rPr>
            </w:pPr>
          </w:p>
        </w:tc>
      </w:tr>
      <w:tr>
        <w:trPr>
          <w:trHeight w:val="236"/>
        </w:trPr>
        <w:tc>
          <w:tcPr>
            <w:tcW w:w="9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consideration transferred</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2,679,092</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Current liabilities and other long-term liabilities include approximately $29.6 million and $248.3 million, respectively, of unfavorable contract liabilities amortized into service revenue over a weighted average estimated useful life of approximately nine years. Amounts assigned to identifiable intangible assets are being amortized on a straight-line basis over their determined useful lives (which approximates the economic pattern of benefit) and are as follows as of May 30,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Pr>
          <w:p>
            <w:pPr>
              <w:jc w:val="right"/>
              <w:ind w:right="875"/>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3100" w:type="dxa"/>
            <w:vAlign w:val="bottom"/>
            <w:gridSpan w:val="2"/>
          </w:tcPr>
          <w:p>
            <w:pPr>
              <w:ind w:left="480"/>
              <w:spacing w:after="0"/>
              <w:rPr>
                <w:sz w:val="20"/>
                <w:szCs w:val="20"/>
                <w:color w:val="auto"/>
              </w:rPr>
            </w:pPr>
            <w:r>
              <w:rPr>
                <w:rFonts w:ascii="Arial" w:cs="Arial" w:eastAsia="Arial" w:hAnsi="Arial"/>
                <w:sz w:val="14"/>
                <w:szCs w:val="14"/>
                <w:b w:val="1"/>
                <w:bCs w:val="1"/>
                <w:color w:val="auto"/>
              </w:rPr>
              <w:t>Weighted Average Useful Life</w:t>
            </w:r>
          </w:p>
        </w:tc>
      </w:tr>
      <w:tr>
        <w:trPr>
          <w:trHeight w:val="178"/>
        </w:trPr>
        <w:tc>
          <w:tcPr>
            <w:tcW w:w="4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30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5"/>
                <w:szCs w:val="15"/>
                <w:color w:val="auto"/>
              </w:rPr>
            </w:pPr>
          </w:p>
        </w:tc>
      </w:tr>
      <w:tr>
        <w:trPr>
          <w:trHeight w:val="196"/>
        </w:trPr>
        <w:tc>
          <w:tcPr>
            <w:tcW w:w="4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Orbital slots and spectrum assets</w:t>
            </w:r>
          </w:p>
        </w:tc>
        <w:tc>
          <w:tcPr>
            <w:tcW w:w="176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2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1,080,000</w:t>
            </w:r>
          </w:p>
        </w:tc>
        <w:tc>
          <w:tcPr>
            <w:tcW w:w="3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40" w:type="dxa"/>
            <w:vAlign w:val="bottom"/>
          </w:tcPr>
          <w:p>
            <w:pPr>
              <w:jc w:val="right"/>
              <w:spacing w:after="0" w:line="202" w:lineRule="exact"/>
              <w:rPr>
                <w:sz w:val="20"/>
                <w:szCs w:val="20"/>
                <w:color w:val="auto"/>
              </w:rPr>
            </w:pPr>
            <w:r>
              <w:rPr>
                <w:rFonts w:ascii="Arial" w:cs="Arial" w:eastAsia="Arial" w:hAnsi="Arial"/>
                <w:sz w:val="18"/>
                <w:szCs w:val="18"/>
                <w:color w:val="auto"/>
              </w:rPr>
              <w:t>1,305,000</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r>
      <w:tr>
        <w:trPr>
          <w:trHeight w:val="203"/>
        </w:trPr>
        <w:tc>
          <w:tcPr>
            <w:tcW w:w="4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Technology</w:t>
            </w: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3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13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85,000</w:t>
            </w:r>
          </w:p>
        </w:tc>
        <w:tc>
          <w:tcPr>
            <w:tcW w:w="3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r>
      <w:tr>
        <w:trPr>
          <w:trHeight w:val="236"/>
        </w:trPr>
        <w:tc>
          <w:tcPr>
            <w:tcW w:w="4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identifiable intangible assets</w:t>
            </w:r>
          </w:p>
        </w:tc>
        <w:tc>
          <w:tcPr>
            <w:tcW w:w="1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2,570,000</w:t>
            </w:r>
          </w:p>
        </w:tc>
        <w:tc>
          <w:tcPr>
            <w:tcW w:w="32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460" w:firstLine="509"/>
        <w:spacing w:after="0" w:line="298" w:lineRule="auto"/>
        <w:rPr>
          <w:sz w:val="20"/>
          <w:szCs w:val="20"/>
          <w:color w:val="auto"/>
        </w:rPr>
      </w:pPr>
      <w:r>
        <w:rPr>
          <w:rFonts w:ascii="Arial" w:cs="Arial" w:eastAsia="Arial" w:hAnsi="Arial"/>
          <w:sz w:val="17"/>
          <w:szCs w:val="17"/>
          <w:color w:val="auto"/>
        </w:rPr>
        <w:t>The intangible assets acquired in the Inmarsat Acquisition were determined in accordance with ASC 805, based on estimated fair values using valuation techniques consistent with the market approach, income approach and/or cost approach to measure fair value.</w:t>
      </w:r>
    </w:p>
    <w:p>
      <w:pPr>
        <w:spacing w:after="0" w:line="1"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The consolidated financial statements include the operating results of Inmarsat from the date of acquisition. The Company recorded approximately $1.4 billion in revenue and $214.6 million of net loss during fiscal year 2024 from the Inmarsat business following the acquisition date, which were recorded in the Company's communication services segment in the consolidated statements of operations and comprehensive income (loss).</w:t>
      </w:r>
    </w:p>
    <w:p>
      <w:pPr>
        <w:spacing w:after="0" w:line="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November 2023, as a part of an important milestone in the Company’s integration program following the Inmarsat Acquisition and as part of the Company’s ongoing strategy to streamline operations and better serve the Company’s growing customer base, the Company completed work on the rationalization of roles in the Company’s global business, which was intended to achieve both operational and cost efficiencies. As part of the role rationalization, the Company reduced its global workforce and recorded total costs (primarily related to employee severance payments, benefits and related termination costs) of approximately $48 million during fiscal year 2024. These one-time costs were recorded within operating expenses in the Company’s consolidated statements of operations and comprehensive income (loss) in both of the Company’s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 The pro forma financial information for fiscal year 2024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jc w:val="center"/>
              <w:ind w:right="156"/>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4"/>
                <w:szCs w:val="14"/>
                <w:color w:val="auto"/>
              </w:rPr>
            </w:pPr>
          </w:p>
        </w:tc>
      </w:tr>
      <w:tr>
        <w:trPr>
          <w:trHeight w:val="183"/>
        </w:trPr>
        <w:tc>
          <w:tcPr>
            <w:tcW w:w="7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5"/>
                <w:szCs w:val="15"/>
                <w:color w:val="auto"/>
              </w:rPr>
            </w:pPr>
          </w:p>
        </w:tc>
      </w:tr>
      <w:tr>
        <w:trPr>
          <w:trHeight w:val="196"/>
        </w:trPr>
        <w:tc>
          <w:tcPr>
            <w:tcW w:w="7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4,565,433</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4,176,091</w:t>
            </w:r>
          </w:p>
        </w:tc>
        <w:tc>
          <w:tcPr>
            <w:tcW w:w="100" w:type="dxa"/>
            <w:vAlign w:val="bottom"/>
            <w:shd w:val="clear" w:color="auto" w:fill="CFF0FC"/>
          </w:tcPr>
          <w:p>
            <w:pPr>
              <w:spacing w:after="0"/>
              <w:rPr>
                <w:sz w:val="17"/>
                <w:szCs w:val="17"/>
                <w:color w:val="auto"/>
              </w:rPr>
            </w:pPr>
          </w:p>
        </w:tc>
      </w:tr>
      <w:tr>
        <w:trPr>
          <w:trHeight w:val="239"/>
        </w:trPr>
        <w:tc>
          <w:tcPr>
            <w:tcW w:w="754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(1,014,047)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896,887</w:t>
            </w:r>
          </w:p>
        </w:tc>
        <w:tc>
          <w:tcPr>
            <w:tcW w:w="100" w:type="dxa"/>
            <w:vAlign w:val="bottom"/>
          </w:tcPr>
          <w:p>
            <w:pPr>
              <w:spacing w:after="0"/>
              <w:rPr>
                <w:sz w:val="20"/>
                <w:szCs w:val="20"/>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Discontinued Operations</w:t>
      </w:r>
    </w:p>
    <w:p>
      <w:pPr>
        <w:spacing w:after="0" w:line="77"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On October 1, 2022, the Company entered into an Asset Purchase Agreement to sell the Link-16 TDL Business in its defense and advanced technologies segment to L3Harris in exchange for approximately $1.96 billion in cash, subject to adjustments. In accordance with ASC 205-20, the Company determined that the Link-16 TDL Business met held-for sale and discontinued operations accounting criteria at the end of the second quarter of fiscal year 2023. On January 3, 2023, the Company completed the Link-16 TDL Sale. Accordingly, the Company classified the results of the Link-16 TDL Business as discontinued operations in its consolidated statements of operations for the fiscal year ended March 31, 2023.</w:t>
      </w:r>
    </w:p>
    <w:p>
      <w:pPr>
        <w:spacing w:after="0" w:line="125"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Upon completion of the Link-16 TDL Sale, the Company recorded a gain of approximately $1.66 billion (net of costs to sell of $40.8 million) in the fourth quarter of fiscal year 2023 within net income (loss) from discontinued operations, net of tax in the consolidated statements of operations and comprehensive income (loss) for fiscal year 2023. The Link-16 TDL Sale substantially reduced both debt and net leverage, and allowed closer alignment in investment synergies across the Company's business.</w:t>
      </w:r>
    </w:p>
    <w:p>
      <w:pPr>
        <w:spacing w:after="0" w:line="120"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consolidated financial statements was not significant.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operating results of the discontinued operations only reflect revenues and expenses that are directly attributable to the Link-16 TDL Business that have been eliminated from continuing operations. The following table presents key components of “Net income (loss) from discontinued operations, net of tax” for the fiscal years ended March 31,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Years Ended</w:t>
            </w:r>
          </w:p>
        </w:tc>
        <w:tc>
          <w:tcPr>
            <w:tcW w:w="1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65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3"/>
                <w:szCs w:val="13"/>
                <w:color w:val="auto"/>
              </w:rPr>
            </w:pPr>
          </w:p>
        </w:tc>
      </w:tr>
      <w:tr>
        <w:trPr>
          <w:trHeight w:val="155"/>
        </w:trPr>
        <w:tc>
          <w:tcPr>
            <w:tcW w:w="6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w w:val="82"/>
              </w:rPr>
              <w:t>thousands)</w:t>
            </w: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3"/>
        </w:trPr>
        <w:tc>
          <w:tcPr>
            <w:tcW w:w="6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247,069</w:t>
            </w:r>
          </w:p>
        </w:tc>
        <w:tc>
          <w:tcPr>
            <w:tcW w:w="28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5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spacing w:after="0"/>
              <w:rPr>
                <w:sz w:val="17"/>
                <w:szCs w:val="17"/>
                <w:color w:val="auto"/>
              </w:rPr>
            </w:pPr>
          </w:p>
        </w:tc>
        <w:tc>
          <w:tcPr>
            <w:tcW w:w="206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157,355</w:t>
            </w:r>
          </w:p>
        </w:tc>
        <w:tc>
          <w:tcPr>
            <w:tcW w:w="280" w:type="dxa"/>
            <w:vAlign w:val="bottom"/>
            <w:shd w:val="clear" w:color="auto" w:fill="CFF0FC"/>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24,062</w:t>
            </w:r>
          </w:p>
        </w:tc>
        <w:tc>
          <w:tcPr>
            <w:tcW w:w="28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(loss) from discontinued operations before income taxes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FF0FC"/>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65,652</w:t>
            </w:r>
          </w:p>
        </w:tc>
        <w:tc>
          <w:tcPr>
            <w:tcW w:w="280" w:type="dxa"/>
            <w:vAlign w:val="bottom"/>
            <w:shd w:val="clear" w:color="auto" w:fill="CFF0FC"/>
          </w:tcPr>
          <w:p>
            <w:pPr>
              <w:spacing w:after="0"/>
              <w:rPr>
                <w:sz w:val="17"/>
                <w:szCs w:val="17"/>
                <w:color w:val="auto"/>
              </w:rPr>
            </w:pPr>
          </w:p>
        </w:tc>
      </w:tr>
      <w:tr>
        <w:trPr>
          <w:trHeight w:val="184"/>
        </w:trPr>
        <w:tc>
          <w:tcPr>
            <w:tcW w:w="6540" w:type="dxa"/>
            <w:vAlign w:val="bottom"/>
          </w:tcPr>
          <w:p>
            <w:pPr>
              <w:spacing w:after="0" w:line="183" w:lineRule="exact"/>
              <w:rPr>
                <w:sz w:val="20"/>
                <w:szCs w:val="20"/>
                <w:color w:val="auto"/>
              </w:rPr>
            </w:pPr>
            <w:r>
              <w:rPr>
                <w:rFonts w:ascii="Arial" w:cs="Arial" w:eastAsia="Arial" w:hAnsi="Arial"/>
                <w:sz w:val="18"/>
                <w:szCs w:val="18"/>
                <w:color w:val="auto"/>
              </w:rPr>
              <w:t>Gain (loss) on disposal of discontinued operations before income taxes, net of</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21"/>
        </w:trPr>
        <w:tc>
          <w:tcPr>
            <w:tcW w:w="6540" w:type="dxa"/>
            <w:vAlign w:val="bottom"/>
          </w:tcPr>
          <w:p>
            <w:pPr>
              <w:spacing w:after="0"/>
              <w:rPr>
                <w:sz w:val="20"/>
                <w:szCs w:val="20"/>
                <w:color w:val="auto"/>
              </w:rPr>
            </w:pPr>
            <w:r>
              <w:rPr>
                <w:rFonts w:ascii="Arial" w:cs="Arial" w:eastAsia="Arial" w:hAnsi="Arial"/>
                <w:sz w:val="18"/>
                <w:szCs w:val="18"/>
                <w:color w:val="auto"/>
              </w:rPr>
              <w:t>costs to sell</w:t>
            </w:r>
          </w:p>
        </w:tc>
        <w:tc>
          <w:tcPr>
            <w:tcW w:w="300" w:type="dxa"/>
            <w:vAlign w:val="bottom"/>
          </w:tcPr>
          <w:p>
            <w:pPr>
              <w:spacing w:after="0"/>
              <w:rPr>
                <w:sz w:val="19"/>
                <w:szCs w:val="19"/>
                <w:color w:val="auto"/>
              </w:rPr>
            </w:pPr>
          </w:p>
        </w:tc>
        <w:tc>
          <w:tcPr>
            <w:tcW w:w="2060" w:type="dxa"/>
            <w:vAlign w:val="bottom"/>
            <w:gridSpan w:val="2"/>
          </w:tcPr>
          <w:p>
            <w:pPr>
              <w:jc w:val="right"/>
              <w:ind w:right="168"/>
              <w:spacing w:after="0"/>
              <w:rPr>
                <w:sz w:val="20"/>
                <w:szCs w:val="20"/>
                <w:color w:val="auto"/>
              </w:rPr>
            </w:pPr>
            <w:r>
              <w:rPr>
                <w:rFonts w:ascii="Arial" w:cs="Arial" w:eastAsia="Arial" w:hAnsi="Arial"/>
                <w:sz w:val="18"/>
                <w:szCs w:val="18"/>
                <w:color w:val="auto"/>
              </w:rPr>
              <w:t>(11,000)</w:t>
            </w:r>
          </w:p>
        </w:tc>
        <w:tc>
          <w:tcPr>
            <w:tcW w:w="5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1,661,891</w:t>
            </w:r>
          </w:p>
        </w:tc>
        <w:tc>
          <w:tcPr>
            <w:tcW w:w="280" w:type="dxa"/>
            <w:vAlign w:val="bottom"/>
          </w:tcPr>
          <w:p>
            <w:pPr>
              <w:spacing w:after="0"/>
              <w:rPr>
                <w:sz w:val="19"/>
                <w:szCs w:val="19"/>
                <w:color w:val="auto"/>
              </w:rPr>
            </w:pPr>
          </w:p>
        </w:tc>
      </w:tr>
      <w:tr>
        <w:trPr>
          <w:trHeight w:val="202"/>
        </w:trPr>
        <w:tc>
          <w:tcPr>
            <w:tcW w:w="6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FF0FC"/>
          </w:tcPr>
          <w:p>
            <w:pPr>
              <w:spacing w:after="0"/>
              <w:rPr>
                <w:sz w:val="17"/>
                <w:szCs w:val="17"/>
                <w:color w:val="auto"/>
              </w:rPr>
            </w:pPr>
          </w:p>
        </w:tc>
        <w:tc>
          <w:tcPr>
            <w:tcW w:w="1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578</w:t>
            </w:r>
          </w:p>
        </w:tc>
        <w:tc>
          <w:tcPr>
            <w:tcW w:w="3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(425,156)</w:t>
            </w:r>
          </w:p>
        </w:tc>
      </w:tr>
      <w:tr>
        <w:trPr>
          <w:trHeight w:val="20"/>
        </w:trPr>
        <w:tc>
          <w:tcPr>
            <w:tcW w:w="65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Net income (loss) from discontinued operations, net of tax</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2060" w:type="dxa"/>
            <w:vAlign w:val="bottom"/>
            <w:gridSpan w:val="2"/>
          </w:tcPr>
          <w:p>
            <w:pPr>
              <w:jc w:val="right"/>
              <w:ind w:right="168"/>
              <w:spacing w:after="0" w:line="196" w:lineRule="exact"/>
              <w:rPr>
                <w:sz w:val="20"/>
                <w:szCs w:val="20"/>
                <w:color w:val="auto"/>
              </w:rPr>
            </w:pPr>
            <w:r>
              <w:rPr>
                <w:rFonts w:ascii="Arial" w:cs="Arial" w:eastAsia="Arial" w:hAnsi="Arial"/>
                <w:sz w:val="18"/>
                <w:szCs w:val="18"/>
                <w:color w:val="auto"/>
              </w:rPr>
              <w:t>(10,422)</w:t>
            </w:r>
          </w:p>
        </w:tc>
        <w:tc>
          <w:tcPr>
            <w:tcW w:w="50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1,302,387</w:t>
            </w:r>
          </w:p>
        </w:tc>
        <w:tc>
          <w:tcPr>
            <w:tcW w:w="28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-162560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-162560</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cash flows related to discontinued operations have not been segregated and are included in the consolidated statements of cash flows. The following table presents key cash flow and non-cash information related to discontinued operations for the fiscal year ended March 31, 2023:</w:t>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Fiscal Year Ended</w:t>
            </w: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w:t>
            </w:r>
          </w:p>
        </w:tc>
        <w:tc>
          <w:tcPr>
            <w:tcW w:w="33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5,909</w:t>
            </w:r>
          </w:p>
        </w:tc>
        <w:tc>
          <w:tcPr>
            <w:tcW w:w="10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3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Capital expenditures</w:t>
            </w:r>
          </w:p>
        </w:tc>
        <w:tc>
          <w:tcPr>
            <w:tcW w:w="3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10,950</w:t>
            </w:r>
          </w:p>
        </w:tc>
        <w:tc>
          <w:tcPr>
            <w:tcW w:w="100" w:type="dxa"/>
            <w:vAlign w:val="bottom"/>
            <w:shd w:val="clear" w:color="auto" w:fill="CFF0FC"/>
          </w:tcPr>
          <w:p>
            <w:pPr>
              <w:spacing w:after="0"/>
              <w:rPr>
                <w:sz w:val="17"/>
                <w:szCs w:val="17"/>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7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fiscal year 2025, the Company’s goodwill remained flat. During fiscal year 2024, the increase in the Company’s goodwill was primarily related to the Inmarsat Acquisition (see Note 4 — Acquisition for more information) and foreign currency translation effects recorded within both of the Company's segments.</w:t>
      </w:r>
    </w:p>
    <w:p>
      <w:pPr>
        <w:spacing w:after="0" w:line="11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12 years (which approximates the economic pattern of benefit). Amortization expense related to other acquired intangible assets was $263.9 million, $227.2 million and $29.8 million for fiscal years 2025, 2024 and 2023, respectively.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and the related accumulated amortization as of March 31, 2025 and 2024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26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Weighted</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 March 31, 2025</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As of March 31, 2024</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2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980" w:type="dxa"/>
            <w:vAlign w:val="bottom"/>
            <w:gridSpan w:val="2"/>
            <w:vMerge w:val="restart"/>
          </w:tcPr>
          <w:p>
            <w:pPr>
              <w:jc w:val="right"/>
              <w:ind w:right="293"/>
              <w:spacing w:after="0"/>
              <w:rPr>
                <w:sz w:val="20"/>
                <w:szCs w:val="20"/>
                <w:color w:val="auto"/>
              </w:rPr>
            </w:pPr>
            <w:r>
              <w:rPr>
                <w:rFonts w:ascii="Arial" w:cs="Arial" w:eastAsia="Arial" w:hAnsi="Arial"/>
                <w:sz w:val="13"/>
                <w:szCs w:val="13"/>
                <w:b w:val="1"/>
                <w:bCs w:val="1"/>
                <w:color w:val="auto"/>
              </w:rPr>
              <w:t>Net Book</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2"/>
                <w:szCs w:val="12"/>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Useful Life</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rPr>
              <w:t>(In years)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0"/>
              <w:spacing w:after="0" w:line="142" w:lineRule="exact"/>
              <w:rPr>
                <w:sz w:val="20"/>
                <w:szCs w:val="20"/>
                <w:color w:val="auto"/>
              </w:rPr>
            </w:pPr>
            <w:r>
              <w:rPr>
                <w:rFonts w:ascii="Arial" w:cs="Arial" w:eastAsia="Arial" w:hAnsi="Arial"/>
                <w:sz w:val="13"/>
                <w:szCs w:val="13"/>
                <w:b w:val="1"/>
                <w:bCs w:val="1"/>
                <w:color w:val="auto"/>
              </w:rPr>
              <w:t>(In</w:t>
            </w:r>
          </w:p>
        </w:tc>
        <w:tc>
          <w:tcPr>
            <w:tcW w:w="1080" w:type="dxa"/>
            <w:vAlign w:val="bottom"/>
            <w:gridSpan w:val="3"/>
          </w:tcPr>
          <w:p>
            <w:pPr>
              <w:jc w:val="center"/>
              <w:ind w:right="449"/>
              <w:spacing w:after="0" w:line="142" w:lineRule="exact"/>
              <w:rPr>
                <w:sz w:val="20"/>
                <w:szCs w:val="20"/>
                <w:color w:val="auto"/>
              </w:rPr>
            </w:pPr>
            <w:r>
              <w:rPr>
                <w:rFonts w:ascii="Arial" w:cs="Arial" w:eastAsia="Arial" w:hAnsi="Arial"/>
                <w:sz w:val="13"/>
                <w:szCs w:val="13"/>
                <w:b w:val="1"/>
                <w:bCs w:val="1"/>
                <w:color w:val="auto"/>
                <w:w w:val="79"/>
              </w:rPr>
              <w:t>thousands)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Arial" w:cs="Arial" w:eastAsia="Arial" w:hAnsi="Arial"/>
                <w:sz w:val="14"/>
                <w:szCs w:val="14"/>
                <w:color w:val="auto"/>
              </w:rPr>
              <w:t>Contracts and customer relationships</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1,432,562</w:t>
            </w:r>
          </w:p>
        </w:tc>
        <w:tc>
          <w:tcPr>
            <w:tcW w:w="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(280,309)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FF0FC"/>
          </w:tcPr>
          <w:p>
            <w:pPr>
              <w:jc w:val="right"/>
              <w:ind w:right="153"/>
              <w:spacing w:after="0"/>
              <w:rPr>
                <w:sz w:val="20"/>
                <w:szCs w:val="20"/>
                <w:color w:val="auto"/>
              </w:rPr>
            </w:pPr>
            <w:r>
              <w:rPr>
                <w:rFonts w:ascii="Arial" w:cs="Arial" w:eastAsia="Arial" w:hAnsi="Arial"/>
                <w:sz w:val="14"/>
                <w:szCs w:val="14"/>
                <w:color w:val="auto"/>
              </w:rPr>
              <w:t>1,152,253</w:t>
            </w:r>
          </w:p>
        </w:tc>
        <w:tc>
          <w:tcPr>
            <w:tcW w:w="16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1,437,738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(148,271)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1,289,467</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Orbital slots and spectrum assets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1,088,600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(173,600)</w:t>
            </w:r>
          </w:p>
        </w:tc>
        <w:tc>
          <w:tcPr>
            <w:tcW w:w="100" w:type="dxa"/>
            <w:vAlign w:val="bottom"/>
          </w:tcPr>
          <w:p>
            <w:pPr>
              <w:spacing w:after="0"/>
              <w:rPr>
                <w:sz w:val="14"/>
                <w:szCs w:val="14"/>
                <w:color w:val="auto"/>
              </w:rPr>
            </w:pPr>
          </w:p>
        </w:tc>
        <w:tc>
          <w:tcPr>
            <w:tcW w:w="980" w:type="dxa"/>
            <w:vAlign w:val="bottom"/>
            <w:gridSpan w:val="2"/>
          </w:tcPr>
          <w:p>
            <w:pPr>
              <w:jc w:val="right"/>
              <w:ind w:right="153"/>
              <w:spacing w:after="0"/>
              <w:rPr>
                <w:sz w:val="20"/>
                <w:szCs w:val="20"/>
                <w:color w:val="auto"/>
              </w:rPr>
            </w:pPr>
            <w:r>
              <w:rPr>
                <w:rFonts w:ascii="Arial" w:cs="Arial" w:eastAsia="Arial" w:hAnsi="Arial"/>
                <w:sz w:val="14"/>
                <w:szCs w:val="14"/>
                <w:color w:val="auto"/>
              </w:rPr>
              <w:t>915,000</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1,088,600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(83,600)</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1,005,000</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Arial" w:cs="Arial" w:eastAsia="Arial" w:hAnsi="Arial"/>
                <w:sz w:val="14"/>
                <w:szCs w:val="14"/>
                <w:color w:val="auto"/>
              </w:rPr>
              <w:t>Technology</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7</w:t>
            </w: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247,921</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(131,805)</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53"/>
              <w:spacing w:after="0"/>
              <w:rPr>
                <w:sz w:val="20"/>
                <w:szCs w:val="20"/>
                <w:color w:val="auto"/>
              </w:rPr>
            </w:pPr>
            <w:r>
              <w:rPr>
                <w:rFonts w:ascii="Arial" w:cs="Arial" w:eastAsia="Arial" w:hAnsi="Arial"/>
                <w:sz w:val="14"/>
                <w:szCs w:val="14"/>
                <w:color w:val="auto"/>
              </w:rPr>
              <w:t>116,116</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251,889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(108,414)</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143,475</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20"/>
                <w:szCs w:val="20"/>
                <w:color w:val="auto"/>
              </w:rPr>
            </w:pPr>
            <w:r>
              <w:rPr>
                <w:rFonts w:ascii="Arial" w:cs="Arial" w:eastAsia="Arial" w:hAnsi="Arial"/>
                <w:sz w:val="14"/>
                <w:szCs w:val="14"/>
                <w:color w:val="auto"/>
              </w:rPr>
              <w:t>Trade names</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116,949</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(38,453)</w:t>
            </w:r>
          </w:p>
        </w:tc>
        <w:tc>
          <w:tcPr>
            <w:tcW w:w="100" w:type="dxa"/>
            <w:vAlign w:val="bottom"/>
          </w:tcPr>
          <w:p>
            <w:pPr>
              <w:spacing w:after="0"/>
              <w:rPr>
                <w:sz w:val="14"/>
                <w:szCs w:val="14"/>
                <w:color w:val="auto"/>
              </w:rPr>
            </w:pPr>
          </w:p>
        </w:tc>
        <w:tc>
          <w:tcPr>
            <w:tcW w:w="980" w:type="dxa"/>
            <w:vAlign w:val="bottom"/>
            <w:gridSpan w:val="2"/>
          </w:tcPr>
          <w:p>
            <w:pPr>
              <w:jc w:val="right"/>
              <w:ind w:right="153"/>
              <w:spacing w:after="0"/>
              <w:rPr>
                <w:sz w:val="20"/>
                <w:szCs w:val="20"/>
                <w:color w:val="auto"/>
              </w:rPr>
            </w:pPr>
            <w:r>
              <w:rPr>
                <w:rFonts w:ascii="Arial" w:cs="Arial" w:eastAsia="Arial" w:hAnsi="Arial"/>
                <w:sz w:val="14"/>
                <w:szCs w:val="14"/>
                <w:color w:val="auto"/>
              </w:rPr>
              <w:t>78,496</w:t>
            </w:r>
          </w:p>
        </w:tc>
        <w:tc>
          <w:tcPr>
            <w:tcW w:w="1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117,280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(24,770)</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92,510</w:t>
            </w:r>
          </w:p>
        </w:tc>
        <w:tc>
          <w:tcPr>
            <w:tcW w:w="0" w:type="dxa"/>
            <w:vAlign w:val="bottom"/>
          </w:tcPr>
          <w:p>
            <w:pPr>
              <w:spacing w:after="0"/>
              <w:rPr>
                <w:sz w:val="1"/>
                <w:szCs w:val="1"/>
                <w:color w:val="auto"/>
              </w:rPr>
            </w:pPr>
          </w:p>
        </w:tc>
      </w:tr>
      <w:tr>
        <w:trPr>
          <w:trHeight w:val="162"/>
        </w:trPr>
        <w:tc>
          <w:tcPr>
            <w:tcW w:w="326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9</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18,017</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(9,105)</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53"/>
              <w:spacing w:after="0"/>
              <w:rPr>
                <w:sz w:val="20"/>
                <w:szCs w:val="20"/>
                <w:color w:val="auto"/>
              </w:rPr>
            </w:pPr>
            <w:r>
              <w:rPr>
                <w:rFonts w:ascii="Arial" w:cs="Arial" w:eastAsia="Arial" w:hAnsi="Arial"/>
                <w:sz w:val="14"/>
                <w:szCs w:val="14"/>
                <w:color w:val="auto"/>
              </w:rPr>
              <w:t>8,912</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21,792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(7,777)</w:t>
            </w:r>
          </w:p>
        </w:tc>
        <w:tc>
          <w:tcPr>
            <w:tcW w:w="12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14,015</w:t>
            </w:r>
          </w:p>
        </w:tc>
        <w:tc>
          <w:tcPr>
            <w:tcW w:w="0" w:type="dxa"/>
            <w:vAlign w:val="bottom"/>
          </w:tcPr>
          <w:p>
            <w:pPr>
              <w:spacing w:after="0"/>
              <w:rPr>
                <w:sz w:val="1"/>
                <w:szCs w:val="1"/>
                <w:color w:val="auto"/>
              </w:rPr>
            </w:pPr>
          </w:p>
        </w:tc>
      </w:tr>
      <w:tr>
        <w:trPr>
          <w:trHeight w:val="155"/>
        </w:trPr>
        <w:tc>
          <w:tcPr>
            <w:tcW w:w="3260" w:type="dxa"/>
            <w:vAlign w:val="bottom"/>
            <w:tcBorders>
              <w:top w:val="single" w:sz="8" w:color="CFF0FC"/>
              <w:bottom w:val="single" w:sz="8" w:color="CFF0FC"/>
            </w:tcBorders>
          </w:tcPr>
          <w:p>
            <w:pPr>
              <w:spacing w:after="0" w:line="155" w:lineRule="exact"/>
              <w:rPr>
                <w:sz w:val="20"/>
                <w:szCs w:val="20"/>
                <w:color w:val="auto"/>
              </w:rPr>
            </w:pPr>
            <w:r>
              <w:rPr>
                <w:rFonts w:ascii="Arial" w:cs="Arial" w:eastAsia="Arial" w:hAnsi="Arial"/>
                <w:sz w:val="14"/>
                <w:szCs w:val="14"/>
                <w:color w:val="auto"/>
              </w:rPr>
              <w:t>Total other acquired intangible assets</w:t>
            </w:r>
          </w:p>
        </w:tc>
        <w:tc>
          <w:tcPr>
            <w:tcW w:w="1180" w:type="dxa"/>
            <w:vAlign w:val="bottom"/>
            <w:tcBorders>
              <w:top w:val="single" w:sz="8" w:color="CFF0FC"/>
              <w:bottom w:val="single" w:sz="8" w:color="CFF0FC"/>
            </w:tcBorders>
            <w:gridSpan w:val="2"/>
          </w:tcPr>
          <w:p>
            <w:pPr>
              <w:jc w:val="right"/>
              <w:ind w:right="240"/>
              <w:spacing w:after="0" w:line="155" w:lineRule="exact"/>
              <w:rPr>
                <w:sz w:val="20"/>
                <w:szCs w:val="20"/>
                <w:color w:val="auto"/>
              </w:rPr>
            </w:pPr>
            <w:r>
              <w:rPr>
                <w:rFonts w:ascii="Arial" w:cs="Arial" w:eastAsia="Arial" w:hAnsi="Arial"/>
                <w:sz w:val="14"/>
                <w:szCs w:val="14"/>
                <w:color w:val="auto"/>
              </w:rPr>
              <w:t>11</w:t>
            </w: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2,904,049</w:t>
            </w:r>
          </w:p>
        </w:tc>
        <w:tc>
          <w:tcPr>
            <w:tcW w:w="40" w:type="dxa"/>
            <w:vAlign w:val="bottom"/>
            <w:tcBorders>
              <w:top w:val="single" w:sz="8" w:color="CFF0FC"/>
            </w:tcBorders>
          </w:tcPr>
          <w:p>
            <w:pPr>
              <w:spacing w:after="0"/>
              <w:rPr>
                <w:sz w:val="13"/>
                <w:szCs w:val="13"/>
                <w:color w:val="auto"/>
              </w:rPr>
            </w:pPr>
          </w:p>
        </w:tc>
        <w:tc>
          <w:tcPr>
            <w:tcW w:w="18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(633,272)</w:t>
            </w:r>
          </w:p>
        </w:tc>
        <w:tc>
          <w:tcPr>
            <w:tcW w:w="2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2,270,777</w:t>
            </w:r>
          </w:p>
        </w:tc>
        <w:tc>
          <w:tcPr>
            <w:tcW w:w="220" w:type="dxa"/>
            <w:vAlign w:val="bottom"/>
            <w:tcBorders>
              <w:top w:val="single" w:sz="8" w:color="CFF0FC"/>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jc w:val="center"/>
              <w:ind w:righ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2,917,299</w:t>
            </w:r>
          </w:p>
        </w:tc>
        <w:tc>
          <w:tcPr>
            <w:tcW w:w="40" w:type="dxa"/>
            <w:vAlign w:val="bottom"/>
            <w:tcBorders>
              <w:top w:val="single" w:sz="8" w:color="CFF0FC"/>
              <w:bottom w:val="single" w:sz="8" w:color="CFF0FC"/>
            </w:tcBorders>
          </w:tcPr>
          <w:p>
            <w:pPr>
              <w:spacing w:after="0"/>
              <w:rPr>
                <w:sz w:val="13"/>
                <w:szCs w:val="13"/>
                <w:color w:val="auto"/>
              </w:rPr>
            </w:pPr>
          </w:p>
        </w:tc>
        <w:tc>
          <w:tcPr>
            <w:tcW w:w="18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(372,832)</w:t>
            </w:r>
          </w:p>
        </w:tc>
        <w:tc>
          <w:tcPr>
            <w:tcW w:w="20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2,544,467</w:t>
            </w:r>
          </w:p>
        </w:tc>
        <w:tc>
          <w:tcPr>
            <w:tcW w:w="100" w:type="dxa"/>
            <w:vAlign w:val="bottom"/>
            <w:tcBorders>
              <w:top w:val="single" w:sz="8" w:color="CFF0FC"/>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-136525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-136525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-136525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-136525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Expected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289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Expected for fiscal year 2027</w:t>
      </w:r>
    </w:p>
    <w:p>
      <w:pPr>
        <w:spacing w:after="0" w:line="234" w:lineRule="auto"/>
        <w:rPr>
          <w:sz w:val="20"/>
          <w:szCs w:val="20"/>
          <w:color w:val="auto"/>
        </w:rPr>
      </w:pPr>
      <w:r>
        <w:rPr>
          <w:rFonts w:ascii="Arial" w:cs="Arial" w:eastAsia="Arial" w:hAnsi="Arial"/>
          <w:sz w:val="18"/>
          <w:szCs w:val="18"/>
          <w:color w:val="auto"/>
        </w:rPr>
        <w:t>Expected for fiscal year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Expected for fiscal year 2029</w:t>
      </w:r>
    </w:p>
    <w:p>
      <w:pPr>
        <w:spacing w:after="0" w:line="235" w:lineRule="auto"/>
        <w:rPr>
          <w:sz w:val="20"/>
          <w:szCs w:val="20"/>
          <w:color w:val="auto"/>
        </w:rPr>
      </w:pPr>
      <w:r>
        <w:rPr>
          <w:rFonts w:ascii="Arial" w:cs="Arial" w:eastAsia="Arial" w:hAnsi="Arial"/>
          <w:sz w:val="18"/>
          <w:szCs w:val="18"/>
          <w:color w:val="auto"/>
        </w:rPr>
        <w:t>Expected for fiscal year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289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Goodwill by segments as of March 31, 2025 and 2024 was as follows: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0015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5">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4"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(In thousands)</w:t>
      </w:r>
    </w:p>
    <w:p>
      <w:pPr>
        <w:ind w:left="1240" w:hanging="1232"/>
        <w:spacing w:after="0"/>
        <w:tabs>
          <w:tab w:leader="none" w:pos="1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263,329</w:t>
      </w:r>
    </w:p>
    <w:p>
      <w:pPr>
        <w:spacing w:after="0" w:line="7"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263,329</w:t>
      </w:r>
    </w:p>
    <w:p>
      <w:pPr>
        <w:spacing w:after="0" w:line="7"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263,291</w:t>
      </w:r>
    </w:p>
    <w:p>
      <w:pPr>
        <w:spacing w:after="0" w:line="7"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262,266</w:t>
      </w:r>
    </w:p>
    <w:p>
      <w:pPr>
        <w:spacing w:after="0" w:line="7"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247,160</w:t>
      </w:r>
    </w:p>
    <w:p>
      <w:pPr>
        <w:spacing w:after="0" w:line="7" w:lineRule="exact"/>
        <w:rPr>
          <w:rFonts w:ascii="Arial" w:cs="Arial" w:eastAsia="Arial" w:hAnsi="Arial"/>
          <w:sz w:val="17"/>
          <w:szCs w:val="17"/>
          <w:color w:val="auto"/>
        </w:rPr>
      </w:pPr>
    </w:p>
    <w:p>
      <w:pPr>
        <w:ind w:left="1240"/>
        <w:spacing w:after="0"/>
        <w:rPr>
          <w:rFonts w:ascii="Arial" w:cs="Arial" w:eastAsia="Arial" w:hAnsi="Arial"/>
          <w:sz w:val="17"/>
          <w:szCs w:val="17"/>
          <w:color w:val="auto"/>
        </w:rPr>
      </w:pPr>
      <w:r>
        <w:rPr>
          <w:rFonts w:ascii="Arial" w:cs="Arial" w:eastAsia="Arial" w:hAnsi="Arial"/>
          <w:sz w:val="17"/>
          <w:szCs w:val="17"/>
          <w:color w:val="auto"/>
        </w:rPr>
        <w:t>971,402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2001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6">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 w:lineRule="exact"/>
        <w:rPr>
          <w:sz w:val="20"/>
          <w:szCs w:val="20"/>
          <w:color w:val="auto"/>
        </w:rPr>
      </w:pPr>
    </w:p>
    <w:p>
      <w:pPr>
        <w:ind w:left="1080" w:hanging="107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2,270,777</w:t>
      </w:r>
    </w:p>
    <w:p>
      <w:pPr>
        <w:spacing w:after="0" w:line="586" w:lineRule="exact"/>
        <w:rPr>
          <w:sz w:val="20"/>
          <w:szCs w:val="20"/>
          <w:color w:val="auto"/>
        </w:rPr>
      </w:pPr>
    </w:p>
    <w:p>
      <w:pPr>
        <w:sectPr>
          <w:pgSz w:w="11900" w:h="16838" w:orient="portrait"/>
          <w:cols w:equalWidth="0" w:num="2">
            <w:col w:w="8500" w:space="720"/>
            <w:col w:w="2020"/>
          </w:cols>
          <w:pgMar w:left="320" w:top="769"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jc w:val="right"/>
              <w:ind w:right="1039"/>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2"/>
          </w:tcPr>
          <w:p>
            <w:pPr>
              <w:ind w:left="520"/>
              <w:spacing w:after="0"/>
              <w:rPr>
                <w:sz w:val="20"/>
                <w:szCs w:val="20"/>
                <w:color w:val="auto"/>
              </w:rPr>
            </w:pPr>
            <w:r>
              <w:rPr>
                <w:rFonts w:ascii="Arial" w:cs="Arial" w:eastAsia="Arial" w:hAnsi="Arial"/>
                <w:sz w:val="14"/>
                <w:szCs w:val="14"/>
                <w:b w:val="1"/>
                <w:bCs w:val="1"/>
                <w:color w:val="auto"/>
              </w:rPr>
              <w:t>As of</w:t>
            </w:r>
          </w:p>
        </w:tc>
      </w:tr>
      <w:tr>
        <w:trPr>
          <w:trHeight w:val="171"/>
        </w:trPr>
        <w:tc>
          <w:tcPr>
            <w:tcW w:w="56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March 31, 2025</w:t>
            </w: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77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4"/>
                <w:szCs w:val="14"/>
                <w:color w:val="auto"/>
              </w:rPr>
            </w:pPr>
          </w:p>
        </w:tc>
      </w:tr>
      <w:tr>
        <w:trPr>
          <w:trHeight w:val="156"/>
        </w:trPr>
        <w:tc>
          <w:tcPr>
            <w:tcW w:w="5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4"/>
              </w:rPr>
              <w:t>thousands)</w:t>
            </w: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3"/>
        </w:trPr>
        <w:tc>
          <w:tcPr>
            <w:tcW w:w="56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Communication services</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2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1,582,083</w:t>
            </w:r>
          </w:p>
        </w:tc>
        <w:tc>
          <w:tcPr>
            <w:tcW w:w="860" w:type="dxa"/>
            <w:vAlign w:val="bottom"/>
            <w:gridSpan w:val="2"/>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1,581,937</w:t>
            </w:r>
          </w:p>
        </w:tc>
        <w:tc>
          <w:tcPr>
            <w:tcW w:w="100" w:type="dxa"/>
            <w:vAlign w:val="bottom"/>
            <w:shd w:val="clear" w:color="auto" w:fill="CFF0FC"/>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Defense and advanced technologies</w:t>
            </w:r>
          </w:p>
        </w:tc>
        <w:tc>
          <w:tcPr>
            <w:tcW w:w="4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40,049</w:t>
            </w:r>
          </w:p>
        </w:tc>
        <w:tc>
          <w:tcPr>
            <w:tcW w:w="2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39,826</w:t>
            </w:r>
          </w:p>
        </w:tc>
        <w:tc>
          <w:tcPr>
            <w:tcW w:w="100" w:type="dxa"/>
            <w:vAlign w:val="bottom"/>
          </w:tcPr>
          <w:p>
            <w:pPr>
              <w:spacing w:after="0"/>
              <w:rPr>
                <w:sz w:val="17"/>
                <w:szCs w:val="17"/>
                <w:color w:val="auto"/>
              </w:rPr>
            </w:pPr>
          </w:p>
        </w:tc>
      </w:tr>
      <w:tr>
        <w:trPr>
          <w:trHeight w:val="216"/>
        </w:trPr>
        <w:tc>
          <w:tcPr>
            <w:tcW w:w="5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2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1,622,132</w:t>
            </w:r>
          </w:p>
        </w:tc>
        <w:tc>
          <w:tcPr>
            <w:tcW w:w="860" w:type="dxa"/>
            <w:vAlign w:val="bottom"/>
            <w:gridSpan w:val="2"/>
            <w:shd w:val="clear" w:color="auto" w:fill="CFF0FC"/>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2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1,621,763</w:t>
            </w:r>
          </w:p>
        </w:tc>
        <w:tc>
          <w:tcPr>
            <w:tcW w:w="100" w:type="dxa"/>
            <w:vAlign w:val="bottom"/>
            <w:shd w:val="clear" w:color="auto" w:fill="CFF0FC"/>
          </w:tcPr>
          <w:p>
            <w:pPr>
              <w:spacing w:after="0"/>
              <w:rPr>
                <w:sz w:val="18"/>
                <w:szCs w:val="18"/>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that typically range from less than one year to 17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consolidated balance sheets.</w:t>
      </w:r>
    </w:p>
    <w:p>
      <w:pPr>
        <w:spacing w:after="0" w:line="126"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less than one year to 15 years. The Company reports assets obtained under finance leases in property, equipment and satellites, net and the current and non-current portions of its finance lease liabilities in current portion of long-term debt and other long-term debt, respectively, in the consolidated balance sheets.</w:t>
      </w:r>
    </w:p>
    <w:p>
      <w:pPr>
        <w:spacing w:after="0" w:line="120"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During the fourth quarter of fiscal year 2023, after the completion of the Link-16 TDL Sale, the Company reduced its real estate footprint as part of cost-reduction measures taken in order to right-size the Company’s remaining businesses. As a result, the Company recorded an impairment of right-of-use assets of $19.1 million and an impairment of leasehold improvements and furniture and fixtures of an insignificant amount, taking into consideration the current and anticipated future market conditions for sublease income in the markets the leases are located, recorded in the consolidated statements of operations in selling, general and administrative expenses in both of the Company's segments.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 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66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1220" w:type="dxa"/>
            <w:vAlign w:val="bottom"/>
            <w:gridSpan w:val="2"/>
          </w:tcPr>
          <w:p>
            <w:pPr>
              <w:jc w:val="center"/>
              <w:ind w:left="75"/>
              <w:spacing w:after="0"/>
              <w:rPr>
                <w:sz w:val="20"/>
                <w:szCs w:val="20"/>
                <w:color w:val="auto"/>
              </w:rPr>
            </w:pPr>
            <w:r>
              <w:rPr>
                <w:rFonts w:ascii="Arial" w:cs="Arial" w:eastAsia="Arial" w:hAnsi="Arial"/>
                <w:sz w:val="18"/>
                <w:szCs w:val="18"/>
                <w:color w:val="auto"/>
                <w:w w:val="99"/>
              </w:rPr>
              <w:t>$</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99,067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105,365</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87,627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66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ind w:left="80"/>
              <w:spacing w:after="0"/>
              <w:rPr>
                <w:sz w:val="20"/>
                <w:szCs w:val="20"/>
                <w:color w:val="auto"/>
              </w:rPr>
            </w:pPr>
            <w:r>
              <w:rPr>
                <w:rFonts w:ascii="Arial" w:cs="Arial" w:eastAsia="Arial" w:hAnsi="Arial"/>
                <w:sz w:val="18"/>
                <w:szCs w:val="18"/>
                <w:color w:val="auto"/>
              </w:rPr>
              <w:t>Depreciation of assets obtained under finance leases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14,948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38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Interest on lease liabilities</w:t>
            </w:r>
          </w:p>
        </w:tc>
        <w:tc>
          <w:tcPr>
            <w:tcW w:w="66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6,514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2,018</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21,559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Variable lease cost</w:t>
            </w:r>
          </w:p>
        </w:tc>
        <w:tc>
          <w:tcPr>
            <w:tcW w:w="660" w:type="dxa"/>
            <w:vAlign w:val="bottom"/>
            <w:tcBorders>
              <w:right w:val="single" w:sz="8" w:color="CFF0FC"/>
            </w:tcBorders>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760" w:type="dxa"/>
            <w:vAlign w:val="bottom"/>
            <w:gridSpan w:val="4"/>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27,067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13,214</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15,261</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4380" w:type="dxa"/>
            <w:vAlign w:val="bottom"/>
            <w:shd w:val="clear" w:color="auto" w:fill="CFF0FC"/>
          </w:tcPr>
          <w:p>
            <w:pPr>
              <w:spacing w:after="0" w:line="20" w:lineRule="exact"/>
              <w:rPr>
                <w:sz w:val="1"/>
                <w:szCs w:val="1"/>
                <w:color w:val="auto"/>
              </w:rPr>
            </w:pPr>
          </w:p>
        </w:tc>
        <w:tc>
          <w:tcPr>
            <w:tcW w:w="660" w:type="dxa"/>
            <w:vAlign w:val="bottom"/>
            <w:tcBorders>
              <w:right w:val="single" w:sz="8" w:color="CFF0FC"/>
            </w:tcBorders>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420" w:type="dxa"/>
            <w:vAlign w:val="bottom"/>
            <w:gridSpan w:val="2"/>
          </w:tcPr>
          <w:p>
            <w:pPr>
              <w:spacing w:after="0" w:line="196" w:lineRule="exact"/>
              <w:rPr>
                <w:sz w:val="20"/>
                <w:szCs w:val="20"/>
                <w:color w:val="auto"/>
              </w:rPr>
            </w:pPr>
            <w:r>
              <w:rPr>
                <w:rFonts w:ascii="Arial" w:cs="Arial" w:eastAsia="Arial" w:hAnsi="Arial"/>
                <w:sz w:val="18"/>
                <w:szCs w:val="18"/>
                <w:color w:val="auto"/>
              </w:rPr>
              <w:t>Net lease cost</w:t>
            </w:r>
          </w:p>
        </w:tc>
        <w:tc>
          <w:tcPr>
            <w:tcW w:w="660" w:type="dxa"/>
            <w:vAlign w:val="bottom"/>
          </w:tcPr>
          <w:p>
            <w:pPr>
              <w:spacing w:after="0"/>
              <w:rPr>
                <w:sz w:val="17"/>
                <w:szCs w:val="17"/>
                <w:color w:val="auto"/>
              </w:rPr>
            </w:pPr>
          </w:p>
        </w:tc>
        <w:tc>
          <w:tcPr>
            <w:tcW w:w="560" w:type="dxa"/>
            <w:vAlign w:val="bottom"/>
          </w:tcPr>
          <w:p>
            <w:pPr>
              <w:jc w:val="center"/>
              <w:ind w:right="399"/>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gridSpan w:val="4"/>
          </w:tcPr>
          <w:p>
            <w:pPr>
              <w:jc w:val="right"/>
              <w:ind w:right="100"/>
              <w:spacing w:after="0" w:line="196" w:lineRule="exact"/>
              <w:rPr>
                <w:sz w:val="20"/>
                <w:szCs w:val="20"/>
                <w:color w:val="auto"/>
              </w:rPr>
            </w:pPr>
            <w:r>
              <w:rPr>
                <w:rFonts w:ascii="Arial" w:cs="Arial" w:eastAsia="Arial" w:hAnsi="Arial"/>
                <w:sz w:val="18"/>
                <w:szCs w:val="18"/>
                <w:color w:val="auto"/>
                <w:w w:val="98"/>
              </w:rPr>
              <w:t>169,155</w:t>
            </w:r>
          </w:p>
        </w:tc>
        <w:tc>
          <w:tcPr>
            <w:tcW w:w="20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146,411</w:t>
            </w:r>
          </w:p>
        </w:tc>
        <w:tc>
          <w:tcPr>
            <w:tcW w:w="1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131,686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2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rPr>
              <w:t>March 31, 2024</w:t>
            </w: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660" w:type="dxa"/>
            <w:vAlign w:val="bottom"/>
            <w:tcBorders>
              <w:top w:val="single" w:sz="8" w:color="auto"/>
              <w:right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380" w:type="dxa"/>
            <w:vAlign w:val="bottom"/>
          </w:tcPr>
          <w:p>
            <w:pPr>
              <w:spacing w:after="0" w:line="183" w:lineRule="exact"/>
              <w:rPr>
                <w:sz w:val="20"/>
                <w:szCs w:val="20"/>
                <w:color w:val="auto"/>
              </w:rPr>
            </w:pPr>
            <w:r>
              <w:rPr>
                <w:rFonts w:ascii="Arial" w:cs="Arial" w:eastAsia="Arial" w:hAnsi="Arial"/>
                <w:sz w:val="18"/>
                <w:szCs w:val="18"/>
                <w:color w:val="auto"/>
              </w:rPr>
              <w:t>Weighted average remaining lease term (in</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years):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leases</w:t>
            </w:r>
          </w:p>
        </w:tc>
        <w:tc>
          <w:tcPr>
            <w:tcW w:w="162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7.3</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620" w:type="dxa"/>
            <w:vAlign w:val="bottom"/>
            <w:gridSpan w:val="4"/>
          </w:tcPr>
          <w:p>
            <w:pPr>
              <w:jc w:val="right"/>
              <w:ind w:right="280"/>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4380" w:type="dxa"/>
            <w:vAlign w:val="bottom"/>
            <w:shd w:val="clear" w:color="auto" w:fill="CFF0FC"/>
          </w:tcPr>
          <w:p>
            <w:pPr>
              <w:spacing w:after="0"/>
              <w:rPr>
                <w:sz w:val="18"/>
                <w:szCs w:val="18"/>
                <w:color w:val="auto"/>
              </w:rPr>
            </w:pPr>
          </w:p>
        </w:tc>
        <w:tc>
          <w:tcPr>
            <w:tcW w:w="660" w:type="dxa"/>
            <w:vAlign w:val="bottom"/>
            <w:tcBorders>
              <w:right w:val="single" w:sz="8" w:color="CFF0FC"/>
            </w:tcBorders>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Operating leases</w:t>
            </w:r>
          </w:p>
        </w:tc>
        <w:tc>
          <w:tcPr>
            <w:tcW w:w="16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6.2%</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w w:val="87"/>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620" w:type="dxa"/>
            <w:vAlign w:val="bottom"/>
            <w:gridSpan w:val="4"/>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w w:val="87"/>
              </w:rPr>
              <w:t>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-1745615</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-1745615</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-1745615</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consolidated statements of cash flows for operating and finance leases: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Fiscal Years Ended</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2025</w:t>
            </w:r>
          </w:p>
        </w:tc>
        <w:tc>
          <w:tcPr>
            <w:tcW w:w="20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2023</w:t>
            </w:r>
          </w:p>
        </w:tc>
        <w:tc>
          <w:tcPr>
            <w:tcW w:w="1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48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Cash paid for amounts included in the measurement of</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92,600</w:t>
            </w:r>
          </w:p>
        </w:tc>
        <w:tc>
          <w:tcPr>
            <w:tcW w:w="5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93,350</w:t>
            </w:r>
          </w:p>
        </w:tc>
        <w:tc>
          <w:tcPr>
            <w:tcW w:w="120" w:type="dxa"/>
            <w:vAlign w:val="bottom"/>
          </w:tcPr>
          <w:p>
            <w:pPr>
              <w:spacing w:after="0"/>
              <w:rPr>
                <w:sz w:val="18"/>
                <w:szCs w:val="18"/>
                <w:color w:val="auto"/>
              </w:rPr>
            </w:pPr>
          </w:p>
        </w:tc>
        <w:tc>
          <w:tcPr>
            <w:tcW w:w="4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15,176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11,572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4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40" w:type="dxa"/>
            <w:vAlign w:val="bottom"/>
            <w:vMerge w:val="continue"/>
          </w:tcPr>
          <w:p>
            <w:pPr>
              <w:spacing w:after="0"/>
              <w:rPr>
                <w:sz w:val="15"/>
                <w:szCs w:val="15"/>
                <w:color w:val="auto"/>
              </w:rPr>
            </w:pPr>
          </w:p>
        </w:tc>
        <w:tc>
          <w:tcPr>
            <w:tcW w:w="4820" w:type="dxa"/>
            <w:vAlign w:val="bottom"/>
          </w:tcPr>
          <w:p>
            <w:pPr>
              <w:spacing w:after="0" w:line="183" w:lineRule="exact"/>
              <w:rPr>
                <w:sz w:val="20"/>
                <w:szCs w:val="20"/>
                <w:color w:val="auto"/>
              </w:rPr>
            </w:pPr>
            <w:r>
              <w:rPr>
                <w:rFonts w:ascii="Arial" w:cs="Arial" w:eastAsia="Arial" w:hAnsi="Arial"/>
                <w:sz w:val="18"/>
                <w:szCs w:val="18"/>
                <w:b w:val="1"/>
                <w:bCs w:val="1"/>
                <w:color w:val="auto"/>
              </w:rPr>
              <w:t>Right-of-use assets obtained in exchange for lease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60" w:type="dxa"/>
            <w:vAlign w:val="bottom"/>
            <w:gridSpan w:val="2"/>
          </w:tcPr>
          <w:p>
            <w:pPr>
              <w:ind w:left="11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4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94,350</w:t>
            </w:r>
          </w:p>
        </w:tc>
        <w:tc>
          <w:tcPr>
            <w:tcW w:w="5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29,035</w:t>
            </w:r>
          </w:p>
        </w:tc>
        <w:tc>
          <w:tcPr>
            <w:tcW w:w="1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8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145,625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0"/>
        </w:trPr>
        <w:tc>
          <w:tcPr>
            <w:tcW w:w="1140" w:type="dxa"/>
            <w:vAlign w:val="bottom"/>
          </w:tcPr>
          <w:p>
            <w:pPr>
              <w:spacing w:after="0"/>
              <w:rPr>
                <w:sz w:val="24"/>
                <w:szCs w:val="24"/>
                <w:color w:val="auto"/>
              </w:rPr>
            </w:pPr>
          </w:p>
        </w:tc>
        <w:tc>
          <w:tcPr>
            <w:tcW w:w="4820" w:type="dxa"/>
            <w:vAlign w:val="bottom"/>
          </w:tcPr>
          <w:p>
            <w:pPr>
              <w:ind w:left="4300"/>
              <w:spacing w:after="0"/>
              <w:rPr>
                <w:sz w:val="20"/>
                <w:szCs w:val="20"/>
                <w:color w:val="auto"/>
              </w:rPr>
            </w:pPr>
            <w:r>
              <w:rPr>
                <w:rFonts w:ascii="Arial" w:cs="Arial" w:eastAsia="Arial" w:hAnsi="Arial"/>
                <w:sz w:val="18"/>
                <w:szCs w:val="18"/>
                <w:color w:val="auto"/>
              </w:rPr>
              <w:t>F-31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1" w:name="page112"/>
    <w:bookmarkEnd w:id="111"/>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March 31, 2025:</w:t>
      </w:r>
    </w:p>
    <w:p>
      <w:pPr>
        <w:spacing w:after="0" w:line="194"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Finance Leases</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2026</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86,165</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for fiscal year 2027</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82,683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22,631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2028</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Expected for fiscal year 2029</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73,723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2030</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67,864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19,625</w:t>
            </w:r>
          </w:p>
        </w:tc>
        <w:tc>
          <w:tcPr>
            <w:tcW w:w="8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239,815</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182,340</w:t>
            </w: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626,791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295,524</w:t>
            </w:r>
          </w:p>
        </w:tc>
        <w:tc>
          <w:tcPr>
            <w:tcW w:w="80" w:type="dxa"/>
            <w:vAlign w:val="bottom"/>
            <w:shd w:val="clear" w:color="auto" w:fill="CFF0F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147,348</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137,051</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FF0FC"/>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479,443</w:t>
            </w:r>
          </w:p>
        </w:tc>
        <w:tc>
          <w:tcPr>
            <w:tcW w:w="580" w:type="dxa"/>
            <w:vAlign w:val="bottom"/>
            <w:gridSpan w:val="2"/>
            <w:shd w:val="clear" w:color="auto" w:fill="CFF0FC"/>
          </w:tcPr>
          <w:p>
            <w:pPr>
              <w:jc w:val="right"/>
              <w:ind w:right="300"/>
              <w:spacing w:after="0" w:line="182"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158,473</w:t>
            </w:r>
          </w:p>
        </w:tc>
        <w:tc>
          <w:tcPr>
            <w:tcW w:w="80" w:type="dxa"/>
            <w:vAlign w:val="bottom"/>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-25400</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As of March 31, 2025, the Company had $76.9 million of additional lease commitments that will commence subsequent to fiscal year 2025, with lease terms of five to 17 years.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69" w:right="5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Senior Notes and Other Long-Term Debt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2025 and 2024:</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2025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(In</w:t>
            </w:r>
          </w:p>
        </w:tc>
        <w:tc>
          <w:tcPr>
            <w:tcW w:w="1520" w:type="dxa"/>
            <w:vAlign w:val="bottom"/>
            <w:gridSpan w:val="3"/>
          </w:tcPr>
          <w:p>
            <w:pPr>
              <w:jc w:val="right"/>
              <w:ind w:right="852"/>
              <w:spacing w:after="0" w:line="155" w:lineRule="exact"/>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2022</w:t>
            </w:r>
          </w:p>
        </w:tc>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Term Loan Facility</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680,750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687,750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2023</w:t>
            </w: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Term Loan Facility</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607,450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613,617</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Original Inmarsat Term Loan Facility</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2024</w:t>
            </w: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Inmarsat Term Loan Facility</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1,287,000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1,300,000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Ex-Im Credit Facility</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19,652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39,304</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Inmarsat Revolving Credit Facility</w:t>
            </w:r>
          </w:p>
        </w:tc>
        <w:tc>
          <w:tcPr>
            <w:tcW w:w="120" w:type="dxa"/>
            <w:vAlign w:val="bottom"/>
          </w:tcPr>
          <w:p>
            <w:pPr>
              <w:spacing w:after="0"/>
              <w:rPr>
                <w:sz w:val="17"/>
                <w:szCs w:val="17"/>
                <w:color w:val="auto"/>
              </w:rPr>
            </w:pPr>
          </w:p>
        </w:tc>
        <w:tc>
          <w:tcPr>
            <w:tcW w:w="14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Viasat Revolving Credit Facility</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2025</w:t>
            </w: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Notes (1)</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442,550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Inmarsat 2026 Notes</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2,075,000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line="202" w:lineRule="exact"/>
              <w:rPr>
                <w:sz w:val="20"/>
                <w:szCs w:val="20"/>
                <w:color w:val="auto"/>
              </w:rPr>
            </w:pPr>
            <w:r>
              <w:rPr>
                <w:rFonts w:ascii="Arial" w:cs="Arial" w:eastAsia="Arial" w:hAnsi="Arial"/>
                <w:sz w:val="18"/>
                <w:szCs w:val="18"/>
                <w:color w:val="auto"/>
                <w:w w:val="94"/>
              </w:rPr>
              <w:t>2027</w:t>
            </w:r>
          </w:p>
        </w:tc>
        <w:tc>
          <w:tcPr>
            <w:tcW w:w="4520" w:type="dxa"/>
            <w:vAlign w:val="bottom"/>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2028</w:t>
            </w:r>
          </w:p>
        </w:tc>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Inmarsat 2029 Notes</w:t>
            </w:r>
          </w:p>
        </w:tc>
        <w:tc>
          <w:tcPr>
            <w:tcW w:w="12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1,975,000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4"/>
              </w:rPr>
              <w:t>2031</w:t>
            </w:r>
          </w:p>
        </w:tc>
        <w:tc>
          <w:tcPr>
            <w:tcW w:w="4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Notes</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733,400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733,400</w:t>
            </w:r>
          </w:p>
        </w:tc>
        <w:tc>
          <w:tcPr>
            <w:tcW w:w="8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Finance lease obligations (see Note 1)</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158,473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26,771</w:t>
            </w:r>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 debt</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7,204,275</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7,475,842</w:t>
            </w:r>
          </w:p>
        </w:tc>
        <w:tc>
          <w:tcPr>
            <w:tcW w:w="80" w:type="dxa"/>
            <w:vAlign w:val="bottom"/>
            <w:shd w:val="clear" w:color="auto" w:fill="CFF0FC"/>
          </w:tcPr>
          <w:p>
            <w:pPr>
              <w:spacing w:after="0"/>
              <w:rPr>
                <w:sz w:val="17"/>
                <w:szCs w:val="17"/>
                <w:color w:val="auto"/>
              </w:rPr>
            </w:pPr>
          </w:p>
        </w:tc>
      </w:tr>
      <w:tr>
        <w:trPr>
          <w:trHeight w:val="184"/>
        </w:trPr>
        <w:tc>
          <w:tcPr>
            <w:tcW w:w="20" w:type="dxa"/>
            <w:vAlign w:val="bottom"/>
          </w:tcPr>
          <w:p>
            <w:pPr>
              <w:spacing w:after="0"/>
              <w:rPr>
                <w:sz w:val="15"/>
                <w:szCs w:val="15"/>
                <w:color w:val="auto"/>
              </w:rPr>
            </w:pPr>
          </w:p>
        </w:tc>
        <w:tc>
          <w:tcPr>
            <w:tcW w:w="4920" w:type="dxa"/>
            <w:vAlign w:val="bottom"/>
            <w:gridSpan w:val="2"/>
          </w:tcPr>
          <w:p>
            <w:pPr>
              <w:spacing w:after="0" w:line="183" w:lineRule="exact"/>
              <w:rPr>
                <w:sz w:val="20"/>
                <w:szCs w:val="20"/>
                <w:color w:val="auto"/>
              </w:rPr>
            </w:pPr>
            <w:r>
              <w:rPr>
                <w:rFonts w:ascii="Arial" w:cs="Arial" w:eastAsia="Arial" w:hAnsi="Arial"/>
                <w:sz w:val="18"/>
                <w:szCs w:val="18"/>
                <w:color w:val="auto"/>
              </w:rPr>
              <w:t>Unamortized discount, debt issuance costs and fair value</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1"/>
        </w:trPr>
        <w:tc>
          <w:tcPr>
            <w:tcW w:w="4940" w:type="dxa"/>
            <w:vAlign w:val="bottom"/>
            <w:gridSpan w:val="3"/>
          </w:tcPr>
          <w:p>
            <w:pPr>
              <w:spacing w:after="0"/>
              <w:rPr>
                <w:sz w:val="20"/>
                <w:szCs w:val="20"/>
                <w:color w:val="auto"/>
              </w:rPr>
            </w:pPr>
            <w:r>
              <w:rPr>
                <w:rFonts w:ascii="Arial" w:cs="Arial" w:eastAsia="Arial" w:hAnsi="Arial"/>
                <w:sz w:val="18"/>
                <w:szCs w:val="18"/>
                <w:color w:val="auto"/>
              </w:rPr>
              <w:t>adjustments made in purchase accounting</w:t>
            </w:r>
          </w:p>
        </w:tc>
        <w:tc>
          <w:tcPr>
            <w:tcW w:w="120" w:type="dxa"/>
            <w:vAlign w:val="bottom"/>
          </w:tcPr>
          <w:p>
            <w:pPr>
              <w:spacing w:after="0"/>
              <w:rPr>
                <w:sz w:val="19"/>
                <w:szCs w:val="19"/>
                <w:color w:val="auto"/>
              </w:rPr>
            </w:pPr>
          </w:p>
        </w:tc>
        <w:tc>
          <w:tcPr>
            <w:tcW w:w="1400" w:type="dxa"/>
            <w:vAlign w:val="bottom"/>
            <w:gridSpan w:val="2"/>
          </w:tcPr>
          <w:p>
            <w:pPr>
              <w:jc w:val="right"/>
              <w:ind w:right="68"/>
              <w:spacing w:after="0"/>
              <w:rPr>
                <w:sz w:val="20"/>
                <w:szCs w:val="20"/>
                <w:color w:val="auto"/>
              </w:rPr>
            </w:pPr>
            <w:r>
              <w:rPr>
                <w:rFonts w:ascii="Arial" w:cs="Arial" w:eastAsia="Arial" w:hAnsi="Arial"/>
                <w:sz w:val="18"/>
                <w:szCs w:val="18"/>
                <w:color w:val="auto"/>
              </w:rPr>
              <w:t>(168,166)</w:t>
            </w: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(288,553)</w:t>
            </w: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Less: current portion of long-term debt (1)</w:t>
            </w: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503,825</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58,054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920" w:type="dxa"/>
            <w:vAlign w:val="bottom"/>
            <w:gridSpan w:val="2"/>
          </w:tcPr>
          <w:p>
            <w:pPr>
              <w:spacing w:after="0" w:line="196" w:lineRule="exact"/>
              <w:rPr>
                <w:sz w:val="20"/>
                <w:szCs w:val="20"/>
                <w:color w:val="auto"/>
              </w:rPr>
            </w:pPr>
            <w:r>
              <w:rPr>
                <w:rFonts w:ascii="Arial" w:cs="Arial" w:eastAsia="Arial" w:hAnsi="Arial"/>
                <w:sz w:val="18"/>
                <w:szCs w:val="18"/>
                <w:color w:val="auto"/>
              </w:rPr>
              <w:t>Total long-term debt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6,532,284</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7,129,235</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-161925</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-161925</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2025 for the next five fiscal years and thereafter were as follows (excluding the effects of discount accretion under the Notes, the Term Loan Facilities and the Ex-Im Credit Facility):</w:t>
      </w:r>
    </w:p>
    <w:p>
      <w:pPr>
        <w:spacing w:after="0" w:line="14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500" w:type="dxa"/>
            <w:vAlign w:val="bottom"/>
          </w:tcPr>
          <w:p>
            <w:pPr>
              <w:spacing w:after="0"/>
              <w:rPr>
                <w:sz w:val="14"/>
                <w:szCs w:val="14"/>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190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2026 (1)</w:t>
            </w:r>
          </w:p>
        </w:tc>
        <w:tc>
          <w:tcPr>
            <w:tcW w:w="3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503,825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3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334,084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3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631,682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0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3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1,085,049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3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3,223,016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1,426,619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shd w:val="clear" w:color="auto" w:fill="CFF0FC"/>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7,204,275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020" w:type="dxa"/>
            <w:vAlign w:val="bottom"/>
            <w:gridSpan w:val="2"/>
          </w:tcPr>
          <w:p>
            <w:pPr>
              <w:spacing w:after="0" w:line="183" w:lineRule="exact"/>
              <w:rPr>
                <w:sz w:val="20"/>
                <w:szCs w:val="20"/>
                <w:color w:val="auto"/>
              </w:rPr>
            </w:pPr>
            <w:r>
              <w:rPr>
                <w:rFonts w:ascii="Arial" w:cs="Arial" w:eastAsia="Arial" w:hAnsi="Arial"/>
                <w:sz w:val="18"/>
                <w:szCs w:val="18"/>
                <w:color w:val="auto"/>
              </w:rPr>
              <w:t>Unamortized discount, debt issuance costs and fair value</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(168,166)</w:t>
            </w:r>
          </w:p>
        </w:tc>
        <w:tc>
          <w:tcPr>
            <w:tcW w:w="0" w:type="dxa"/>
            <w:vAlign w:val="bottom"/>
          </w:tcPr>
          <w:p>
            <w:pPr>
              <w:spacing w:after="0"/>
              <w:rPr>
                <w:sz w:val="1"/>
                <w:szCs w:val="1"/>
                <w:color w:val="auto"/>
              </w:rPr>
            </w:pPr>
          </w:p>
        </w:tc>
      </w:tr>
      <w:tr>
        <w:trPr>
          <w:trHeight w:val="208"/>
        </w:trPr>
        <w:tc>
          <w:tcPr>
            <w:tcW w:w="5020" w:type="dxa"/>
            <w:vAlign w:val="bottom"/>
            <w:gridSpan w:val="2"/>
          </w:tcPr>
          <w:p>
            <w:pPr>
              <w:spacing w:after="0"/>
              <w:rPr>
                <w:sz w:val="20"/>
                <w:szCs w:val="20"/>
                <w:color w:val="auto"/>
              </w:rPr>
            </w:pPr>
            <w:r>
              <w:rPr>
                <w:rFonts w:ascii="Arial" w:cs="Arial" w:eastAsia="Arial" w:hAnsi="Arial"/>
                <w:sz w:val="18"/>
                <w:szCs w:val="18"/>
                <w:color w:val="auto"/>
              </w:rPr>
              <w:t>adjustments made in purchase accounting</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7,036,109</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FF0FC"/>
            </w:tcBorders>
            <w:shd w:val="clear" w:color="auto" w:fill="CFF0FC"/>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6686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7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2025 Notes were redeemed in full subsequent to fiscal year end.</w:t>
      </w:r>
    </w:p>
    <w:p>
      <w:pPr>
        <w:spacing w:after="0" w:line="21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Term Loan Facility</w:t>
      </w:r>
    </w:p>
    <w:p>
      <w:pPr>
        <w:spacing w:after="0" w:line="7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In March 2022, the Company entered into the $700.0 million 2022 Term Loan Facility, which was fully drawn at closing and matures on March 4, 2029. At March 31, 2025, the Company had $680.8 million in principal amount of outstanding borrowings under the 2022 Term Loan Facility.</w:t>
      </w:r>
    </w:p>
    <w:p>
      <w:pPr>
        <w:spacing w:after="0" w:line="11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Borrowings under the 2022 Term Loan Facility are required to be repaid in quarterly installments of $1.75 million each, which commenced on September 30, 2022, followed by a final installment of $654.5 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March 31, 2025, the effective interest rate on the Company’s outstanding borrowings under the 2022 Term Loan Facility was 9.47%. The 2022 Term Loan Facility is required to be guaranteed by certain significant domestic subsidiaries of the Company (as defined in the 2022 Term Loan Facility) and secured by substantially all of the Company’s and any such subsidiaries’ assets. As of March 31, 2025, none of the Company’s subsidiaries guaranteed the 2022 Term Loan Facility.</w:t>
      </w:r>
    </w:p>
    <w:p>
      <w:pPr>
        <w:spacing w:after="0" w:line="12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2022 Term Loan Facility as of March 31, 2025.</w:t>
      </w:r>
    </w:p>
    <w:p>
      <w:pPr>
        <w:spacing w:after="0" w:line="11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Borrowings under the 2022 Term Loan Facility are recorded as current portion of long-term debt and as other long-term debt, net of unamortized discount and debt issuance costs, in the Company’s consolidated financial statements. The 2022 Term Loan Facility was issued with an original issue discount of 2.00%, or $14.0 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 Facility</w:t>
      </w:r>
    </w:p>
    <w:p>
      <w:pPr>
        <w:spacing w:after="0" w:line="75"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in May 2023, the Company entered into the $616.7 million 2023 Term Loan Facility, which was fully drawn at closing and matures on May 30, 2030. At March 31, 2025, the Company had $607.5 million in principal amount of outstanding borrowings under the 2023 Term Loan Facility.</w:t>
      </w:r>
    </w:p>
    <w:p>
      <w:pPr>
        <w:spacing w:after="0" w:line="3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March 31, 2025, the effective interest rate on the Company’s outstanding borrowings under the 2023 Term Loan Facility was 9.93%. The 2023 Term Loan Facility is required to be guaranteed by certain significant domestic subsidiaries of the Company (as defined in the 2023 Term Loan Facility) and secured by substantially all of the Company’s assets and any such subsidiaries' assets. As of March 31, 2025, none of the Company’s subsidiaries guaranteed the 2023 Term Loan Facility.</w:t>
      </w:r>
    </w:p>
    <w:p>
      <w:pPr>
        <w:spacing w:after="0" w:line="5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2023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2023 Term Loan Facility as of March 31, 2025.</w:t>
      </w:r>
    </w:p>
    <w:p>
      <w:pPr>
        <w:spacing w:after="0" w:line="34"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Borrowings under the 2023 Term Loan Facility are recorded as current portion of long-term debt and as other long-term debt, net of unamortized discount and debt issuance costs, in the Company’s consolidated financial statements. The 2023 Term Loan Facility was issued with an original issue discount of 2.50%, or $15.4 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Secured Credit Facilities</w:t>
      </w:r>
    </w:p>
    <w:p>
      <w:pPr>
        <w:spacing w:after="0" w:line="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March 2024, Inmarsat amended its then-existing senior secured credit facilities to (among other matters): (1) establish the $1.3 billion 2024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2024 Inmarsat Term Loan Facility and the Original Inmarsat Term Loan Facility, the Inmarsat Secured Credit Facilities). The maturity date for the Original Inmarsat Term Loan Facility is December 12, 2026, and for the 2024 Inmarsat Term Loan Facility is September 28, 2029. The Inmarsat Revolving Credit Facility matures on the earlier of March 28, 2027 and (if more than $100.0 million of borrowings are outstanding under the Original Inmarsat Term Loan Facility) the date that is 91 days prior to the maturity of the Original Inmarsat Term Loan Facility. As of March 31, 2025, Inmarsat had $1.3 billion in principal amount of outstanding borrowings under the 2024 Inmarsat Term Loan Facility and $300.0 million in principal amount of outstanding borrowings under the Original Inmarsat Term Loan Facility. As of March 31, 2025, the Inmarsat Revolving Credit Facility was undrawn and there were no amounts outstanding under standby letters of credit, leaving borrowing availability under the Inmarsat Revolving Credit Facility as of March 31, 2025 of $550.0 million.</w:t>
      </w:r>
    </w:p>
    <w:p>
      <w:pPr>
        <w:spacing w:after="0" w:line="126"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Borrowings under the 2024 Inmarsat Term Loan Facility are required to be repaid in quarterly installments of $3.25 million each, which commenced in the quarter ended June 30, 2024, followed by a final installment of $1.23 billion at maturity. As a result of the voluntary prepayments at the closing of the amendment, all quarterly amortization installments with respect to the Original Inmarsat Term Loan Facility have been reduced to zero, with the only remaining scheduled principal repayment being a final installment of $300.0 million at the maturity date on December 12, 2026.</w:t>
      </w:r>
    </w:p>
    <w:p>
      <w:pPr>
        <w:spacing w:after="0" w:line="12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Borrowings under the Inmarsat Secured Credit Facilities: (1) in the case of borrowings denominated in U.S. Dollars, bear interest, at Inmarsat's option, at either (i) the highest of (x) for the Original Inmarsat Term Loan Facility, the greater of the federal funds rate or the overnight banking fund rate for such day plus 0.50% and for the 2024 Inmarsat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2024 Inmarsat Term Loan Facility, a floor of</w:t>
      </w:r>
    </w:p>
    <w:p>
      <w:pPr>
        <w:spacing w:after="0" w:line="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0.50% per annum, in the case of the Inmarsat Revolving Credit Facility, a floor of 0.00% per annum and, in the case of the Original Inmarsat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Inmarsat Term Loan Facility is 2.50% per annum for base rate loans and 3.50% per annum for SOFR loans. The applicable margin for the 2024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March 31, 2025, the weighted average effective interest rate on the Company's outstanding borrowings under the Inmarsat Term Loan Facilities, was approximately 9.17%. The Inmarsat Secured Credit Facilities are required to be guaranteed by certain material Inmarsat subsidiaries and secured by substantially all of the assets of the Inmarsat borrowers and subsidiary guarantors.</w:t>
      </w:r>
    </w:p>
    <w:p>
      <w:pPr>
        <w:spacing w:after="0" w:line="134"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Inmarsat Secured Credit Facilities contain covenants that restrict, among other things, Inmarsat’s ability to incur additional debt, grant liens, sell assets, make investments and acquisitions, pay dividends and make certain other restricted payments. In addition, financial covenants regarding Inmarsat’s total net leverage ratio and interest coverage ratio apply to the Inmarsat Revolving Credit Facility. The borrowers under the Inmarsat Secured Credit Facilities were in compliance with the financial covenants under the Inmarsat Secured Credit Facilities as of March 31, 2025.</w:t>
      </w:r>
    </w:p>
    <w:p>
      <w:pPr>
        <w:spacing w:after="0" w:line="12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Borrowings under the Inmarsat Term Loan Facilities are recorded as current portion of long-term debt and as other long-term debt, net of unamortized discount, unamortized fair value adjustment made in purchase accounting and debt issuance costs, in the Company’s consolidated financial statements. The 2024 Inmarsat Term Loan Facility was issued with an original issue discount of 2.00%.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March 31, 2025, the Company had $19.7 million in principal amount of outstanding borrowings under the Ex-Im Credit Facility.</w:t>
      </w:r>
    </w:p>
    <w:p>
      <w:pPr>
        <w:spacing w:after="0" w:line="12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2025.</w:t>
      </w:r>
    </w:p>
    <w:p>
      <w:pPr>
        <w:spacing w:after="0" w:line="12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Borrowings under the Ex-Im Credit Facility are recorded as current portion of long-term debt, net of unamortized discount and debt issuance costs, in the Company’s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Viasat Revolving Credit Facility</w:t>
      </w:r>
    </w:p>
    <w:p>
      <w:pPr>
        <w:spacing w:after="0" w:line="7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As of March 31, 2025, Viasat's revolving credit facility (the Viasat Revolving Credit Facility) provided a $647.5 million revolving line of credit (including up to $150.0 million of letters of credit), with a maturity date of the earliest of (A) August 24, 2028 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At March 31, 2025, the Company had no outstanding borrowings under the Viasat Revolving Credit Facility and $54.2 million outstanding under standby letters of credit, leaving borrowing availability under the Viasat Revolving Credit Facility as of March 31, 2025 of $593.3 million.</w:t>
      </w:r>
    </w:p>
    <w:p>
      <w:pPr>
        <w:spacing w:after="0" w:line="12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 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March 31, 2025, none of the Company’s subsidiaries guaranteed the Viasat Revolving Credit Facility.</w:t>
      </w:r>
    </w:p>
    <w:p>
      <w:pPr>
        <w:spacing w:after="0" w:line="12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March 31, 2025.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 Discharge of Indenture and Gain (Loss) on Extinguishment of Debt</w:t>
      </w:r>
    </w:p>
    <w:p>
      <w:pPr>
        <w:spacing w:after="0" w:line="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During the second quarter of fiscal year 2025, the Company repurchased $257.5 million in aggregate principal amount of 2025 Notes in open market transactions, resulting in $442.6 million in principal amount of 2025 Notes remaining outstanding as of March 31, 2025. As a result, the Company recorded a gain of an insignificant amount in (loss) gain on extinguishment of debt, net in the consolidated statement of operations during fiscal year 2025. Subsequent to fiscal year end, on May 2, 2025, the Company redeemed all of the remaining $442.6 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of the redemption of the 2025 Notes, the Company is expected to recognize a loss of an insignificant amount on extinguishment of debt during the first quarter of fiscal year 2026. The 2025 Notes bore interest at the rate of 5.625% per year, payable semi-annually in cash in arrears, and were recorded as current portion of long-term debt, net of debt issuance costs, as of March 31, 2025 in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2026; Discharge of Indenture and Loss on Extinguishment of Debt</w:t>
      </w:r>
    </w:p>
    <w:p>
      <w:pPr>
        <w:spacing w:after="0" w:line="75"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In October 2019, certain subsidiaries of Inmarsat Holdings issued $2.08 billion in principal amount of Inmarsat 2026 Notes in a private placement to institutional buyers. In July 2024, Inmarsat repurchased $101.7 million in aggregate principal amount of Inmarsat 2026 Notes in open market transactions.</w:t>
      </w:r>
    </w:p>
    <w:p>
      <w:pPr>
        <w:spacing w:after="0" w:line="20"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On October 1, 2024, Inmarsat used the net proceeds from the issuance of the Inmarsat 2029 Notes, together with cash on hand, to redeem all of the remaining $1.97 billion in principal amount of Inmarsat 2026 Notes at a redemption price of 100% of the principal amount so redeemed plus accrued and unpaid interest thereon to the redemption date, and the indenture governing the Inmarsat 2026 Notes was satisfied and discharged in accordance with its terms. As a result of the repurchase and redemption of the Inmarsat 2026 Notes in July and October 2024, during fiscal year 2025, the Company recorded a loss of $100.3 million in (loss) gain on extinguishment of debt, net in the consolidated statement of operations, related to an unamortized fair value adjustment made in purchase accounting. The Inmarsat 2026 Notes bore interest at the rate of 6.750% per year, payable semi-annually in cash in arrears and were recorded as long-term debt, net of unamortized fair value adjustment made in purchase accounting, as of March 31, 2024 in the Company’s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75" w:lineRule="exact"/>
        <w:rPr>
          <w:sz w:val="20"/>
          <w:szCs w:val="20"/>
          <w:color w:val="auto"/>
        </w:rPr>
      </w:pPr>
    </w:p>
    <w:p>
      <w:pPr>
        <w:ind w:right="240" w:firstLine="509"/>
        <w:spacing w:after="0" w:line="242"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Viasat Revolving Credit Facility. As of March 31, 2025,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7" w:name="page118"/>
    <w:bookmarkEnd w:id="11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8"/>
          <w:szCs w:val="18"/>
          <w:color w:val="auto"/>
        </w:rPr>
        <w:t>The 2027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2028 Notes are required to be guaranteed on an unsecured senior basis by each of the Company’s existing and future subsidiaries that guarantees the Viasat Revolving Credit Facility. As of March 31, 2025,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14"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2028 Notes may be redeemed, in whole or in part, at any time during the 12 months beginning on July 15, 2024 at a redemption price of 101.625%, and at any time on or after July 15, 2025 at a redemption price of 100%, in each case plus accrued and unpaid interest, if any, thereon to the redemption date.</w:t>
      </w:r>
    </w:p>
    <w:p>
      <w:pPr>
        <w:spacing w:after="0" w:line="115"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2029</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September 2024, certain subsidiaries of Inmarsat Holdings issued $1.975 billion in principal amount of Inmarsat 2029 Notes in a private placement to institutional buyers. The Inmarsat 2029 Notes were issued at face value and are recorded as long-term debt, net of debt issuance costs, in the Company’s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 Inmarsat used the net proceeds from the issuance of the Inmarsat 2029 Notes, together with cash on hand, to redeem all of the outstanding Inmarsat 2026 Notes on October 1, 2024.</w:t>
      </w:r>
    </w:p>
    <w:p>
      <w:pPr>
        <w:spacing w:after="0" w:line="13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spacing w:after="0" w:line="11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spacing w:after="0" w:line="12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 The issuers may also redeem the Inmarsat 2029 Notes prior to September 15, 2026, in whole or in part, at a redemption price equal to 100% of the principal amount thereof plus a “make-whole” premium and any accrued and unpaid interest, if any, thereon to the redemption date. 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spacing w:after="0" w:line="129"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2031</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September 2023, the Company issued $733.4 million in principal amount of 2031 Notes in a private placement to institutional buyers to replace the $733.4 million unsecured bridge loan facility that was entered into in connection with the closing of the Inmarsat Acquisition on May 30, 2023. The 2031 Notes were issued at face value and are recorded as long-term debt, net of debt issuance costs, in the Company’s 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9" w:name="page120"/>
    <w:bookmarkEnd w:id="119"/>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2031 Notes are required to be guaranteed on an unsecured senior basis by each of the Company’s existing and future subsidiaries that guarantees the Viasat Revolving Credit Facility. As of March 31, 2025,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spacing w:after="0" w:line="114"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 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spacing w:after="0" w:line="13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and Stock Plans</w:t>
      </w:r>
    </w:p>
    <w:p>
      <w:pPr>
        <w:spacing w:after="0" w:line="77"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From time to time, the Company files universal shelf registration statements with the SEC for the future sale of an unlimited amount of common stock, preferred stock, debt securities, depositary shares, warrants and rights, which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2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eligible employees, consultants and non-employee directors of the Company a broad variety of stock-based compensation alternatives such as nonqualified stock options, incentive stock options, RSUs and performance awards. From November 1996 to September 2024, through various amendments of the Equity Participation Plan, the Company increased the maximum number of shares reserved for issuance under this plan to 59,401,000 shares. The Company believes that such awards align the interests of its executive officers, employees, consultants and non-employee directors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subject to such awards.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September 2024, the Company adopted the 2024 Employment Inducement Incentive Award Plan (the Inducement Plan). The Inducement Plan provided for RSU and market condition PSU grants to the Company's new Senior Vice President and Chief Financial Officer. The maximum number of shares reserved for issuance under this plan is 377,500. Shares of the Company’s common stock granted under the Inducement Plan as RSUs are counted against the Inducement Plan share reserve on a one for one basis and market condition PSU grants are calculated assuming “maximum” performance.</w:t>
      </w:r>
    </w:p>
    <w:p>
      <w:pPr>
        <w:spacing w:after="0" w:line="12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2023, through various amendments of the Employee Stock Purchase Plan, the Company increased the maximum number of shares reserved for issuance under the Employee Stock Purchase Plan to 11,950,000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expense recognized in accordance with ASC 718 was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Fiscal Years Ended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March 31,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5"/>
              <w:spacing w:after="0" w:line="155" w:lineRule="exact"/>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7"/>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 before taxes</w:t>
            </w:r>
          </w:p>
        </w:tc>
        <w:tc>
          <w:tcPr>
            <w:tcW w:w="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80,385</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83,631</w:t>
            </w:r>
          </w:p>
        </w:tc>
        <w:tc>
          <w:tcPr>
            <w:tcW w:w="12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82,112</w:t>
            </w:r>
          </w:p>
        </w:tc>
        <w:tc>
          <w:tcPr>
            <w:tcW w:w="8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Related income tax benefits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(2,181)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(17,238)</w:t>
            </w:r>
          </w:p>
        </w:tc>
      </w:tr>
      <w:tr>
        <w:trPr>
          <w:trHeight w:val="20"/>
        </w:trPr>
        <w:tc>
          <w:tcPr>
            <w:tcW w:w="4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Stock-based compensation expense, net of taxes</w:t>
            </w:r>
          </w:p>
        </w:tc>
        <w:tc>
          <w:tcPr>
            <w:tcW w:w="5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78,204</w:t>
            </w:r>
          </w:p>
        </w:tc>
        <w:tc>
          <w:tcPr>
            <w:tcW w:w="1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78,339</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64,874</w:t>
            </w:r>
          </w:p>
        </w:tc>
        <w:tc>
          <w:tcPr>
            <w:tcW w:w="8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-24765</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In accordance with ASC 718,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0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compensation cost that has been charged against income for the Equity Participation Plan and Inducement Plan under ASC 718 was $72.9 million, $75.6 million and $75.0 million, and for the Employee Stock Purchase Plan was $7.5 million, $8.0 million and $7.1 million, for fiscal years 2025, 2024 and 2023, respectively. The Company capitalized $8.1 million, $10.7 million and $12.9 million of stock-based compensation expense as a part of property, equipment and satellites, net for fiscal years 2025, 2024 and 2023, respectively. During fiscal year 2025, the Company modified certain RSUs and market-based performance stock options in connection with termination of executives resulting in an insignificant amount of incremental compensation expense.</w:t>
      </w:r>
    </w:p>
    <w:p>
      <w:pPr>
        <w:spacing w:after="0" w:line="12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As of March 31, 2025, total unrecognized compensation cost related to unvested stock-based compensation arrangements granted under the Equity Participation Plan and Inducement Plan (including stock options, market-based performance stock options, RSUs and PSUs) and the Employee Stock Purchase Plan was $125.2 million and $2.9 million, respectively. These costs are expected to be recognized over a weighted average period of 0.6 years, 1.1 years, 2.0 years and 1.7 years, for stock options, market-based performance stock options, RSUs and PSUs, respectively, under the Equity Participation Plan and the Inducement Plan, and less than six months under the Employee Stock Purchase Plan.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i w:val="1"/>
          <w:iCs w:val="1"/>
          <w:color w:val="auto"/>
        </w:rPr>
        <w:t xml:space="preserve">Stock options, market-based performance stock options and employee stock purchase plan. </w:t>
      </w:r>
      <w:r>
        <w:rPr>
          <w:rFonts w:ascii="Arial" w:cs="Arial" w:eastAsia="Arial" w:hAnsi="Arial"/>
          <w:sz w:val="18"/>
          <w:szCs w:val="18"/>
          <w:color w:val="auto"/>
        </w:rPr>
        <w:t>The Company’s stock options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simple four-year vesting schedule (except for one- and three-year vesting schedules for options granted to the members of the Company’s Board of Directors) and a six-year contractual term. The Company grants total shareholder return (TSR) performance stock options to executive officers under the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 time-based vesting schedule and a six-year contractual term. The TSR performance stock options must be vested under both the time-based vesting schedule and the performance-based vesting conditions in order to become exercisable. In fiscal year 2024, the Company granted price hurdle performance stock options to executive officers and certain other high-level employees under the Equity Participation Plan. The price hurdle performance stock options must be vested under both a three-year time-based vesting schedule and a market-based vesting condition in order to become exercisable. The number of options that may become vested and exercisable will range from 0% to 250% of the target number of options granted provided that depending on whether the forty-five calendar day trailing average market closing price of the Company's common stock ending on and including such date equals or exceeds certain levels. The Company estimates the fair value of the TSR performance stock options and the price hurdle performance stock options (collectively, the market-based performance stock options) at the grant date using a Monte Carlo simulation. Expense for vested market-based performance stock options with a market condition that vest is recognized regardless of the actual outcome achieved and is recognized on a graded-vesting basis.</w:t>
      </w:r>
    </w:p>
    <w:p>
      <w:pPr>
        <w:spacing w:after="0" w:line="12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There were no market-based performance stock options granted during fiscal year 2025. The weighted average estimated fair value of market-based performance stock options granted during fiscal years 2024 and 2023 was $16.01 and $25.06 per share, respectively, using the Monte Carlo simulation.</w:t>
      </w:r>
    </w:p>
    <w:p>
      <w:pPr>
        <w:spacing w:after="0" w:line="115"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weighted average estimated fair value of stock options granted and shares issued under the Employee Stock Purchase Plan during fiscal year 2025 was $9.87 and $5.22 per share, respectively, during fiscal year 2024 was $15.73 and $8.79 per share, respectively, and during fiscal year 2023 was $16.49 and $10.30 per share, respectively, using the Black-Scholes model.</w:t>
      </w:r>
    </w:p>
    <w:p>
      <w:pPr>
        <w:spacing w:after="0" w:line="115"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weighted average assumptions (annualized percentages) used in the Black-Scholes model and Monte Carlo simulation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rPr>
              <w:t>Stock Options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6"/>
          </w:tcPr>
          <w:p>
            <w:pPr>
              <w:ind w:left="160"/>
              <w:spacing w:after="0"/>
              <w:rPr>
                <w:sz w:val="20"/>
                <w:szCs w:val="20"/>
                <w:color w:val="auto"/>
              </w:rPr>
            </w:pPr>
            <w:r>
              <w:rPr>
                <w:rFonts w:ascii="Arial" w:cs="Arial" w:eastAsia="Arial" w:hAnsi="Arial"/>
                <w:sz w:val="13"/>
                <w:szCs w:val="13"/>
                <w:b w:val="1"/>
                <w:bCs w:val="1"/>
                <w:color w:val="auto"/>
              </w:rPr>
              <w:t>Market-based Performance Stock</w:t>
            </w:r>
          </w:p>
        </w:tc>
        <w:tc>
          <w:tcPr>
            <w:tcW w:w="2860" w:type="dxa"/>
            <w:vAlign w:val="bottom"/>
            <w:gridSpan w:val="5"/>
            <w:vMerge w:val="restart"/>
          </w:tcPr>
          <w:p>
            <w:pPr>
              <w:jc w:val="right"/>
              <w:ind w:right="356"/>
              <w:spacing w:after="0"/>
              <w:rPr>
                <w:sz w:val="20"/>
                <w:szCs w:val="20"/>
                <w:color w:val="auto"/>
              </w:rPr>
            </w:pPr>
            <w:r>
              <w:rPr>
                <w:rFonts w:ascii="Arial" w:cs="Arial" w:eastAsia="Arial" w:hAnsi="Arial"/>
                <w:sz w:val="13"/>
                <w:szCs w:val="13"/>
                <w:b w:val="1"/>
                <w:bCs w:val="1"/>
                <w:color w:val="auto"/>
              </w:rPr>
              <w:t>Employee Stock Purchase Plan</w:t>
            </w:r>
          </w:p>
        </w:tc>
        <w:tc>
          <w:tcPr>
            <w:tcW w:w="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Options</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tcBorders>
              <w:bottom w:val="single" w:sz="8" w:color="auto"/>
            </w:tcBorders>
            <w:gridSpan w:val="5"/>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Fiscal Year</w:t>
            </w:r>
          </w:p>
        </w:tc>
        <w:tc>
          <w:tcPr>
            <w:tcW w:w="80" w:type="dxa"/>
            <w:vAlign w:val="bottom"/>
          </w:tcPr>
          <w:p>
            <w:pPr>
              <w:spacing w:after="0"/>
              <w:rPr>
                <w:sz w:val="11"/>
                <w:szCs w:val="11"/>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rPr>
              <w:t>Fiscal Year</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Fiscal Year</w:t>
            </w:r>
          </w:p>
        </w:tc>
        <w:tc>
          <w:tcPr>
            <w:tcW w:w="600" w:type="dxa"/>
            <w:vAlign w:val="bottom"/>
          </w:tcPr>
          <w:p>
            <w:pPr>
              <w:ind w:left="80"/>
              <w:spacing w:after="0" w:line="128" w:lineRule="exact"/>
              <w:rPr>
                <w:sz w:val="20"/>
                <w:szCs w:val="20"/>
                <w:color w:val="auto"/>
              </w:rPr>
            </w:pPr>
            <w:r>
              <w:rPr>
                <w:rFonts w:ascii="Arial" w:cs="Arial" w:eastAsia="Arial" w:hAnsi="Arial"/>
                <w:sz w:val="13"/>
                <w:szCs w:val="13"/>
                <w:b w:val="1"/>
                <w:bCs w:val="1"/>
                <w:color w:val="auto"/>
              </w:rPr>
              <w:t>Fiscal</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Fiscal Year</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Fiscal Year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3"/>
                <w:szCs w:val="13"/>
                <w:b w:val="1"/>
                <w:bCs w:val="1"/>
                <w:color w:val="auto"/>
              </w:rPr>
              <w:t>Fiscal Year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Fiscal Year</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Year</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180" w:type="dxa"/>
            <w:vAlign w:val="bottom"/>
          </w:tcPr>
          <w:p>
            <w:pPr>
              <w:spacing w:after="0"/>
              <w:rPr>
                <w:sz w:val="14"/>
                <w:szCs w:val="14"/>
                <w:color w:val="auto"/>
              </w:rPr>
            </w:pPr>
          </w:p>
        </w:tc>
        <w:tc>
          <w:tcPr>
            <w:tcW w:w="8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4"/>
                <w:szCs w:val="14"/>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2025</w:t>
            </w:r>
          </w:p>
        </w:tc>
        <w:tc>
          <w:tcPr>
            <w:tcW w:w="240" w:type="dxa"/>
            <w:vAlign w:val="bottom"/>
          </w:tcPr>
          <w:p>
            <w:pPr>
              <w:spacing w:after="0"/>
              <w:rPr>
                <w:sz w:val="14"/>
                <w:szCs w:val="14"/>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18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Volatility</w:t>
            </w:r>
          </w:p>
        </w:tc>
        <w:tc>
          <w:tcPr>
            <w:tcW w:w="1000" w:type="dxa"/>
            <w:vAlign w:val="bottom"/>
            <w:gridSpan w:val="2"/>
            <w:shd w:val="clear" w:color="auto" w:fill="CFF0FC"/>
          </w:tcPr>
          <w:p>
            <w:pPr>
              <w:jc w:val="right"/>
              <w:ind w:right="40"/>
              <w:spacing w:after="0" w:line="129" w:lineRule="exact"/>
              <w:rPr>
                <w:sz w:val="20"/>
                <w:szCs w:val="20"/>
                <w:color w:val="auto"/>
              </w:rPr>
            </w:pPr>
            <w:r>
              <w:rPr>
                <w:rFonts w:ascii="Arial" w:cs="Arial" w:eastAsia="Arial" w:hAnsi="Arial"/>
                <w:sz w:val="13"/>
                <w:szCs w:val="13"/>
                <w:color w:val="auto"/>
              </w:rPr>
              <w:t>64.5%</w:t>
            </w:r>
          </w:p>
        </w:tc>
        <w:tc>
          <w:tcPr>
            <w:tcW w:w="1200" w:type="dxa"/>
            <w:vAlign w:val="bottom"/>
            <w:gridSpan w:val="3"/>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54.2%</w:t>
            </w:r>
          </w:p>
        </w:tc>
        <w:tc>
          <w:tcPr>
            <w:tcW w:w="1120" w:type="dxa"/>
            <w:vAlign w:val="bottom"/>
            <w:gridSpan w:val="2"/>
            <w:shd w:val="clear" w:color="auto" w:fill="CFF0FC"/>
          </w:tcPr>
          <w:p>
            <w:pPr>
              <w:jc w:val="right"/>
              <w:ind w:right="160"/>
              <w:spacing w:after="0" w:line="129" w:lineRule="exact"/>
              <w:rPr>
                <w:sz w:val="20"/>
                <w:szCs w:val="20"/>
                <w:color w:val="auto"/>
              </w:rPr>
            </w:pPr>
            <w:r>
              <w:rPr>
                <w:rFonts w:ascii="Arial" w:cs="Arial" w:eastAsia="Arial" w:hAnsi="Arial"/>
                <w:sz w:val="13"/>
                <w:szCs w:val="13"/>
                <w:color w:val="auto"/>
              </w:rPr>
              <w:t>46.4%</w:t>
            </w:r>
          </w:p>
        </w:tc>
        <w:tc>
          <w:tcPr>
            <w:tcW w:w="600" w:type="dxa"/>
            <w:vAlign w:val="bottom"/>
            <w:shd w:val="clear" w:color="auto" w:fill="CFF0FC"/>
          </w:tcPr>
          <w:p>
            <w:pPr>
              <w:ind w:left="480"/>
              <w:spacing w:after="0" w:line="129" w:lineRule="exact"/>
              <w:rPr>
                <w:sz w:val="20"/>
                <w:szCs w:val="20"/>
                <w:color w:val="auto"/>
              </w:rPr>
            </w:pPr>
            <w:r>
              <w:rPr>
                <w:rFonts w:ascii="Arial" w:cs="Arial" w:eastAsia="Arial" w:hAnsi="Arial"/>
                <w:sz w:val="13"/>
                <w:szCs w:val="13"/>
                <w:color w:val="auto"/>
                <w:w w:val="76"/>
              </w:rPr>
              <w:t>—</w:t>
            </w:r>
          </w:p>
        </w:tc>
        <w:tc>
          <w:tcPr>
            <w:tcW w:w="1140" w:type="dxa"/>
            <w:vAlign w:val="bottom"/>
            <w:gridSpan w:val="3"/>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56.4%</w:t>
            </w:r>
          </w:p>
        </w:tc>
        <w:tc>
          <w:tcPr>
            <w:tcW w:w="100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49.9%</w:t>
            </w:r>
          </w:p>
        </w:tc>
        <w:tc>
          <w:tcPr>
            <w:tcW w:w="1020" w:type="dxa"/>
            <w:vAlign w:val="bottom"/>
            <w:gridSpan w:val="2"/>
            <w:shd w:val="clear" w:color="auto" w:fill="CFF0FC"/>
          </w:tcPr>
          <w:p>
            <w:pPr>
              <w:jc w:val="right"/>
              <w:ind w:right="140"/>
              <w:spacing w:after="0" w:line="129" w:lineRule="exact"/>
              <w:rPr>
                <w:sz w:val="20"/>
                <w:szCs w:val="20"/>
                <w:color w:val="auto"/>
              </w:rPr>
            </w:pPr>
            <w:r>
              <w:rPr>
                <w:rFonts w:ascii="Arial" w:cs="Arial" w:eastAsia="Arial" w:hAnsi="Arial"/>
                <w:sz w:val="13"/>
                <w:szCs w:val="13"/>
                <w:color w:val="auto"/>
              </w:rPr>
              <w:t>97.3%</w:t>
            </w:r>
          </w:p>
        </w:tc>
        <w:tc>
          <w:tcPr>
            <w:tcW w:w="1000" w:type="dxa"/>
            <w:vAlign w:val="bottom"/>
            <w:gridSpan w:val="2"/>
            <w:shd w:val="clear" w:color="auto" w:fill="CFF0FC"/>
          </w:tcPr>
          <w:p>
            <w:pPr>
              <w:jc w:val="right"/>
              <w:ind w:right="120"/>
              <w:spacing w:after="0" w:line="129" w:lineRule="exact"/>
              <w:rPr>
                <w:sz w:val="20"/>
                <w:szCs w:val="20"/>
                <w:color w:val="auto"/>
              </w:rPr>
            </w:pPr>
            <w:r>
              <w:rPr>
                <w:rFonts w:ascii="Arial" w:cs="Arial" w:eastAsia="Arial" w:hAnsi="Arial"/>
                <w:sz w:val="13"/>
                <w:szCs w:val="13"/>
                <w:color w:val="auto"/>
              </w:rPr>
              <w:t>66.6%</w:t>
            </w:r>
          </w:p>
        </w:tc>
        <w:tc>
          <w:tcPr>
            <w:tcW w:w="9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35"/>
        </w:trPr>
        <w:tc>
          <w:tcPr>
            <w:tcW w:w="2180" w:type="dxa"/>
            <w:vAlign w:val="bottom"/>
          </w:tcPr>
          <w:p>
            <w:pPr>
              <w:spacing w:after="0" w:line="135" w:lineRule="exact"/>
              <w:rPr>
                <w:sz w:val="20"/>
                <w:szCs w:val="20"/>
                <w:color w:val="auto"/>
              </w:rPr>
            </w:pPr>
            <w:r>
              <w:rPr>
                <w:rFonts w:ascii="Arial" w:cs="Arial" w:eastAsia="Arial" w:hAnsi="Arial"/>
                <w:sz w:val="13"/>
                <w:szCs w:val="13"/>
                <w:color w:val="auto"/>
              </w:rPr>
              <w:t>Risk-free interest rate</w:t>
            </w:r>
          </w:p>
        </w:tc>
        <w:tc>
          <w:tcPr>
            <w:tcW w:w="10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w:t>
            </w:r>
          </w:p>
        </w:tc>
        <w:tc>
          <w:tcPr>
            <w:tcW w:w="12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4.2%</w:t>
            </w:r>
          </w:p>
        </w:tc>
        <w:tc>
          <w:tcPr>
            <w:tcW w:w="11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w:t>
            </w:r>
          </w:p>
        </w:tc>
        <w:tc>
          <w:tcPr>
            <w:tcW w:w="600" w:type="dxa"/>
            <w:vAlign w:val="bottom"/>
          </w:tcPr>
          <w:p>
            <w:pPr>
              <w:ind w:left="480"/>
              <w:spacing w:after="0" w:line="135" w:lineRule="exact"/>
              <w:rPr>
                <w:sz w:val="20"/>
                <w:szCs w:val="20"/>
                <w:color w:val="auto"/>
              </w:rPr>
            </w:pPr>
            <w:r>
              <w:rPr>
                <w:rFonts w:ascii="Arial" w:cs="Arial" w:eastAsia="Arial" w:hAnsi="Arial"/>
                <w:sz w:val="13"/>
                <w:szCs w:val="13"/>
                <w:color w:val="auto"/>
                <w:w w:val="76"/>
              </w:rPr>
              <w:t>—</w:t>
            </w:r>
          </w:p>
        </w:tc>
        <w:tc>
          <w:tcPr>
            <w:tcW w:w="11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4.4%</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w:t>
            </w: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w:t>
            </w:r>
          </w:p>
        </w:tc>
        <w:tc>
          <w:tcPr>
            <w:tcW w:w="9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1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Dividend yield</w:t>
            </w:r>
          </w:p>
        </w:tc>
        <w:tc>
          <w:tcPr>
            <w:tcW w:w="1000" w:type="dxa"/>
            <w:vAlign w:val="bottom"/>
            <w:gridSpan w:val="2"/>
            <w:shd w:val="clear" w:color="auto" w:fill="CFF0FC"/>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1200" w:type="dxa"/>
            <w:vAlign w:val="bottom"/>
            <w:gridSpan w:val="3"/>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0.0%</w:t>
            </w:r>
          </w:p>
        </w:tc>
        <w:tc>
          <w:tcPr>
            <w:tcW w:w="1120" w:type="dxa"/>
            <w:vAlign w:val="bottom"/>
            <w:gridSpan w:val="2"/>
            <w:shd w:val="clear" w:color="auto" w:fill="CFF0FC"/>
          </w:tcPr>
          <w:p>
            <w:pPr>
              <w:jc w:val="right"/>
              <w:ind w:right="160"/>
              <w:spacing w:after="0" w:line="135" w:lineRule="exact"/>
              <w:rPr>
                <w:sz w:val="20"/>
                <w:szCs w:val="20"/>
                <w:color w:val="auto"/>
              </w:rPr>
            </w:pPr>
            <w:r>
              <w:rPr>
                <w:rFonts w:ascii="Arial" w:cs="Arial" w:eastAsia="Arial" w:hAnsi="Arial"/>
                <w:sz w:val="13"/>
                <w:szCs w:val="13"/>
                <w:color w:val="auto"/>
              </w:rPr>
              <w:t>0.0%</w:t>
            </w:r>
          </w:p>
        </w:tc>
        <w:tc>
          <w:tcPr>
            <w:tcW w:w="600" w:type="dxa"/>
            <w:vAlign w:val="bottom"/>
            <w:shd w:val="clear" w:color="auto" w:fill="CFF0FC"/>
          </w:tcPr>
          <w:p>
            <w:pPr>
              <w:ind w:left="480"/>
              <w:spacing w:after="0" w:line="135" w:lineRule="exact"/>
              <w:rPr>
                <w:sz w:val="20"/>
                <w:szCs w:val="20"/>
                <w:color w:val="auto"/>
              </w:rPr>
            </w:pPr>
            <w:r>
              <w:rPr>
                <w:rFonts w:ascii="Arial" w:cs="Arial" w:eastAsia="Arial" w:hAnsi="Arial"/>
                <w:sz w:val="13"/>
                <w:szCs w:val="13"/>
                <w:color w:val="auto"/>
                <w:w w:val="76"/>
              </w:rPr>
              <w:t>—</w:t>
            </w:r>
          </w:p>
        </w:tc>
        <w:tc>
          <w:tcPr>
            <w:tcW w:w="1140" w:type="dxa"/>
            <w:vAlign w:val="bottom"/>
            <w:gridSpan w:val="3"/>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000" w:type="dxa"/>
            <w:vAlign w:val="bottom"/>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0.0%</w:t>
            </w:r>
          </w:p>
        </w:tc>
        <w:tc>
          <w:tcPr>
            <w:tcW w:w="1020" w:type="dxa"/>
            <w:vAlign w:val="bottom"/>
            <w:gridSpan w:val="2"/>
            <w:shd w:val="clear" w:color="auto" w:fill="CFF0FC"/>
          </w:tcPr>
          <w:p>
            <w:pPr>
              <w:jc w:val="right"/>
              <w:ind w:right="140"/>
              <w:spacing w:after="0" w:line="135" w:lineRule="exact"/>
              <w:rPr>
                <w:sz w:val="20"/>
                <w:szCs w:val="20"/>
                <w:color w:val="auto"/>
              </w:rPr>
            </w:pPr>
            <w:r>
              <w:rPr>
                <w:rFonts w:ascii="Arial" w:cs="Arial" w:eastAsia="Arial" w:hAnsi="Arial"/>
                <w:sz w:val="13"/>
                <w:szCs w:val="13"/>
                <w:color w:val="auto"/>
              </w:rPr>
              <w:t>0.0%</w:t>
            </w:r>
          </w:p>
        </w:tc>
        <w:tc>
          <w:tcPr>
            <w:tcW w:w="1000" w:type="dxa"/>
            <w:vAlign w:val="bottom"/>
            <w:gridSpan w:val="2"/>
            <w:shd w:val="clear" w:color="auto" w:fill="CFF0FC"/>
          </w:tcPr>
          <w:p>
            <w:pPr>
              <w:jc w:val="right"/>
              <w:ind w:right="120"/>
              <w:spacing w:after="0" w:line="135" w:lineRule="exact"/>
              <w:rPr>
                <w:sz w:val="20"/>
                <w:szCs w:val="20"/>
                <w:color w:val="auto"/>
              </w:rPr>
            </w:pPr>
            <w:r>
              <w:rPr>
                <w:rFonts w:ascii="Arial" w:cs="Arial" w:eastAsia="Arial" w:hAnsi="Arial"/>
                <w:sz w:val="13"/>
                <w:szCs w:val="13"/>
                <w:color w:val="auto"/>
              </w:rPr>
              <w:t>0.0%</w:t>
            </w:r>
          </w:p>
        </w:tc>
        <w:tc>
          <w:tcPr>
            <w:tcW w:w="980" w:type="dxa"/>
            <w:vAlign w:val="bottom"/>
            <w:gridSpan w:val="2"/>
            <w:shd w:val="clear" w:color="auto" w:fill="CFF0FC"/>
          </w:tcPr>
          <w:p>
            <w:pPr>
              <w:jc w:val="right"/>
              <w:ind w:right="2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6"/>
        </w:trPr>
        <w:tc>
          <w:tcPr>
            <w:tcW w:w="2180" w:type="dxa"/>
            <w:vAlign w:val="bottom"/>
          </w:tcPr>
          <w:p>
            <w:pPr>
              <w:spacing w:after="0"/>
              <w:rPr>
                <w:sz w:val="20"/>
                <w:szCs w:val="20"/>
                <w:color w:val="auto"/>
              </w:rPr>
            </w:pPr>
            <w:r>
              <w:rPr>
                <w:rFonts w:ascii="Arial" w:cs="Arial" w:eastAsia="Arial" w:hAnsi="Arial"/>
                <w:sz w:val="13"/>
                <w:szCs w:val="13"/>
                <w:color w:val="auto"/>
              </w:rPr>
              <w:t>Expected life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5.0 years</w:t>
            </w:r>
          </w:p>
        </w:tc>
        <w:tc>
          <w:tcPr>
            <w:tcW w:w="8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5.0 years</w:t>
            </w:r>
          </w:p>
        </w:tc>
        <w:tc>
          <w:tcPr>
            <w:tcW w:w="1120" w:type="dxa"/>
            <w:vAlign w:val="bottom"/>
            <w:gridSpan w:val="2"/>
          </w:tcPr>
          <w:p>
            <w:pPr>
              <w:jc w:val="right"/>
              <w:ind w:right="280"/>
              <w:spacing w:after="0"/>
              <w:rPr>
                <w:sz w:val="20"/>
                <w:szCs w:val="20"/>
                <w:color w:val="auto"/>
              </w:rPr>
            </w:pPr>
            <w:r>
              <w:rPr>
                <w:rFonts w:ascii="Arial" w:cs="Arial" w:eastAsia="Arial" w:hAnsi="Arial"/>
                <w:sz w:val="13"/>
                <w:szCs w:val="13"/>
                <w:color w:val="auto"/>
              </w:rPr>
              <w:t>5.0 years</w:t>
            </w:r>
          </w:p>
        </w:tc>
        <w:tc>
          <w:tcPr>
            <w:tcW w:w="600" w:type="dxa"/>
            <w:vAlign w:val="bottom"/>
          </w:tcPr>
          <w:p>
            <w:pPr>
              <w:ind w:left="48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4"/>
                <w:szCs w:val="14"/>
                <w:color w:val="auto"/>
              </w:rPr>
            </w:pP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4.6 years</w:t>
            </w:r>
          </w:p>
        </w:tc>
        <w:tc>
          <w:tcPr>
            <w:tcW w:w="1000" w:type="dxa"/>
            <w:vAlign w:val="bottom"/>
            <w:gridSpan w:val="2"/>
          </w:tcPr>
          <w:p>
            <w:pPr>
              <w:ind w:left="220"/>
              <w:spacing w:after="0"/>
              <w:rPr>
                <w:sz w:val="20"/>
                <w:szCs w:val="20"/>
                <w:color w:val="auto"/>
              </w:rPr>
            </w:pPr>
            <w:r>
              <w:rPr>
                <w:rFonts w:ascii="Arial" w:cs="Arial" w:eastAsia="Arial" w:hAnsi="Arial"/>
                <w:sz w:val="13"/>
                <w:szCs w:val="13"/>
                <w:color w:val="auto"/>
              </w:rPr>
              <w:t>5.0 years</w:t>
            </w: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0.5 years</w:t>
            </w:r>
          </w:p>
        </w:tc>
        <w:tc>
          <w:tcPr>
            <w:tcW w:w="1000" w:type="dxa"/>
            <w:vAlign w:val="bottom"/>
            <w:gridSpan w:val="2"/>
          </w:tcPr>
          <w:p>
            <w:pPr>
              <w:ind w:left="240"/>
              <w:spacing w:after="0"/>
              <w:rPr>
                <w:sz w:val="20"/>
                <w:szCs w:val="20"/>
                <w:color w:val="auto"/>
              </w:rPr>
            </w:pPr>
            <w:r>
              <w:rPr>
                <w:rFonts w:ascii="Arial" w:cs="Arial" w:eastAsia="Arial" w:hAnsi="Arial"/>
                <w:sz w:val="13"/>
                <w:szCs w:val="13"/>
                <w:color w:val="auto"/>
              </w:rPr>
              <w:t>0.5 years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0.5 years</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Company’s expected volatility is a measure of the amount by which its stock price is expected to fluctuate over the expected term of the stock-based award. The estimated volatilities for stock options and market-based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market-based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fiscal year 2025 is presented below:</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Value</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20" w:type="dxa"/>
            <w:vAlign w:val="bottom"/>
          </w:tcPr>
          <w:p>
            <w:pPr>
              <w:spacing w:after="0"/>
              <w:rPr>
                <w:sz w:val="17"/>
                <w:szCs w:val="17"/>
                <w:color w:val="auto"/>
              </w:rPr>
            </w:pPr>
          </w:p>
        </w:tc>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2024</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221,949</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51.95</w:t>
            </w:r>
          </w:p>
        </w:tc>
        <w:tc>
          <w:tcPr>
            <w:tcW w:w="22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00"/>
              <w:spacing w:after="0" w:line="202" w:lineRule="exact"/>
              <w:rPr>
                <w:sz w:val="20"/>
                <w:szCs w:val="20"/>
                <w:color w:val="auto"/>
              </w:rPr>
            </w:pPr>
            <w:r>
              <w:rPr>
                <w:rFonts w:ascii="Arial" w:cs="Arial" w:eastAsia="Arial" w:hAnsi="Arial"/>
                <w:sz w:val="18"/>
                <w:szCs w:val="18"/>
                <w:color w:val="auto"/>
              </w:rPr>
              <w:t>Options granted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17.33</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Options expired</w:t>
            </w:r>
          </w:p>
        </w:tc>
        <w:tc>
          <w:tcPr>
            <w:tcW w:w="1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(68,231)</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61.67</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00"/>
              <w:spacing w:after="0" w:line="202" w:lineRule="exact"/>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2025</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188,718</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42.02</w:t>
            </w:r>
          </w:p>
        </w:tc>
        <w:tc>
          <w:tcPr>
            <w:tcW w:w="17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40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CFF0FC"/>
            </w:tcBorders>
            <w:gridSpan w:val="2"/>
            <w:shd w:val="clear" w:color="auto" w:fill="CFF0FC"/>
          </w:tcPr>
          <w:p>
            <w:pPr>
              <w:ind w:left="1020"/>
              <w:spacing w:after="0" w:line="182" w:lineRule="exact"/>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Vested and exercisable at March 31, 2025</w:t>
            </w:r>
          </w:p>
        </w:tc>
        <w:tc>
          <w:tcPr>
            <w:tcW w:w="1160" w:type="dxa"/>
            <w:vAlign w:val="bottom"/>
          </w:tcPr>
          <w:p>
            <w:pPr>
              <w:jc w:val="right"/>
              <w:spacing w:after="0"/>
              <w:rPr>
                <w:sz w:val="20"/>
                <w:szCs w:val="20"/>
                <w:color w:val="auto"/>
              </w:rPr>
            </w:pPr>
            <w:r>
              <w:rPr>
                <w:rFonts w:ascii="Arial" w:cs="Arial" w:eastAsia="Arial" w:hAnsi="Arial"/>
                <w:sz w:val="18"/>
                <w:szCs w:val="18"/>
                <w:color w:val="auto"/>
              </w:rPr>
              <w:t>152,718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-176530</wp:posOffset>
            </wp:positionV>
            <wp:extent cx="603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-159385</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1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total intrinsic value of stock options exercised during fiscal years 2025, 2024 and 2023 was zero, an insignificant amount and zero, respectively. All options issued under the Company’s Equity Participation Plan have an exercise price equal to the fair market value of the Company’s stock on the date of the grant. The Company recorded no excess tax benefits during fiscal years 2025, 2024 and 2023.</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market-based performance stock option activity for fiscal year 2025 is presented below:</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 (1)</w:t>
            </w:r>
          </w:p>
        </w:tc>
        <w:tc>
          <w:tcPr>
            <w:tcW w:w="160" w:type="dxa"/>
            <w:vAlign w:val="bottom"/>
          </w:tcPr>
          <w:p>
            <w:pPr>
              <w:spacing w:after="0"/>
              <w:rPr>
                <w:sz w:val="14"/>
                <w:szCs w:val="14"/>
                <w:color w:val="auto"/>
              </w:rPr>
            </w:pPr>
          </w:p>
        </w:tc>
        <w:tc>
          <w:tcPr>
            <w:tcW w:w="1000" w:type="dxa"/>
            <w:vAlign w:val="bottom"/>
          </w:tcPr>
          <w:p>
            <w:pPr>
              <w:jc w:val="center"/>
              <w:ind w:right="96"/>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20" w:type="dxa"/>
            <w:vAlign w:val="bottom"/>
          </w:tcPr>
          <w:p>
            <w:pPr>
              <w:spacing w:after="0"/>
              <w:rPr>
                <w:sz w:val="17"/>
                <w:szCs w:val="17"/>
                <w:color w:val="auto"/>
              </w:rPr>
            </w:pPr>
          </w:p>
        </w:tc>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2024</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3,356,983</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31.29</w:t>
            </w:r>
          </w:p>
        </w:tc>
        <w:tc>
          <w:tcPr>
            <w:tcW w:w="200" w:type="dxa"/>
            <w:vAlign w:val="bottom"/>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Market-based performance options granted</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Market-based performance options canceled</w:t>
            </w: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(793,978)</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33.84</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00"/>
              <w:spacing w:after="0" w:line="202" w:lineRule="exact"/>
              <w:rPr>
                <w:sz w:val="20"/>
                <w:szCs w:val="20"/>
                <w:color w:val="auto"/>
              </w:rPr>
            </w:pPr>
            <w:r>
              <w:rPr>
                <w:rFonts w:ascii="Arial" w:cs="Arial" w:eastAsia="Arial" w:hAnsi="Arial"/>
                <w:sz w:val="18"/>
                <w:szCs w:val="18"/>
                <w:color w:val="auto"/>
              </w:rPr>
              <w:t>Market-based performance options exercised</w:t>
            </w:r>
          </w:p>
        </w:tc>
        <w:tc>
          <w:tcPr>
            <w:tcW w:w="14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2025</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2,563,005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30.50</w:t>
            </w:r>
          </w:p>
        </w:tc>
        <w:tc>
          <w:tcPr>
            <w:tcW w:w="18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3.8</w:t>
            </w:r>
          </w:p>
        </w:tc>
        <w:tc>
          <w:tcPr>
            <w:tcW w:w="320" w:type="dxa"/>
            <w:vAlign w:val="bottom"/>
            <w:tcBorders>
              <w:bottom w:val="single" w:sz="8" w:color="CFF0FC"/>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gridSpan w:val="2"/>
            <w:shd w:val="clear" w:color="auto" w:fill="CFF0FC"/>
          </w:tcPr>
          <w:p>
            <w:pPr>
              <w:ind w:left="1000"/>
              <w:spacing w:after="0" w:line="182" w:lineRule="exact"/>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Vested and exercisable at March 31, 2025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-176530</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-159385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6686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9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27"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market-based performance stock option.</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represent a right to receive shares of common stock at a future date determined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award agreement. There is no exercise price and no monetary payment required for receipt of RSUs or the shares issued in settlement of the award. Instead, consideration is furnished in the form of the participant’s services to the Company. RSUs generally vest over three or four years (except for one-year for certain RSUs granted to the members of the Company’s Board of Directors). Compensation cost for these awards is based on the fair value on the date of grant and is recognized as compensation expense on a straight-line basis over the requisite service period. For fiscal years 2025, 2024 and 2023, the Company recognized $56.6 million, $57.4 million and $59.1 million, respectively, in stock-based compensation expense related to RSU awards.</w:t>
      </w:r>
    </w:p>
    <w:p>
      <w:pPr>
        <w:spacing w:after="0" w:line="131"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per unit weighted average grant date fair value of RSUs granted during fiscal years 2025, 2024 and 2023 was $15.77, $29.21 and $35.04, respectively.</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RSU activity for fiscal year 2025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rPr>
              <w:t>Average Grant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2024</w:t>
            </w:r>
          </w:p>
        </w:tc>
        <w:tc>
          <w:tcPr>
            <w:tcW w:w="270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4,020,734</w:t>
            </w:r>
          </w:p>
        </w:tc>
        <w:tc>
          <w:tcPr>
            <w:tcW w:w="2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37.11</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Awarded</w:t>
            </w:r>
          </w:p>
        </w:tc>
        <w:tc>
          <w:tcPr>
            <w:tcW w:w="27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3,704,379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15.77</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Forfeited</w:t>
            </w:r>
          </w:p>
        </w:tc>
        <w:tc>
          <w:tcPr>
            <w:tcW w:w="2700" w:type="dxa"/>
            <w:vAlign w:val="bottom"/>
            <w:gridSpan w:val="3"/>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(391,204)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25.09</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Vested</w:t>
            </w:r>
          </w:p>
        </w:tc>
        <w:tc>
          <w:tcPr>
            <w:tcW w:w="12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(1,575,356)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37.67</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vMerge w:val="continue"/>
          </w:tcPr>
          <w:p>
            <w:pPr>
              <w:spacing w:after="0"/>
              <w:rPr>
                <w:sz w:val="18"/>
                <w:szCs w:val="18"/>
                <w:color w:val="auto"/>
              </w:rPr>
            </w:pPr>
          </w:p>
        </w:tc>
        <w:tc>
          <w:tcPr>
            <w:tcW w:w="34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2025</w:t>
            </w:r>
          </w:p>
        </w:tc>
        <w:tc>
          <w:tcPr>
            <w:tcW w:w="1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5,758,553</w:t>
            </w:r>
          </w:p>
        </w:tc>
        <w:tc>
          <w:tcPr>
            <w:tcW w:w="28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24.05</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700" w:type="dxa"/>
            <w:vAlign w:val="bottom"/>
            <w:vMerge w:val="continue"/>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Vested and deferred at March 31, 2025</w:t>
            </w:r>
          </w:p>
        </w:tc>
        <w:tc>
          <w:tcPr>
            <w:tcW w:w="12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206,332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50.44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6"/>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00" w:type="dxa"/>
            <w:vAlign w:val="bottom"/>
            <w:gridSpan w:val="3"/>
          </w:tcPr>
          <w:p>
            <w:pPr>
              <w:jc w:val="right"/>
              <w:ind w:right="2040"/>
              <w:spacing w:after="0"/>
              <w:rPr>
                <w:sz w:val="20"/>
                <w:szCs w:val="20"/>
                <w:color w:val="auto"/>
              </w:rPr>
            </w:pPr>
            <w:r>
              <w:rPr>
                <w:rFonts w:ascii="Arial" w:cs="Arial" w:eastAsia="Arial" w:hAnsi="Arial"/>
                <w:sz w:val="18"/>
                <w:szCs w:val="18"/>
                <w:color w:val="auto"/>
              </w:rPr>
              <w:t>F-43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7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-1053465</wp:posOffset>
            </wp:positionV>
            <wp:extent cx="431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-1036320</wp:posOffset>
            </wp:positionV>
            <wp:extent cx="431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0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total fair value of shares vested related to RSUs during the fiscal years 2025, 2024 and 2023 was $15.3 million, $34.1 million and $46.9 million, respectively.</w:t>
      </w:r>
    </w:p>
    <w:p>
      <w:pPr>
        <w:spacing w:after="0" w:line="100"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i w:val="1"/>
          <w:iCs w:val="1"/>
          <w:color w:val="auto"/>
        </w:rPr>
        <w:t>Performance-based restricted stock units</w:t>
      </w:r>
      <w:r>
        <w:rPr>
          <w:rFonts w:ascii="Arial" w:cs="Arial" w:eastAsia="Arial" w:hAnsi="Arial"/>
          <w:sz w:val="18"/>
          <w:szCs w:val="18"/>
          <w:color w:val="auto"/>
        </w:rPr>
        <w:t>. During fiscal year 2025, the Company granted performance-based restricted stock units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 market condition (such as stock price milestone) (market condition PSUs) and performance-based restricted stock units with a performance condition (such as an operational milestone) (performance condition PSUs) to executive officers and certain other high-level employees under the Equity Participation Plan and Inducement Plan. The Company’s market condition PSUs cliff vest at the end of three years and the Company's performance condition PSUs have a one year performance-based vesting period and a three-year time-based vesting schedule. The number of shares of market condition PSUs that will become eligible to vest is based on a comparison over a three-year performance period of the Company’s TSR to the TSR of the companies included in the Russell 3000 Index. The final number of market condition PSUs that will be issued will range from 0% to 175% of the target number of PSUs based on the Company’s relative TSR ranking for the performance period. The final number of shares of performance condition PSUs that will be issued will range from 0% to 175% of the target number of PSUs depending on the Company's performance for a given fiscal year period against pre-established targets. PSUs must be vested under both the time-based vesting schedule and the performance-based vesting conditions in order to be issued. PSUs represent a right to receive shares of common stock at a future date determined in accordance with the participant’s award agreement and achievement of performance-based vesting conditions. There is no exercise price and no monetary payment required for receipt of PSUs or the shares issued in settlement of the award. Instead, consideration is furnished in the form of the participant’s services to the Company. The Company estimates the fair value of market condition PSUs at the grant date using a Monte Carlo simulation. The expense for market condition PSUs that vest is recognized regardless of the actual outcome achieved and is recognized on a graded-vesting basis. Compensation cost for performance condition PSUs is based on the fair value on the date of grant. Expense for performance condition PSUs that vest is recognized each period based on a probability assessment of the expected outcome of the performance targets with a final adjustment upon measurement at the end of the performance period and is recognized on a graded-vesting basis. During fiscal year 2025, the Company recognized $5.1 million in stock-based compensation expense related to all PSUs, for which the expense for performance condition PSUs was based on an estimated weighted average performance multiplier of approximately 150%.</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per unit weighted average grant date fair value of PSUs granted during fiscal year 2025 was $18.13.</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PSU activity for fiscal year 2025 is presented below:</w:t>
      </w:r>
    </w:p>
    <w:p>
      <w:pPr>
        <w:spacing w:after="0" w:line="194"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 Grant</w:t>
            </w:r>
          </w:p>
        </w:tc>
      </w:tr>
      <w:tr>
        <w:trPr>
          <w:trHeight w:val="162"/>
        </w:trPr>
        <w:tc>
          <w:tcPr>
            <w:tcW w:w="53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Date Fair Value</w:t>
            </w:r>
          </w:p>
        </w:tc>
      </w:tr>
      <w:tr>
        <w:trPr>
          <w:trHeight w:val="171"/>
        </w:trPr>
        <w:tc>
          <w:tcPr>
            <w:tcW w:w="5360" w:type="dxa"/>
            <w:vAlign w:val="bottom"/>
          </w:tcPr>
          <w:p>
            <w:pPr>
              <w:spacing w:after="0"/>
              <w:rPr>
                <w:sz w:val="14"/>
                <w:szCs w:val="14"/>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Shares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4"/>
                <w:szCs w:val="14"/>
                <w:color w:val="auto"/>
              </w:rPr>
            </w:pPr>
          </w:p>
        </w:tc>
      </w:tr>
      <w:tr>
        <w:trPr>
          <w:trHeight w:val="196"/>
        </w:trPr>
        <w:tc>
          <w:tcPr>
            <w:tcW w:w="5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Outstanding at March 31, 2024</w:t>
            </w:r>
          </w:p>
        </w:tc>
        <w:tc>
          <w:tcPr>
            <w:tcW w:w="124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Awarded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635,585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18.13</w:t>
            </w:r>
          </w:p>
        </w:tc>
        <w:tc>
          <w:tcPr>
            <w:tcW w:w="80" w:type="dxa"/>
            <w:vAlign w:val="bottom"/>
          </w:tcPr>
          <w:p>
            <w:pPr>
              <w:spacing w:after="0"/>
              <w:rPr>
                <w:sz w:val="17"/>
                <w:szCs w:val="17"/>
                <w:color w:val="auto"/>
              </w:rPr>
            </w:pPr>
          </w:p>
        </w:tc>
      </w:tr>
      <w:tr>
        <w:trPr>
          <w:trHeight w:val="203"/>
        </w:trPr>
        <w:tc>
          <w:tcPr>
            <w:tcW w:w="53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Forfeited</w:t>
            </w:r>
          </w:p>
        </w:tc>
        <w:tc>
          <w:tcPr>
            <w:tcW w:w="12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(25,847)</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18.24</w:t>
            </w:r>
          </w:p>
        </w:tc>
        <w:tc>
          <w:tcPr>
            <w:tcW w:w="80" w:type="dxa"/>
            <w:vAlign w:val="bottom"/>
            <w:shd w:val="clear" w:color="auto" w:fill="CFF0FC"/>
          </w:tcPr>
          <w:p>
            <w:pPr>
              <w:spacing w:after="0"/>
              <w:rPr>
                <w:sz w:val="17"/>
                <w:szCs w:val="17"/>
                <w:color w:val="auto"/>
              </w:rPr>
            </w:pPr>
          </w:p>
        </w:tc>
      </w:tr>
      <w:tr>
        <w:trPr>
          <w:trHeight w:val="203"/>
        </w:trPr>
        <w:tc>
          <w:tcPr>
            <w:tcW w:w="5360" w:type="dxa"/>
            <w:vAlign w:val="bottom"/>
          </w:tcPr>
          <w:p>
            <w:pPr>
              <w:ind w:left="140"/>
              <w:spacing w:after="0" w:line="202" w:lineRule="exact"/>
              <w:rPr>
                <w:sz w:val="20"/>
                <w:szCs w:val="20"/>
                <w:color w:val="auto"/>
              </w:rPr>
            </w:pPr>
            <w:r>
              <w:rPr>
                <w:rFonts w:ascii="Arial" w:cs="Arial" w:eastAsia="Arial" w:hAnsi="Arial"/>
                <w:sz w:val="18"/>
                <w:szCs w:val="18"/>
                <w:color w:val="auto"/>
              </w:rPr>
              <w:t>Vested</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36"/>
        </w:trPr>
        <w:tc>
          <w:tcPr>
            <w:tcW w:w="53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at March 31, 2025</w:t>
            </w:r>
          </w:p>
        </w:tc>
        <w:tc>
          <w:tcPr>
            <w:tcW w:w="1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609,738</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18.13</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6686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04">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4" w:lineRule="exact"/>
        <w:rPr>
          <w:sz w:val="20"/>
          <w:szCs w:val="20"/>
          <w:color w:val="auto"/>
        </w:rPr>
      </w:pPr>
    </w:p>
    <w:p>
      <w:pPr>
        <w:ind w:right="140" w:firstLine="8"/>
        <w:spacing w:after="0" w:line="253" w:lineRule="auto"/>
        <w:tabs>
          <w:tab w:leader="none" w:pos="5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PSUs under each market condition PSU and performance condition PSU. Based on an estimated weighted average performance multiplier of approximately 150%, approximately 400,000 of performance condition PSUs are expected to time vest over the next three years.</w:t>
      </w:r>
    </w:p>
    <w:p>
      <w:pPr>
        <w:spacing w:after="0" w:line="11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The weighted average assumptions (annualized percentages) used in the Monte Carlo simulation for market condition PSUs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 Condition PSUs</w:t>
            </w:r>
          </w:p>
        </w:tc>
        <w:tc>
          <w:tcPr>
            <w:tcW w:w="2700" w:type="dxa"/>
            <w:vAlign w:val="bottom"/>
            <w:gridSpan w:val="2"/>
          </w:tcPr>
          <w:p>
            <w:pPr>
              <w:spacing w:after="0"/>
              <w:rPr>
                <w:sz w:val="14"/>
                <w:szCs w:val="14"/>
                <w:color w:val="auto"/>
              </w:rPr>
            </w:pPr>
          </w:p>
        </w:tc>
      </w:tr>
      <w:tr>
        <w:trPr>
          <w:trHeight w:val="183"/>
        </w:trPr>
        <w:tc>
          <w:tcPr>
            <w:tcW w:w="25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Fiscal Year 2025</w:t>
            </w:r>
          </w:p>
        </w:tc>
        <w:tc>
          <w:tcPr>
            <w:tcW w:w="2700" w:type="dxa"/>
            <w:vAlign w:val="bottom"/>
            <w:gridSpan w:val="2"/>
          </w:tcPr>
          <w:p>
            <w:pPr>
              <w:spacing w:after="0"/>
              <w:rPr>
                <w:sz w:val="15"/>
                <w:szCs w:val="15"/>
                <w:color w:val="auto"/>
              </w:rPr>
            </w:pPr>
          </w:p>
        </w:tc>
      </w:tr>
      <w:tr>
        <w:trPr>
          <w:trHeight w:val="196"/>
        </w:trPr>
        <w:tc>
          <w:tcPr>
            <w:tcW w:w="2540" w:type="dxa"/>
            <w:vAlign w:val="bottom"/>
          </w:tcPr>
          <w:p>
            <w:pPr>
              <w:spacing w:after="0"/>
              <w:rPr>
                <w:sz w:val="17"/>
                <w:szCs w:val="17"/>
                <w:color w:val="auto"/>
              </w:rPr>
            </w:pPr>
          </w:p>
        </w:tc>
        <w:tc>
          <w:tcPr>
            <w:tcW w:w="2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Volatility</w:t>
            </w:r>
          </w:p>
        </w:tc>
        <w:tc>
          <w:tcPr>
            <w:tcW w:w="38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64.7%</w:t>
            </w:r>
          </w:p>
        </w:tc>
        <w:tc>
          <w:tcPr>
            <w:tcW w:w="25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3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4.3%</w:t>
            </w:r>
          </w:p>
        </w:tc>
        <w:tc>
          <w:tcPr>
            <w:tcW w:w="252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2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Dividend yield</w:t>
            </w:r>
          </w:p>
        </w:tc>
        <w:tc>
          <w:tcPr>
            <w:tcW w:w="388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0.0%</w:t>
            </w:r>
          </w:p>
        </w:tc>
        <w:tc>
          <w:tcPr>
            <w:tcW w:w="2520" w:type="dxa"/>
            <w:vAlign w:val="bottom"/>
          </w:tcPr>
          <w:p>
            <w:pPr>
              <w:spacing w:after="0"/>
              <w:rPr>
                <w:sz w:val="17"/>
                <w:szCs w:val="17"/>
                <w:color w:val="auto"/>
              </w:rPr>
            </w:pPr>
          </w:p>
        </w:tc>
      </w:tr>
      <w:tr>
        <w:trPr>
          <w:trHeight w:val="652"/>
        </w:trPr>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0" w:type="dxa"/>
            <w:vAlign w:val="bottom"/>
            <w:gridSpan w:val="4"/>
          </w:tcPr>
          <w:p>
            <w:pPr>
              <w:ind w:left="600"/>
              <w:spacing w:after="0"/>
              <w:rPr>
                <w:sz w:val="20"/>
                <w:szCs w:val="20"/>
                <w:color w:val="auto"/>
              </w:rPr>
            </w:pPr>
            <w:r>
              <w:rPr>
                <w:rFonts w:ascii="Arial" w:cs="Arial" w:eastAsia="Arial" w:hAnsi="Arial"/>
                <w:sz w:val="18"/>
                <w:szCs w:val="18"/>
                <w:color w:val="auto"/>
              </w:rPr>
              <w:t>F-44</w:t>
            </w:r>
          </w:p>
        </w:tc>
      </w:tr>
      <w:tr>
        <w:trPr>
          <w:trHeight w:val="746"/>
        </w:trPr>
        <w:tc>
          <w:tcPr>
            <w:tcW w:w="254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Shares Used In Computing Diluted Net Income (Loss) Per Share</w:t>
      </w:r>
    </w:p>
    <w:p>
      <w:pPr>
        <w:spacing w:after="0" w:line="7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was the same for fiscal years 2025, 2024 and 2023, as the Company incurred a net loss from continuing operations (excluding income (loss) from continuing operations attributable to the noncontrolling interest) for such periods and inclusion of potentially dilutive weighted average shares of common stock would be antidilutive.</w:t>
      </w:r>
    </w:p>
    <w:p>
      <w:pPr>
        <w:spacing w:after="0" w:line="12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Potentially dilutive weighted average shares excluded from the calculation for fiscal years 2025, 2024 and 2023 consisted of 220,095 shares, 242,973 shares and 483,499 shares, respectively, related to stock options (other than market-based performance stock options), zero shares, zero shares, and 480,325 shares, respectively, related to market-based performance stock options and market condition PSUs, 5,539,871 shares, 2,066,973 shares and 2,477,067 shares, respectively, related to RSUs (other than PSUs), 165,498 shares, zero shares, and zero shares, respectively, related to performance condition PSUs, and 1,950,692 shares, 1,127,606 shares and 699,680 shares related to certain terms of the Viasat 401(k) Profit Sharing Plan and Employee Stock Purchase Plan.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by jurisdiction were as follows:</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Fiscal Years Ended</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3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57"/>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r>
      <w:tr>
        <w:trPr>
          <w:trHeight w:val="171"/>
        </w:trPr>
        <w:tc>
          <w:tcPr>
            <w:tcW w:w="3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r>
      <w:tr>
        <w:trPr>
          <w:trHeight w:val="156"/>
        </w:trPr>
        <w:tc>
          <w:tcPr>
            <w:tcW w:w="3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right="179"/>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United States</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(329,591)</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(859,006)</w:t>
            </w:r>
          </w:p>
        </w:tc>
        <w:tc>
          <w:tcPr>
            <w:tcW w:w="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(94,019)</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(215,703)</w:t>
            </w:r>
          </w:p>
        </w:tc>
        <w:tc>
          <w:tcPr>
            <w:tcW w:w="140" w:type="dxa"/>
            <w:vAlign w:val="bottom"/>
          </w:tcPr>
          <w:p>
            <w:pPr>
              <w:spacing w:after="0"/>
              <w:rPr>
                <w:sz w:val="17"/>
                <w:szCs w:val="17"/>
                <w:color w:val="auto"/>
              </w:rPr>
            </w:pPr>
          </w:p>
        </w:tc>
        <w:tc>
          <w:tcPr>
            <w:tcW w:w="1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(334,940)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(68,136)</w:t>
            </w:r>
          </w:p>
        </w:tc>
      </w:tr>
      <w:tr>
        <w:trPr>
          <w:trHeight w:val="20"/>
        </w:trPr>
        <w:tc>
          <w:tcPr>
            <w:tcW w:w="3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4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(545,294)</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(1,193,946)</w:t>
            </w:r>
          </w:p>
        </w:tc>
        <w:tc>
          <w:tcPr>
            <w:tcW w:w="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(162,155)</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514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514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514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514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benefit from income taxes included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Fiscal Years Ended</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133"/>
              <w:spacing w:after="0" w:line="147" w:lineRule="exact"/>
              <w:rPr>
                <w:sz w:val="20"/>
                <w:szCs w:val="20"/>
                <w:color w:val="auto"/>
              </w:rPr>
            </w:pPr>
            <w:r>
              <w:rPr>
                <w:rFonts w:ascii="Arial" w:cs="Arial" w:eastAsia="Arial" w:hAnsi="Arial"/>
                <w:sz w:val="14"/>
                <w:szCs w:val="14"/>
                <w:b w:val="1"/>
                <w:bCs w:val="1"/>
                <w:color w:val="auto"/>
              </w:rPr>
              <w:t>March 31,</w:t>
            </w:r>
          </w:p>
        </w:tc>
        <w:tc>
          <w:tcPr>
            <w:tcW w:w="1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tax (provision) benefit:</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Federal</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(28,247)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(12,128)</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(11,494)</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State</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(2,661)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(1,010)</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(5,231)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Foreign</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(117,042)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(27,028)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(5,965)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(147,950)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(40,166)</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(22,690)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Deferred tax (provision) benefit:</w:t>
            </w:r>
          </w:p>
        </w:tc>
        <w:tc>
          <w:tcPr>
            <w:tcW w:w="12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Federal</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16,770</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74,404</w:t>
            </w: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40,889</w:t>
            </w: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tcPr>
          <w:p>
            <w:pPr>
              <w:ind w:left="120"/>
              <w:spacing w:after="0" w:line="202" w:lineRule="exact"/>
              <w:rPr>
                <w:sz w:val="20"/>
                <w:szCs w:val="20"/>
                <w:color w:val="auto"/>
              </w:rPr>
            </w:pPr>
            <w:r>
              <w:rPr>
                <w:rFonts w:ascii="Arial" w:cs="Arial" w:eastAsia="Arial" w:hAnsi="Arial"/>
                <w:sz w:val="18"/>
                <w:szCs w:val="18"/>
                <w:color w:val="auto"/>
              </w:rPr>
              <w:t>State</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5,166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(80,715)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w:t>
            </w:r>
          </w:p>
        </w:tc>
        <w:tc>
          <w:tcPr>
            <w:tcW w:w="1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132,223</w:t>
            </w: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100,070</w:t>
            </w:r>
          </w:p>
        </w:tc>
        <w:tc>
          <w:tcPr>
            <w:tcW w:w="1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13,098</w:t>
            </w:r>
          </w:p>
        </w:tc>
        <w:tc>
          <w:tcPr>
            <w:tcW w:w="80" w:type="dxa"/>
            <w:vAlign w:val="bottom"/>
            <w:tcBorders>
              <w:bottom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148,891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179,640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(26,728)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3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(provision for) benefit from income taxes</w:t>
            </w: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941</w:t>
            </w:r>
          </w:p>
        </w:tc>
        <w:tc>
          <w:tcPr>
            <w:tcW w:w="6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139,474</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(49,418)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1140" w:type="dxa"/>
            <w:vAlign w:val="bottom"/>
          </w:tcPr>
          <w:p>
            <w:pPr>
              <w:spacing w:after="0"/>
              <w:rPr>
                <w:sz w:val="24"/>
                <w:szCs w:val="24"/>
                <w:color w:val="auto"/>
              </w:rPr>
            </w:pPr>
          </w:p>
        </w:tc>
        <w:tc>
          <w:tcPr>
            <w:tcW w:w="398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ind w:left="320"/>
              <w:spacing w:after="0"/>
              <w:rPr>
                <w:sz w:val="20"/>
                <w:szCs w:val="20"/>
                <w:color w:val="auto"/>
              </w:rPr>
            </w:pPr>
            <w:r>
              <w:rPr>
                <w:rFonts w:ascii="Arial" w:cs="Arial" w:eastAsia="Arial" w:hAnsi="Arial"/>
                <w:sz w:val="18"/>
                <w:szCs w:val="18"/>
                <w:color w:val="auto"/>
              </w:rPr>
              <w:t>F-45</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-1722120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-1722120</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-1722120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-1199515</wp:posOffset>
            </wp:positionV>
            <wp:extent cx="5143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-1199515</wp:posOffset>
            </wp:positionV>
            <wp:extent cx="5143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-1199515</wp:posOffset>
            </wp:positionV>
            <wp:extent cx="514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-925195</wp:posOffset>
            </wp:positionV>
            <wp:extent cx="5143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-908050</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-925195</wp:posOffset>
            </wp:positionV>
            <wp:extent cx="5143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-908050</wp:posOffset>
            </wp:positionV>
            <wp:extent cx="514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were as follows:</w:t>
      </w:r>
    </w:p>
    <w:p>
      <w:pPr>
        <w:spacing w:after="0" w:line="194"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368"/>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212"/>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54"/>
              <w:spacing w:after="0" w:line="155" w:lineRule="exact"/>
              <w:rPr>
                <w:sz w:val="20"/>
                <w:szCs w:val="20"/>
                <w:color w:val="auto"/>
              </w:rPr>
            </w:pPr>
            <w:r>
              <w:rPr>
                <w:rFonts w:ascii="Arial" w:cs="Arial" w:eastAsia="Arial" w:hAnsi="Arial"/>
                <w:sz w:val="14"/>
                <w:szCs w:val="14"/>
                <w:b w:val="1"/>
                <w:bCs w:val="1"/>
                <w:color w:val="auto"/>
              </w:rPr>
              <w:t>(In</w:t>
            </w:r>
          </w:p>
        </w:tc>
        <w:tc>
          <w:tcPr>
            <w:tcW w:w="1460" w:type="dxa"/>
            <w:vAlign w:val="bottom"/>
            <w:gridSpan w:val="4"/>
          </w:tcPr>
          <w:p>
            <w:pPr>
              <w:jc w:val="right"/>
              <w:ind w:right="792"/>
              <w:spacing w:after="0" w:line="155" w:lineRule="exact"/>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Net operating loss carryforwards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252,589</w:t>
            </w:r>
          </w:p>
        </w:tc>
        <w:tc>
          <w:tcPr>
            <w:tcW w:w="120" w:type="dxa"/>
            <w:vAlign w:val="bottom"/>
          </w:tcPr>
          <w:p>
            <w:pPr>
              <w:spacing w:after="0"/>
              <w:rPr>
                <w:sz w:val="17"/>
                <w:szCs w:val="17"/>
                <w:color w:val="auto"/>
              </w:rPr>
            </w:pP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198,548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159,806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141,015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Capitalized research and development costs</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136,191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143,581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99,877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94,360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Interest carryforwards</w:t>
            </w:r>
          </w:p>
        </w:tc>
        <w:tc>
          <w:tcPr>
            <w:tcW w:w="18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105,182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88,269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198,071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201,160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17"/>
                <w:szCs w:val="17"/>
                <w:color w:val="auto"/>
              </w:rPr>
            </w:pPr>
          </w:p>
        </w:tc>
        <w:tc>
          <w:tcPr>
            <w:tcW w:w="12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(430,501)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(353,642)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521,215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513,291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(576,599)</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(683,366)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Property, equipment and satellites</w:t>
            </w:r>
          </w:p>
        </w:tc>
        <w:tc>
          <w:tcPr>
            <w:tcW w:w="180" w:type="dxa"/>
            <w:vAlign w:val="bottom"/>
          </w:tcPr>
          <w:p>
            <w:pPr>
              <w:spacing w:after="0"/>
              <w:rPr>
                <w:sz w:val="17"/>
                <w:szCs w:val="17"/>
                <w:color w:val="auto"/>
              </w:rPr>
            </w:pPr>
          </w:p>
        </w:tc>
        <w:tc>
          <w:tcPr>
            <w:tcW w:w="12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(689,880)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(725,990)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Operating lease assets</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rPr>
              <w:t>(88,083)</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(80,258)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140"/>
              <w:spacing w:after="0" w:line="202" w:lineRule="exact"/>
              <w:rPr>
                <w:sz w:val="20"/>
                <w:szCs w:val="20"/>
                <w:color w:val="auto"/>
              </w:rPr>
            </w:pPr>
            <w:r>
              <w:rPr>
                <w:rFonts w:ascii="Arial" w:cs="Arial" w:eastAsia="Arial" w:hAnsi="Arial"/>
                <w:sz w:val="18"/>
                <w:szCs w:val="18"/>
                <w:color w:val="auto"/>
              </w:rPr>
              <w:t>Other</w:t>
            </w:r>
          </w:p>
        </w:tc>
        <w:tc>
          <w:tcPr>
            <w:tcW w:w="180" w:type="dxa"/>
            <w:vAlign w:val="bottom"/>
          </w:tcPr>
          <w:p>
            <w:pPr>
              <w:spacing w:after="0"/>
              <w:rPr>
                <w:sz w:val="17"/>
                <w:szCs w:val="17"/>
                <w:color w:val="auto"/>
              </w:rPr>
            </w:pPr>
          </w:p>
        </w:tc>
        <w:tc>
          <w:tcPr>
            <w:tcW w:w="12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(75,918)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(1,430,480)</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(1,577,971)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Net deferred tax assets (liabilities)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(909,265)</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(1,064,680)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-161925</wp:posOffset>
            </wp:positionV>
            <wp:extent cx="5143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-161925</wp:posOffset>
            </wp:positionV>
            <wp:extent cx="514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240" w:firstLine="509"/>
        <w:spacing w:after="0" w:line="271"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income (loss) before income taxes is as follows:</w:t>
      </w:r>
    </w:p>
    <w:p>
      <w:pPr>
        <w:spacing w:after="0" w:line="13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400"/>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(provision) benefit at federal statutory rate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114,512</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250,728</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34,047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State tax provision, net of federal benefit</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28,621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 credits</w:t>
            </w:r>
          </w:p>
        </w:tc>
        <w:tc>
          <w:tcPr>
            <w:tcW w:w="1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16,004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28,574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23,925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Change in federal valuation allowances</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(49,566)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(105,968)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state valuation allowances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(10,880)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(27,251)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Non-deductible compensation</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Non-deductible transaction costs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(18,911)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Non-deductible meals and entertainment</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(12,932)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(12,182)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Change in state effective tax rate</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Base Erosion and Anti-Abuse Tax (BEAT)</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(30,448)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(8,610)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Foreign effective tax rate differential, net of valuation allowance</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(9,185)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Unremitted subsidiary gains</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(7,043)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(1,586)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tcPr>
          <w:p>
            <w:pPr>
              <w:spacing w:after="0" w:line="202" w:lineRule="exact"/>
              <w:rPr>
                <w:sz w:val="20"/>
                <w:szCs w:val="20"/>
                <w:color w:val="auto"/>
              </w:rPr>
            </w:pPr>
            <w:r>
              <w:rPr>
                <w:rFonts w:ascii="Arial" w:cs="Arial" w:eastAsia="Arial" w:hAnsi="Arial"/>
                <w:sz w:val="18"/>
                <w:szCs w:val="18"/>
                <w:color w:val="auto"/>
              </w:rPr>
              <w:t>Withholding taxes</w:t>
            </w:r>
          </w:p>
        </w:tc>
        <w:tc>
          <w:tcPr>
            <w:tcW w:w="18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(6,852)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(4,981)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(7,514)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000" w:type="dxa"/>
            <w:vAlign w:val="bottom"/>
          </w:tcPr>
          <w:p>
            <w:pPr>
              <w:spacing w:after="0" w:line="196" w:lineRule="exact"/>
              <w:rPr>
                <w:sz w:val="20"/>
                <w:szCs w:val="20"/>
                <w:color w:val="auto"/>
              </w:rPr>
            </w:pPr>
            <w:r>
              <w:rPr>
                <w:rFonts w:ascii="Arial" w:cs="Arial" w:eastAsia="Arial" w:hAnsi="Arial"/>
                <w:sz w:val="18"/>
                <w:szCs w:val="18"/>
                <w:color w:val="auto"/>
              </w:rPr>
              <w:t>Total (provision for) benefit from income taxes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941</w:t>
            </w:r>
          </w:p>
        </w:tc>
        <w:tc>
          <w:tcPr>
            <w:tcW w:w="100" w:type="dxa"/>
            <w:vAlign w:val="bottom"/>
          </w:tcPr>
          <w:p>
            <w:pPr>
              <w:spacing w:after="0"/>
              <w:rPr>
                <w:sz w:val="17"/>
                <w:szCs w:val="17"/>
                <w:color w:val="auto"/>
              </w:rPr>
            </w:pP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139,474</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-162560</wp:posOffset>
            </wp:positionV>
            <wp:extent cx="603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-162560</wp:posOffset>
            </wp:positionV>
            <wp:extent cx="603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-162560</wp:posOffset>
            </wp:positionV>
            <wp:extent cx="6032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3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of March 31, 2025, the Company had federal and state R&amp;D tax credit carryforwards of $138.4 million and $203.4 million, respectively, which begin to expire in fiscal year 2040 and fiscal year 2026, respectively. As of March 31, 2025, the Company had federal and state net operating loss carryforwards of $597.2 million and $303.0 million, respectively, which begin to expire in fiscal year 2029 and fiscal year 2026, respectively.</w:t>
      </w:r>
    </w:p>
    <w:p>
      <w:pPr>
        <w:spacing w:after="0" w:line="120" w:lineRule="exact"/>
        <w:rPr>
          <w:sz w:val="20"/>
          <w:szCs w:val="20"/>
          <w:color w:val="auto"/>
        </w:rPr>
      </w:pPr>
    </w:p>
    <w:p>
      <w:pPr>
        <w:ind w:right="460" w:firstLine="509"/>
        <w:spacing w:after="0" w:line="253" w:lineRule="auto"/>
        <w:rPr>
          <w:sz w:val="20"/>
          <w:szCs w:val="20"/>
          <w:color w:val="auto"/>
        </w:rPr>
      </w:pPr>
      <w:r>
        <w:rPr>
          <w:rFonts w:ascii="Arial" w:cs="Arial" w:eastAsia="Arial" w:hAnsi="Arial"/>
          <w:sz w:val="18"/>
          <w:szCs w:val="18"/>
          <w:color w:val="auto"/>
        </w:rPr>
        <w:t>Beginning in fiscal year 2023, for federal income tax purposes, the Company is required to capitalize and amortize domestic R&amp;D expenditures over five years and foreign R&amp;D expenditures over 15 years under the Tax Cuts and Jobs Act of 2017, which delays the deductibility of these expenditures.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accordance with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$430.5 million at March 31, 2025 and $353.6 million at March 31, 2024 has been established relating to federal, state and foreign net operating loss carryforwards, federal and state R&amp;D tax credit carryforwards, foreign tax credit carryforwards, and other federal and state net deferred tax assets for cumulative timing differences that, based on management’s estimate of future taxable income attributable to such jurisdictions and generation of additional research credits, are considered more likely than not to expire unused.</w:t>
      </w:r>
    </w:p>
    <w:p>
      <w:pPr>
        <w:spacing w:after="0" w:line="126"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During the fourth quarter of fiscal year 2025, the Company released $10.3 million of valuation allowance previously recorded against U.S. deferred tax assets. The Company evaluated both the positive and negative evidence and released valuation allowance equal to the expected benefit from the deferred tax liabilities recorded for legacy Inmarsat U.S. entities in connection with a tax planning strategy to file a consolidated U.S. federal tax return.</w:t>
      </w:r>
    </w:p>
    <w:p>
      <w:pPr>
        <w:spacing w:after="0" w:line="120"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excluding its deferred tax assets and liabilities related to the separate U.S. tax return filings of Trellisware and the legacy Inmarsat entities. As a result, the Company’s tax benefit for fiscal year 2024 was reduced by a valuation allowance recorded against such U.S. deferred tax assets.</w:t>
      </w:r>
    </w:p>
    <w:p>
      <w:pPr>
        <w:spacing w:after="0" w:line="131"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In evaluating the Company's ability to realize the deferred tax asset for California R&amp;D tax credits, the Company considered all available positive and negative evidence, including operating results and forecasted ranges of future taxable income, and determined it is more likely than not that a majority of its California R&amp;D tax credits will not be realized due to reduced taxable income apportioned to California in connection with the Link-16 TDL Sale. During the second quarter of fiscal year 2023, the Company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 million. The Company will continue to monitor its business strategies, weighing positive and negative evidence in assessing its realization of this asset in the future. In the event there is a need to release the valuation allowance, a tax benefit will be recorded.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40"/>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34"/>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fiscal year</w:t>
            </w:r>
          </w:p>
        </w:tc>
        <w:tc>
          <w:tcPr>
            <w:tcW w:w="4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185,595</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129,738</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112,806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Increase related to prior year tax positions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2,728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Decrease related to prior year tax positions</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(253)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(190)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Increase related to current year tax positions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15,608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16,123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related to business combinations</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54,193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4980" w:type="dxa"/>
            <w:vAlign w:val="bottom"/>
          </w:tcPr>
          <w:p>
            <w:pPr>
              <w:spacing w:after="0" w:line="183" w:lineRule="exact"/>
              <w:rPr>
                <w:sz w:val="20"/>
                <w:szCs w:val="20"/>
                <w:color w:val="auto"/>
              </w:rPr>
            </w:pPr>
            <w:r>
              <w:rPr>
                <w:rFonts w:ascii="Arial" w:cs="Arial" w:eastAsia="Arial" w:hAnsi="Arial"/>
                <w:sz w:val="18"/>
                <w:szCs w:val="18"/>
                <w:color w:val="auto"/>
              </w:rPr>
              <w:t>Expiration of the statute of limitations for the assessment of</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(12,744)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(16,482)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end of fiscal year</w:t>
            </w:r>
          </w:p>
        </w:tc>
        <w:tc>
          <w:tcPr>
            <w:tcW w:w="42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188,186</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185,595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129,738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-24765</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514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jc w:val="both"/>
        <w:ind w:right="600" w:firstLine="509"/>
        <w:spacing w:after="0" w:line="253" w:lineRule="auto"/>
        <w:rPr>
          <w:sz w:val="20"/>
          <w:szCs w:val="20"/>
          <w:color w:val="auto"/>
        </w:rPr>
      </w:pPr>
      <w:r>
        <w:rPr>
          <w:rFonts w:ascii="Arial" w:cs="Arial" w:eastAsia="Arial" w:hAnsi="Arial"/>
          <w:sz w:val="18"/>
          <w:szCs w:val="18"/>
          <w:color w:val="auto"/>
        </w:rPr>
        <w:t>Of the total unrecognized tax benefits at March 31, 2025, $13.6 million would reduce the Company’s annual effective tax rate if recognized, based on the Company's valuation allowance position at March 31, 2025. It is reasonably possible that there will not be a significant change in uncertain tax balances in the next 12 months.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Company’s policy is to recognize interest expense and penalties related to income tax matters as a component of income tax expense. As of March 31, 2025 and 2024, the Company had accrued interest and penalties of approximately $14.4 million and $16.9 million, respectively. Approximately $19.2 million was recorded through goodwill as part of the purchase accounting for the Inmarsat Acquisition at March 31, 2024. The Company recognized a tax benefit of $2.5 million, $2.0 million and $1.1 million for reductions of interest and penalties in income tax expense for fiscal years 2025, 2024 and 2023, respectively.</w:t>
      </w:r>
    </w:p>
    <w:p>
      <w:pPr>
        <w:spacing w:after="0" w:line="122"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and state income tax returns are subject to examination by the tax authorities for fiscal years 2022 and thereafter. Additionally, net operating loss and R&amp;D tax credit carryovers that were generated in prior years may also be subject to examination. With few exceptions, fiscal years 2021 and thereafter remain open to examination by foreign tax authorities. Calendar years 2007, 2018 and thereafter remain open in the U.K. for certain entities currently under enquiry. Calendar years 2014 and thereafter remain open in Norway for certain entities currently under enquiry. The Company believes that it has appropriate support for the income tax positions taken on its tax returns and its accruals for tax liabilities are adequate for all open years based on an assessment of many factors, including past experience and interpretations.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7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fiscal year ended March 31, 2025, the Company elected to settle the discretionary contributions liability in shares of the Company’s common stock, consistent with fiscal year 2024. Based on the closing price of the Company’s common stock on March 31, 2025, the Company would issue approximately 2,643,897 shares of common stock at this time. Discretionary contributions accrued by the Company as of March 31, 2025 and 2024 amounted to $27.5 million and $28.1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Related-Party Transactions</w:t>
      </w:r>
    </w:p>
    <w:p>
      <w:pPr>
        <w:spacing w:after="0" w:line="7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In the normal course of business, the Company engages in transactions with its equity method investments (Navarino UK and JSAT Mobile), which are considered related-party transactions. The Company recognized revenue from Navarino UK and JSAT Mobile in the amounts of $65.7 million and $64.4 million during fiscal years 2025 and 2024, respectively. The Company received cash of $68.8 million and $61.1 million from Navarino UK and JSAT Mobile during fiscal years 2025 and 2024, respectively. Accounts receivable from Navarino UK and JSAT Mobile as of March 31, 2025 and 2024 was $8.5 million and $13.2 million,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w:t>
      </w:r>
    </w:p>
    <w:p>
      <w:pPr>
        <w:spacing w:after="0" w:line="77"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As of March 31, 2025, future minimum payments under the Company’s satellite construction contracts and other satellite-related purchase commitments for the next five fiscal years and thereafter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2260" w:type="dxa"/>
            <w:vAlign w:val="bottom"/>
          </w:tcPr>
          <w:p>
            <w:pPr>
              <w:spacing w:after="0"/>
              <w:rPr>
                <w:sz w:val="17"/>
                <w:szCs w:val="17"/>
                <w:color w:val="auto"/>
              </w:rPr>
            </w:pPr>
          </w:p>
        </w:tc>
        <w:tc>
          <w:tcPr>
            <w:tcW w:w="136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920" w:type="dxa"/>
            <w:vAlign w:val="bottom"/>
            <w:shd w:val="clear" w:color="auto" w:fill="CFF0FC"/>
          </w:tcPr>
          <w:p>
            <w:pPr>
              <w:spacing w:after="0"/>
              <w:rPr>
                <w:sz w:val="17"/>
                <w:szCs w:val="17"/>
                <w:color w:val="auto"/>
              </w:rPr>
            </w:pPr>
          </w:p>
        </w:tc>
        <w:tc>
          <w:tcPr>
            <w:tcW w:w="3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262,927</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6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9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98,303</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2028</w:t>
            </w:r>
          </w:p>
        </w:tc>
        <w:tc>
          <w:tcPr>
            <w:tcW w:w="920" w:type="dxa"/>
            <w:vAlign w:val="bottom"/>
            <w:shd w:val="clear" w:color="auto" w:fill="CFF0FC"/>
          </w:tcPr>
          <w:p>
            <w:pPr>
              <w:spacing w:after="0"/>
              <w:rPr>
                <w:sz w:val="17"/>
                <w:szCs w:val="17"/>
                <w:color w:val="auto"/>
              </w:rPr>
            </w:pPr>
          </w:p>
        </w:tc>
        <w:tc>
          <w:tcPr>
            <w:tcW w:w="3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79,747</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60" w:type="dxa"/>
            <w:vAlign w:val="bottom"/>
          </w:tcPr>
          <w:p>
            <w:pPr>
              <w:spacing w:after="0" w:line="202" w:lineRule="exact"/>
              <w:rPr>
                <w:sz w:val="20"/>
                <w:szCs w:val="20"/>
                <w:color w:val="auto"/>
              </w:rPr>
            </w:pPr>
            <w:r>
              <w:rPr>
                <w:rFonts w:ascii="Arial" w:cs="Arial" w:eastAsia="Arial" w:hAnsi="Arial"/>
                <w:sz w:val="18"/>
                <w:szCs w:val="18"/>
                <w:color w:val="auto"/>
              </w:rPr>
              <w:t>2029</w:t>
            </w:r>
          </w:p>
        </w:tc>
        <w:tc>
          <w:tcPr>
            <w:tcW w:w="9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39,272</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1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2030</w:t>
            </w:r>
          </w:p>
        </w:tc>
        <w:tc>
          <w:tcPr>
            <w:tcW w:w="920" w:type="dxa"/>
            <w:vAlign w:val="bottom"/>
            <w:shd w:val="clear" w:color="auto" w:fill="CFF0FC"/>
          </w:tcPr>
          <w:p>
            <w:pPr>
              <w:spacing w:after="0"/>
              <w:rPr>
                <w:sz w:val="17"/>
                <w:szCs w:val="17"/>
                <w:color w:val="auto"/>
              </w:rPr>
            </w:pPr>
          </w:p>
        </w:tc>
        <w:tc>
          <w:tcPr>
            <w:tcW w:w="3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1,491</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2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5,638</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3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487,378</w:t>
            </w:r>
          </w:p>
        </w:tc>
        <w:tc>
          <w:tcPr>
            <w:tcW w:w="2240" w:type="dxa"/>
            <w:vAlign w:val="bottom"/>
          </w:tcPr>
          <w:p>
            <w:pPr>
              <w:spacing w:after="0"/>
              <w:rPr>
                <w:sz w:val="20"/>
                <w:szCs w:val="20"/>
                <w:color w:val="auto"/>
              </w:rPr>
            </w:pPr>
          </w:p>
        </w:tc>
      </w:tr>
      <w:tr>
        <w:trPr>
          <w:trHeight w:val="632"/>
        </w:trPr>
        <w:tc>
          <w:tcPr>
            <w:tcW w:w="2260" w:type="dxa"/>
            <w:vAlign w:val="bottom"/>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3200" w:type="dxa"/>
            <w:vAlign w:val="bottom"/>
            <w:tcBorders>
              <w:top w:val="single" w:sz="8" w:color="CFF0FC"/>
            </w:tcBorders>
          </w:tcPr>
          <w:p>
            <w:pPr>
              <w:ind w:left="900"/>
              <w:spacing w:after="0"/>
              <w:rPr>
                <w:sz w:val="20"/>
                <w:szCs w:val="20"/>
                <w:color w:val="auto"/>
              </w:rPr>
            </w:pPr>
            <w:r>
              <w:rPr>
                <w:rFonts w:ascii="Arial" w:cs="Arial" w:eastAsia="Arial" w:hAnsi="Arial"/>
                <w:sz w:val="18"/>
                <w:szCs w:val="18"/>
                <w:color w:val="auto"/>
              </w:rPr>
              <w:t>F-48</w:t>
            </w: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746"/>
        </w:trPr>
        <w:tc>
          <w:tcPr>
            <w:tcW w:w="2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-925195</wp:posOffset>
            </wp:positionV>
            <wp:extent cx="342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-908050</wp:posOffset>
            </wp:positionV>
            <wp:extent cx="342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4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right="240" w:firstLine="509"/>
        <w:spacing w:after="0" w:line="239" w:lineRule="auto"/>
        <w:rPr>
          <w:sz w:val="20"/>
          <w:szCs w:val="20"/>
          <w:color w:val="auto"/>
        </w:rPr>
      </w:pPr>
      <w:r>
        <w:rPr>
          <w:rFonts w:ascii="Arial" w:cs="Arial" w:eastAsia="Arial" w:hAnsi="Arial"/>
          <w:sz w:val="18"/>
          <w:szCs w:val="18"/>
          <w:color w:val="auto"/>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As of March 31, 2025, the Company’s estimated satellite performance incentive obligations and accrued interest for the applicable satellites were approximately $11.4 million, of which $6.2 million and $5.2 million have been classified as current in accrued liabilities and non-current in other liabilities, respectively. Under these satellite construction contracts, the Company may incur up to $11.4 million in total costs for satellite performance incentive obligations and related interest earned with potential future minimum payments of $5.8 million, $4.7 million and an insignificant amount in fiscal years 2026, 2027, 2028, respectively, with no commitments thereafter.</w:t>
      </w:r>
    </w:p>
    <w:p>
      <w:pPr>
        <w:spacing w:after="0" w:line="129"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which as of March 31, 2025 are approximately $145.1 million, $82.9 million, $74.8 million, $73.2 million and $23.6 million in fiscal years 2026, 2027, 2028, 2029 and 2030, respectively, and $3.9 million of further minimum payments thereafter.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Contingencies</w:t>
      </w:r>
    </w:p>
    <w:p>
      <w:pPr>
        <w:spacing w:after="0" w:line="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March 31, 2025, the DCMA had approved the Company’s incurred costs through fiscal year 2022. The DCAA is currently auditing the Company's fiscal year 2024 recurring incurred cost submissions.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2025 and 2024, the Company had $14.8 million and $16.6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years 2024 and 2023</w:t>
      </w:r>
    </w:p>
    <w:p>
      <w:pPr>
        <w:spacing w:after="0" w:line="15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July 2022 and September 2023, the Company settled certain pending litigation. Under the terms of the settlement and licensing agreement, the Company receives certain payments, which may vary based on sales of licensed products. The Company received payments and recognized $41.7 million, $99.9 million and $55.8 million as product revenues within the Company's defense and advanced technologies segment during fiscal years 2025, 2024 and 2023, respectively, and recognized $7.2 million and $6.4 million as interest income during fiscal years 2024 and 2023,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77"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reports its results in two 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 Due to the resegmentation that was implemented commencing with the first quarter of fiscal year 2025, prior period segment amounts have been recast to conform to the current segment presentation.</w:t>
      </w:r>
    </w:p>
    <w:p>
      <w:pPr>
        <w:spacing w:after="0" w:line="4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spacing w:after="0" w:line="122"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12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spacing w:after="0" w:line="1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Segment revenues, expenses and operating profits (losses) for the fiscal years ended March 31, 2025, 2024 and 2023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March 31, 2025</w:t>
            </w:r>
          </w:p>
        </w:tc>
        <w:tc>
          <w:tcPr>
            <w:tcW w:w="100" w:type="dxa"/>
            <w:vAlign w:val="bottom"/>
          </w:tcPr>
          <w:p>
            <w:pPr>
              <w:spacing w:after="0"/>
              <w:rPr>
                <w:sz w:val="13"/>
                <w:szCs w:val="13"/>
                <w:color w:val="auto"/>
              </w:rPr>
            </w:pPr>
          </w:p>
        </w:tc>
        <w:tc>
          <w:tcPr>
            <w:tcW w:w="1680" w:type="dxa"/>
            <w:vAlign w:val="bottom"/>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March 31, 2024</w:t>
            </w:r>
          </w:p>
        </w:tc>
        <w:tc>
          <w:tcPr>
            <w:tcW w:w="180" w:type="dxa"/>
            <w:vAlign w:val="bottom"/>
          </w:tcPr>
          <w:p>
            <w:pPr>
              <w:spacing w:after="0"/>
              <w:rPr>
                <w:sz w:val="13"/>
                <w:szCs w:val="13"/>
                <w:color w:val="auto"/>
              </w:rPr>
            </w:pPr>
          </w:p>
        </w:tc>
        <w:tc>
          <w:tcPr>
            <w:tcW w:w="140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3"/>
                <w:szCs w:val="13"/>
                <w:color w:val="auto"/>
              </w:rPr>
            </w:pPr>
          </w:p>
        </w:tc>
      </w:tr>
      <w:tr>
        <w:trPr>
          <w:trHeight w:val="156"/>
        </w:trPr>
        <w:tc>
          <w:tcPr>
            <w:tcW w:w="5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Communication services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Aviation services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1,048,225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864,834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346,950</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Government satcom services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754,552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596,826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165,897</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Maritime services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477,968</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430,090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3,362</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Fixed services and other services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741,601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906,762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919,440</w:t>
            </w:r>
          </w:p>
        </w:tc>
        <w:tc>
          <w:tcPr>
            <w:tcW w:w="100" w:type="dxa"/>
            <w:vAlign w:val="bottom"/>
          </w:tcPr>
          <w:p>
            <w:pPr>
              <w:spacing w:after="0"/>
              <w:rPr>
                <w:sz w:val="16"/>
                <w:szCs w:val="16"/>
                <w:color w:val="auto"/>
              </w:rPr>
            </w:pPr>
          </w:p>
        </w:tc>
      </w:tr>
      <w:tr>
        <w:trPr>
          <w:trHeight w:val="183"/>
        </w:trPr>
        <w:tc>
          <w:tcPr>
            <w:tcW w:w="5980" w:type="dxa"/>
            <w:vAlign w:val="bottom"/>
            <w:shd w:val="clear" w:color="auto" w:fill="CFF0FC"/>
          </w:tcPr>
          <w:p>
            <w:pPr>
              <w:ind w:left="340"/>
              <w:spacing w:after="0" w:line="183" w:lineRule="exact"/>
              <w:rPr>
                <w:sz w:val="20"/>
                <w:szCs w:val="20"/>
                <w:color w:val="auto"/>
              </w:rPr>
            </w:pPr>
            <w:r>
              <w:rPr>
                <w:rFonts w:ascii="Arial" w:cs="Arial" w:eastAsia="Arial" w:hAnsi="Arial"/>
                <w:sz w:val="16"/>
                <w:szCs w:val="16"/>
                <w:color w:val="auto"/>
              </w:rPr>
              <w:t>Total services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3,022,346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2,798,512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1,435,649</w:t>
            </w: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340"/>
              <w:spacing w:after="0"/>
              <w:rPr>
                <w:sz w:val="20"/>
                <w:szCs w:val="20"/>
                <w:color w:val="auto"/>
              </w:rPr>
            </w:pPr>
            <w:r>
              <w:rPr>
                <w:rFonts w:ascii="Arial" w:cs="Arial" w:eastAsia="Arial" w:hAnsi="Arial"/>
                <w:sz w:val="16"/>
                <w:szCs w:val="16"/>
                <w:color w:val="auto"/>
              </w:rPr>
              <w:t>Total products</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269,126</w:t>
            </w:r>
          </w:p>
        </w:tc>
        <w:tc>
          <w:tcPr>
            <w:tcW w:w="100" w:type="dxa"/>
            <w:vAlign w:val="bottom"/>
          </w:tcPr>
          <w:p>
            <w:pPr>
              <w:spacing w:after="0"/>
              <w:rPr>
                <w:sz w:val="16"/>
                <w:szCs w:val="16"/>
                <w:color w:val="auto"/>
              </w:rPr>
            </w:pPr>
          </w:p>
        </w:tc>
      </w:tr>
      <w:tr>
        <w:trPr>
          <w:trHeight w:val="183"/>
        </w:trPr>
        <w:tc>
          <w:tcPr>
            <w:tcW w:w="5980" w:type="dxa"/>
            <w:vAlign w:val="bottom"/>
            <w:shd w:val="clear" w:color="auto" w:fill="CFF0FC"/>
          </w:tcPr>
          <w:p>
            <w:pPr>
              <w:ind w:left="440"/>
              <w:spacing w:after="0" w:line="183" w:lineRule="exact"/>
              <w:rPr>
                <w:sz w:val="20"/>
                <w:szCs w:val="20"/>
                <w:color w:val="auto"/>
              </w:rPr>
            </w:pPr>
            <w:r>
              <w:rPr>
                <w:rFonts w:ascii="Arial" w:cs="Arial" w:eastAsia="Arial" w:hAnsi="Arial"/>
                <w:sz w:val="16"/>
                <w:szCs w:val="16"/>
                <w:color w:val="auto"/>
              </w:rPr>
              <w:t>Total communication services revenues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3,298,485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3,141,540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1,704,775</w:t>
            </w: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Defense and advanced technologies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Total services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203,430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166,383</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Information security and cyber defense products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325,439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302,056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181,591</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Space and mission systems products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304,870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309,253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259,286</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Tactical networking products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319,577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202,094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179,099</w:t>
            </w:r>
          </w:p>
        </w:tc>
        <w:tc>
          <w:tcPr>
            <w:tcW w:w="100" w:type="dxa"/>
            <w:vAlign w:val="bottom"/>
          </w:tcPr>
          <w:p>
            <w:pPr>
              <w:spacing w:after="0"/>
              <w:rPr>
                <w:sz w:val="16"/>
                <w:szCs w:val="16"/>
                <w:color w:val="auto"/>
              </w:rPr>
            </w:pPr>
          </w:p>
        </w:tc>
      </w:tr>
      <w:tr>
        <w:trPr>
          <w:trHeight w:val="189"/>
        </w:trPr>
        <w:tc>
          <w:tcPr>
            <w:tcW w:w="59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Advanced technologies and other products</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67,770</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122,733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65,024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80" w:type="dxa"/>
            <w:vAlign w:val="bottom"/>
          </w:tcPr>
          <w:p>
            <w:pPr>
              <w:ind w:left="340"/>
              <w:spacing w:after="0" w:line="183" w:lineRule="exact"/>
              <w:rPr>
                <w:sz w:val="20"/>
                <w:szCs w:val="20"/>
                <w:color w:val="auto"/>
              </w:rPr>
            </w:pPr>
            <w:r>
              <w:rPr>
                <w:rFonts w:ascii="Arial" w:cs="Arial" w:eastAsia="Arial" w:hAnsi="Arial"/>
                <w:sz w:val="16"/>
                <w:szCs w:val="16"/>
                <w:color w:val="auto"/>
              </w:rPr>
              <w:t>Total products</w:t>
            </w: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1,017,656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936,136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685,000</w:t>
            </w:r>
          </w:p>
        </w:tc>
        <w:tc>
          <w:tcPr>
            <w:tcW w:w="100" w:type="dxa"/>
            <w:vAlign w:val="bottom"/>
          </w:tcPr>
          <w:p>
            <w:pPr>
              <w:spacing w:after="0"/>
              <w:rPr>
                <w:sz w:val="15"/>
                <w:szCs w:val="15"/>
                <w:color w:val="auto"/>
              </w:rPr>
            </w:pPr>
          </w:p>
        </w:tc>
      </w:tr>
      <w:tr>
        <w:trPr>
          <w:trHeight w:val="183"/>
        </w:trPr>
        <w:tc>
          <w:tcPr>
            <w:tcW w:w="5980" w:type="dxa"/>
            <w:vAlign w:val="bottom"/>
            <w:shd w:val="clear" w:color="auto" w:fill="CFF0FC"/>
          </w:tcPr>
          <w:p>
            <w:pPr>
              <w:ind w:left="440"/>
              <w:spacing w:after="0" w:line="183" w:lineRule="exact"/>
              <w:rPr>
                <w:sz w:val="20"/>
                <w:szCs w:val="20"/>
                <w:color w:val="auto"/>
              </w:rPr>
            </w:pPr>
            <w:r>
              <w:rPr>
                <w:rFonts w:ascii="Arial" w:cs="Arial" w:eastAsia="Arial" w:hAnsi="Arial"/>
                <w:sz w:val="16"/>
                <w:szCs w:val="16"/>
                <w:color w:val="auto"/>
              </w:rPr>
              <w:t>Total defense and advanced technologies revenues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1,221,086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1,142,218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851,383</w:t>
            </w:r>
          </w:p>
        </w:tc>
        <w:tc>
          <w:tcPr>
            <w:tcW w:w="100" w:type="dxa"/>
            <w:vAlign w:val="bottom"/>
            <w:shd w:val="clear" w:color="auto" w:fill="CFF0FC"/>
          </w:tcPr>
          <w:p>
            <w:pPr>
              <w:spacing w:after="0"/>
              <w:rPr>
                <w:sz w:val="15"/>
                <w:szCs w:val="15"/>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Elimination of intersegment revenues</w:t>
            </w:r>
          </w:p>
        </w:tc>
        <w:tc>
          <w:tcPr>
            <w:tcW w:w="180" w:type="dxa"/>
            <w:vAlign w:val="bottom"/>
          </w:tcPr>
          <w:p>
            <w:pPr>
              <w:spacing w:after="0"/>
              <w:rPr>
                <w:sz w:val="16"/>
                <w:szCs w:val="16"/>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23"/>
        </w:trPr>
        <w:tc>
          <w:tcPr>
            <w:tcW w:w="59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4,519,571</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4,283,758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2,556,158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5980" w:type="dxa"/>
            <w:vAlign w:val="bottom"/>
          </w:tcPr>
          <w:p>
            <w:pPr>
              <w:spacing w:after="0" w:line="170" w:lineRule="exact"/>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Communication services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988,447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825,788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350,954</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48,760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52,662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51,578</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Other than acquired intangible assets amortization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41,373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50,718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49,058</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and transaction related expenses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50,807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53,285</w:t>
            </w:r>
          </w:p>
        </w:tc>
        <w:tc>
          <w:tcPr>
            <w:tcW w:w="100" w:type="dxa"/>
            <w:vAlign w:val="bottom"/>
            <w:shd w:val="clear" w:color="auto" w:fill="CFF0FC"/>
          </w:tcPr>
          <w:p>
            <w:pPr>
              <w:spacing w:after="0"/>
              <w:rPr>
                <w:sz w:val="16"/>
                <w:szCs w:val="16"/>
                <w:color w:val="auto"/>
              </w:rPr>
            </w:pPr>
          </w:p>
        </w:tc>
      </w:tr>
      <w:tr>
        <w:trPr>
          <w:trHeight w:val="175"/>
        </w:trPr>
        <w:tc>
          <w:tcPr>
            <w:tcW w:w="5980" w:type="dxa"/>
            <w:vAlign w:val="bottom"/>
          </w:tcPr>
          <w:p>
            <w:pPr>
              <w:ind w:left="220"/>
              <w:spacing w:after="0" w:line="175" w:lineRule="exact"/>
              <w:rPr>
                <w:sz w:val="20"/>
                <w:szCs w:val="20"/>
                <w:color w:val="auto"/>
              </w:rPr>
            </w:pPr>
            <w:r>
              <w:rPr>
                <w:rFonts w:ascii="Arial" w:cs="Arial" w:eastAsia="Arial" w:hAnsi="Arial"/>
                <w:sz w:val="16"/>
                <w:szCs w:val="16"/>
                <w:color w:val="auto"/>
              </w:rPr>
              <w:t>Ground network (FY25), satellite (FY24) impairment</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980" w:type="dxa"/>
            <w:vAlign w:val="bottom"/>
          </w:tcPr>
          <w:p>
            <w:pPr>
              <w:ind w:left="360"/>
              <w:spacing w:after="0"/>
              <w:rPr>
                <w:sz w:val="20"/>
                <w:szCs w:val="20"/>
                <w:color w:val="auto"/>
              </w:rPr>
            </w:pPr>
            <w:r>
              <w:rPr>
                <w:rFonts w:ascii="Arial" w:cs="Arial" w:eastAsia="Arial" w:hAnsi="Arial"/>
                <w:sz w:val="16"/>
                <w:szCs w:val="16"/>
                <w:color w:val="auto"/>
              </w:rPr>
              <w:t>and related charges,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169,400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905,496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 segment items (2)</w:t>
            </w: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2,049,920</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2,009,817</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1,389,302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80" w:type="dxa"/>
            <w:vAlign w:val="bottom"/>
          </w:tcPr>
          <w:p>
            <w:pPr>
              <w:ind w:left="440"/>
              <w:spacing w:after="0" w:line="183" w:lineRule="exact"/>
              <w:rPr>
                <w:sz w:val="20"/>
                <w:szCs w:val="20"/>
                <w:color w:val="auto"/>
              </w:rPr>
            </w:pPr>
            <w:r>
              <w:rPr>
                <w:rFonts w:ascii="Arial" w:cs="Arial" w:eastAsia="Arial" w:hAnsi="Arial"/>
                <w:sz w:val="16"/>
                <w:szCs w:val="16"/>
                <w:color w:val="auto"/>
              </w:rPr>
              <w:t>Total communication services expenses (1)</w:t>
            </w:r>
          </w:p>
        </w:tc>
        <w:tc>
          <w:tcPr>
            <w:tcW w:w="18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3,348,707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3,958,594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spacing w:after="0" w:line="183" w:lineRule="exact"/>
              <w:rPr>
                <w:sz w:val="20"/>
                <w:szCs w:val="20"/>
                <w:color w:val="auto"/>
              </w:rPr>
            </w:pPr>
            <w:r>
              <w:rPr>
                <w:rFonts w:ascii="Arial" w:cs="Arial" w:eastAsia="Arial" w:hAnsi="Arial"/>
                <w:sz w:val="16"/>
                <w:szCs w:val="16"/>
                <w:color w:val="auto"/>
              </w:rPr>
              <w:t>1,894,177</w:t>
            </w:r>
          </w:p>
        </w:tc>
        <w:tc>
          <w:tcPr>
            <w:tcW w:w="100" w:type="dxa"/>
            <w:vAlign w:val="bottom"/>
          </w:tcPr>
          <w:p>
            <w:pPr>
              <w:spacing w:after="0"/>
              <w:rPr>
                <w:sz w:val="15"/>
                <w:szCs w:val="15"/>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Defense and advanced technologies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41,853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52,701</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31,625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30,969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30,534</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Other than acquired intangible assets amortization</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and transaction related expenses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43,466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33,011</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220"/>
              <w:spacing w:after="0"/>
              <w:rPr>
                <w:sz w:val="20"/>
                <w:szCs w:val="20"/>
                <w:color w:val="auto"/>
              </w:rPr>
            </w:pPr>
            <w:r>
              <w:rPr>
                <w:rFonts w:ascii="Arial" w:cs="Arial" w:eastAsia="Arial" w:hAnsi="Arial"/>
                <w:sz w:val="16"/>
                <w:szCs w:val="16"/>
                <w:color w:val="auto"/>
              </w:rPr>
              <w:t>Other segment items (2)</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892,072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859,517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660,833</w:t>
            </w:r>
          </w:p>
        </w:tc>
        <w:tc>
          <w:tcPr>
            <w:tcW w:w="100" w:type="dxa"/>
            <w:vAlign w:val="bottom"/>
          </w:tcPr>
          <w:p>
            <w:pPr>
              <w:spacing w:after="0"/>
              <w:rPr>
                <w:sz w:val="16"/>
                <w:szCs w:val="16"/>
                <w:color w:val="auto"/>
              </w:rPr>
            </w:pPr>
          </w:p>
        </w:tc>
      </w:tr>
      <w:tr>
        <w:trPr>
          <w:trHeight w:val="183"/>
        </w:trPr>
        <w:tc>
          <w:tcPr>
            <w:tcW w:w="5980" w:type="dxa"/>
            <w:vAlign w:val="bottom"/>
            <w:tcBorders>
              <w:bottom w:val="single" w:sz="8" w:color="CFF0FC"/>
            </w:tcBorders>
            <w:shd w:val="clear" w:color="auto" w:fill="CFF0FC"/>
          </w:tcPr>
          <w:p>
            <w:pPr>
              <w:ind w:left="440"/>
              <w:spacing w:after="0" w:line="183" w:lineRule="exact"/>
              <w:rPr>
                <w:sz w:val="20"/>
                <w:szCs w:val="20"/>
                <w:color w:val="auto"/>
              </w:rPr>
            </w:pPr>
            <w:r>
              <w:rPr>
                <w:rFonts w:ascii="Arial" w:cs="Arial" w:eastAsia="Arial" w:hAnsi="Arial"/>
                <w:sz w:val="16"/>
                <w:szCs w:val="16"/>
                <w:color w:val="auto"/>
              </w:rPr>
              <w:t>Total defense and advanced technologies expenses (1)</w:t>
            </w: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1,004,411</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987,805</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788,126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4,353,118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4,946,399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2,682,303</w:t>
            </w:r>
          </w:p>
        </w:tc>
        <w:tc>
          <w:tcPr>
            <w:tcW w:w="100" w:type="dxa"/>
            <w:vAlign w:val="bottom"/>
          </w:tcPr>
          <w:p>
            <w:pPr>
              <w:spacing w:after="0"/>
              <w:rPr>
                <w:sz w:val="15"/>
                <w:szCs w:val="15"/>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98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Operating profits (losses):</w:t>
            </w: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Communication services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(50,222)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(817,054)</w:t>
            </w:r>
          </w:p>
        </w:tc>
        <w:tc>
          <w:tcPr>
            <w:tcW w:w="10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(189,402)</w:t>
            </w: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Defense and advanced technologies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216,675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154,413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63,257</w:t>
            </w:r>
          </w:p>
        </w:tc>
        <w:tc>
          <w:tcPr>
            <w:tcW w:w="100" w:type="dxa"/>
            <w:vAlign w:val="bottom"/>
            <w:shd w:val="clear" w:color="auto" w:fill="CFF0FC"/>
          </w:tcPr>
          <w:p>
            <w:pPr>
              <w:spacing w:after="0"/>
              <w:rPr>
                <w:sz w:val="16"/>
                <w:szCs w:val="16"/>
                <w:color w:val="auto"/>
              </w:rPr>
            </w:pP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Elimination of intersegment operating profits (losses)</w:t>
            </w:r>
          </w:p>
        </w:tc>
        <w:tc>
          <w:tcPr>
            <w:tcW w:w="180" w:type="dxa"/>
            <w:vAlign w:val="bottom"/>
          </w:tcPr>
          <w:p>
            <w:pPr>
              <w:spacing w:after="0"/>
              <w:rPr>
                <w:sz w:val="16"/>
                <w:szCs w:val="16"/>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6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68"/>
        </w:trPr>
        <w:tc>
          <w:tcPr>
            <w:tcW w:w="598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Segment operating profit (loss) before corporate</w:t>
            </w:r>
          </w:p>
        </w:tc>
        <w:tc>
          <w:tcPr>
            <w:tcW w:w="18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5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 amortization of acquired intangible assets</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166,453</w:t>
            </w:r>
          </w:p>
        </w:tc>
        <w:tc>
          <w:tcPr>
            <w:tcW w:w="12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(662,641)</w:t>
            </w:r>
          </w:p>
        </w:tc>
        <w:tc>
          <w:tcPr>
            <w:tcW w:w="100" w:type="dxa"/>
            <w:vAlign w:val="bottom"/>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(126,145)</w:t>
            </w:r>
          </w:p>
        </w:tc>
      </w:tr>
      <w:tr>
        <w:trPr>
          <w:trHeight w:val="189"/>
        </w:trPr>
        <w:tc>
          <w:tcPr>
            <w:tcW w:w="5980" w:type="dxa"/>
            <w:vAlign w:val="bottom"/>
          </w:tcPr>
          <w:p>
            <w:pPr>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of acquired intangible assets</w:t>
            </w: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(263,933)</w:t>
            </w: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(227,165)</w:t>
            </w:r>
          </w:p>
        </w:tc>
        <w:tc>
          <w:tcPr>
            <w:tcW w:w="100" w:type="dxa"/>
            <w:vAlign w:val="bottom"/>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(29,811)</w:t>
            </w: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83,920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96,258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19,512</w:t>
            </w:r>
          </w:p>
        </w:tc>
        <w:tc>
          <w:tcPr>
            <w:tcW w:w="100" w:type="dxa"/>
            <w:vAlign w:val="bottom"/>
          </w:tcPr>
          <w:p>
            <w:pPr>
              <w:spacing w:after="0"/>
              <w:rPr>
                <w:sz w:val="16"/>
                <w:szCs w:val="16"/>
                <w:color w:val="auto"/>
              </w:rPr>
            </w:pP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(421,944)</w:t>
            </w: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(400,398)</w:t>
            </w:r>
          </w:p>
        </w:tc>
        <w:tc>
          <w:tcPr>
            <w:tcW w:w="100" w:type="dxa"/>
            <w:vAlign w:val="bottom"/>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(26,809)</w:t>
            </w:r>
          </w:p>
        </w:tc>
      </w:tr>
      <w:tr>
        <w:trPr>
          <w:trHeight w:val="189"/>
        </w:trPr>
        <w:tc>
          <w:tcPr>
            <w:tcW w:w="5980" w:type="dxa"/>
            <w:vAlign w:val="bottom"/>
          </w:tcPr>
          <w:p>
            <w:pPr>
              <w:ind w:left="120"/>
              <w:spacing w:after="0"/>
              <w:rPr>
                <w:sz w:val="20"/>
                <w:szCs w:val="20"/>
                <w:color w:val="auto"/>
              </w:rPr>
            </w:pPr>
            <w:r>
              <w:rPr>
                <w:rFonts w:ascii="Arial" w:cs="Arial" w:eastAsia="Arial" w:hAnsi="Arial"/>
                <w:sz w:val="16"/>
                <w:szCs w:val="16"/>
                <w:color w:val="auto"/>
              </w:rPr>
              <w:t>(Loss) gain on extinguishment of debt, net</w:t>
            </w:r>
          </w:p>
        </w:tc>
        <w:tc>
          <w:tcPr>
            <w:tcW w:w="180" w:type="dxa"/>
            <w:vAlign w:val="bottom"/>
          </w:tcPr>
          <w:p>
            <w:pPr>
              <w:spacing w:after="0"/>
              <w:rPr>
                <w:sz w:val="16"/>
                <w:szCs w:val="16"/>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(99,814)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59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income (expense), net</w:t>
            </w:r>
          </w:p>
        </w:tc>
        <w:tc>
          <w:tcPr>
            <w:tcW w:w="180" w:type="dxa"/>
            <w:vAlign w:val="bottom"/>
            <w:shd w:val="clear" w:color="auto" w:fill="CFF0FC"/>
          </w:tcPr>
          <w:p>
            <w:pPr>
              <w:spacing w:after="0"/>
              <w:rPr>
                <w:sz w:val="16"/>
                <w:szCs w:val="16"/>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(9,976)</w:t>
            </w:r>
          </w:p>
        </w:tc>
        <w:tc>
          <w:tcPr>
            <w:tcW w:w="100" w:type="dxa"/>
            <w:vAlign w:val="bottom"/>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FF0FC"/>
          </w:tcPr>
          <w:p>
            <w:pPr>
              <w:spacing w:after="0"/>
              <w:rPr>
                <w:sz w:val="16"/>
                <w:szCs w:val="16"/>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980" w:type="dxa"/>
            <w:vAlign w:val="bottom"/>
          </w:tcPr>
          <w:p>
            <w:pPr>
              <w:spacing w:after="0" w:line="183" w:lineRule="exact"/>
              <w:rPr>
                <w:sz w:val="20"/>
                <w:szCs w:val="20"/>
                <w:color w:val="auto"/>
              </w:rPr>
            </w:pPr>
            <w:r>
              <w:rPr>
                <w:rFonts w:ascii="Arial" w:cs="Arial" w:eastAsia="Arial" w:hAnsi="Arial"/>
                <w:sz w:val="16"/>
                <w:szCs w:val="16"/>
                <w:color w:val="auto"/>
              </w:rPr>
              <w:t>Income (loss) from continuing operations before income taxes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(545,294)</w:t>
            </w:r>
          </w:p>
        </w:tc>
        <w:tc>
          <w:tcPr>
            <w:tcW w:w="10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(1,193,946)</w:t>
            </w:r>
          </w:p>
        </w:tc>
        <w:tc>
          <w:tcPr>
            <w:tcW w:w="10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(162,155)</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-4345305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-4345305</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-4345305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-3839845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-3822700</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-3839845</wp:posOffset>
            </wp:positionV>
            <wp:extent cx="685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-3822700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-2733675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-2733675</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-1756410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-1756410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-153670</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-153670</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186055</wp:posOffset>
            </wp:positionV>
            <wp:extent cx="62547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6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09" w:lineRule="exact"/>
        <w:rPr>
          <w:sz w:val="20"/>
          <w:szCs w:val="20"/>
          <w:color w:val="auto"/>
        </w:rPr>
      </w:pPr>
    </w:p>
    <w:p>
      <w:pPr>
        <w:ind w:left="1020" w:right="2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fiscal years 2025, 2024, and 2023, IR&amp;D expense and related activities, including allocable depreciation, stock-based compensation and other expenses were $83.4 million, $105.0 million and $99.5 million, respectively, for the communication services segment, and $59.0 million, $45.7 million and $29.4 million, respectively, for the defense and advanced technologies segment.</w:t>
      </w:r>
    </w:p>
    <w:p>
      <w:pPr>
        <w:spacing w:after="0" w:line="1" w:lineRule="exact"/>
        <w:rPr>
          <w:rFonts w:ascii="Arial" w:cs="Arial" w:eastAsia="Arial" w:hAnsi="Arial"/>
          <w:sz w:val="18"/>
          <w:szCs w:val="18"/>
          <w:color w:val="auto"/>
        </w:rPr>
      </w:pPr>
    </w:p>
    <w:p>
      <w:pPr>
        <w:ind w:left="1020" w:right="180" w:hanging="503"/>
        <w:spacing w:after="0" w:line="275"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fiscal years ended March 31, 2025, 2024 and 2023 were as follows: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ind w:left="120"/>
              <w:spacing w:after="0" w:line="147"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200" w:type="dxa"/>
            <w:vAlign w:val="bottom"/>
          </w:tcPr>
          <w:p>
            <w:pPr>
              <w:jc w:val="right"/>
              <w:ind w:right="317"/>
              <w:spacing w:after="0" w:line="147"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U.S. customers</w:t>
            </w:r>
          </w:p>
        </w:tc>
        <w:tc>
          <w:tcPr>
            <w:tcW w:w="6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w w:val="97"/>
              </w:rPr>
              <w:t>3,117,233</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w w:val="97"/>
              </w:rPr>
              <w:t>3,029,303</w:t>
            </w:r>
          </w:p>
        </w:tc>
        <w:tc>
          <w:tcPr>
            <w:tcW w:w="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2,147,651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80" w:type="dxa"/>
            <w:vAlign w:val="bottom"/>
          </w:tcPr>
          <w:p>
            <w:pPr>
              <w:spacing w:after="0" w:line="183" w:lineRule="exact"/>
              <w:rPr>
                <w:sz w:val="20"/>
                <w:szCs w:val="20"/>
                <w:color w:val="auto"/>
              </w:rPr>
            </w:pPr>
            <w:r>
              <w:rPr>
                <w:rFonts w:ascii="Arial" w:cs="Arial" w:eastAsia="Arial" w:hAnsi="Arial"/>
                <w:sz w:val="18"/>
                <w:szCs w:val="18"/>
                <w:color w:val="auto"/>
              </w:rPr>
              <w:t>Non U.S. customers (each country individually</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ind w:left="300"/>
              <w:spacing w:after="0"/>
              <w:rPr>
                <w:sz w:val="20"/>
                <w:szCs w:val="20"/>
                <w:color w:val="auto"/>
              </w:rPr>
            </w:pPr>
            <w:r>
              <w:rPr>
                <w:rFonts w:ascii="Arial" w:cs="Arial" w:eastAsia="Arial" w:hAnsi="Arial"/>
                <w:sz w:val="18"/>
                <w:szCs w:val="18"/>
                <w:color w:val="auto"/>
                <w:w w:val="97"/>
              </w:rPr>
              <w:t>1,402,338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ind w:left="340"/>
              <w:spacing w:after="0"/>
              <w:rPr>
                <w:sz w:val="20"/>
                <w:szCs w:val="20"/>
                <w:color w:val="auto"/>
              </w:rPr>
            </w:pPr>
            <w:r>
              <w:rPr>
                <w:rFonts w:ascii="Arial" w:cs="Arial" w:eastAsia="Arial" w:hAnsi="Arial"/>
                <w:sz w:val="18"/>
                <w:szCs w:val="18"/>
                <w:color w:val="auto"/>
                <w:w w:val="97"/>
              </w:rPr>
              <w:t>1,254,455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408,507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rPr>
              <w:t>insignificant)</w:t>
            </w: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revenues</w:t>
            </w:r>
          </w:p>
        </w:tc>
        <w:tc>
          <w:tcPr>
            <w:tcW w:w="6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w w:val="97"/>
              </w:rPr>
              <w:t>4,519,571</w:t>
            </w:r>
          </w:p>
        </w:tc>
        <w:tc>
          <w:tcPr>
            <w:tcW w:w="3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340"/>
              <w:spacing w:after="0" w:line="196" w:lineRule="exact"/>
              <w:rPr>
                <w:sz w:val="20"/>
                <w:szCs w:val="20"/>
                <w:color w:val="auto"/>
              </w:rPr>
            </w:pPr>
            <w:r>
              <w:rPr>
                <w:rFonts w:ascii="Arial" w:cs="Arial" w:eastAsia="Arial" w:hAnsi="Arial"/>
                <w:sz w:val="18"/>
                <w:szCs w:val="18"/>
                <w:color w:val="auto"/>
                <w:w w:val="97"/>
              </w:rPr>
              <w:t>4,283,758</w:t>
            </w:r>
          </w:p>
        </w:tc>
        <w:tc>
          <w:tcPr>
            <w:tcW w:w="1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2,556,158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514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514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514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514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net book value of long-lived assets located outside the United States was approximately $1.7 billion at March 31, 2025 and approximately $2.0 billion at March 31, 2024, including a net book value of long-lived assets located in the United Kingdom of $1.2 billion and $1.3 billion (primarily related to the Inmarsat Acquisition) as of March 31, 2025 and March 31, 2024,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6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May 2, 2025, subsequent to fiscal year 2025, the Company repurchased all of the outstanding 2025 Notes at a redemption price of 100% of the principal amount so redeemed plus accrued and unpaid interest thereon to the redemption date, and the indenture governing the 2025 Notes was satisfied and discharged in accordance with its terms. As a result of the redemption of the 2025 Notes, the Company is expected to recognize a loss of an insignificant amount on extinguishment of debt during the first quarter of fiscal year 2026.</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47"/>
        </w:trPr>
        <w:tc>
          <w:tcPr>
            <w:tcW w:w="10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22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SCHEDULE II</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64"/>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20" w:type="dxa"/>
            <w:vAlign w:val="bottom"/>
            <w:gridSpan w:val="3"/>
          </w:tcPr>
          <w:p>
            <w:pPr>
              <w:jc w:val="center"/>
              <w:ind w:right="1540"/>
              <w:spacing w:after="0"/>
              <w:rPr>
                <w:sz w:val="20"/>
                <w:szCs w:val="20"/>
                <w:color w:val="auto"/>
              </w:rPr>
            </w:pPr>
            <w:r>
              <w:rPr>
                <w:rFonts w:ascii="Arial" w:cs="Arial" w:eastAsia="Arial" w:hAnsi="Arial"/>
                <w:sz w:val="18"/>
                <w:szCs w:val="18"/>
                <w:b w:val="1"/>
                <w:bCs w:val="1"/>
                <w:color w:val="auto"/>
                <w:w w:val="99"/>
              </w:rPr>
              <w:t>VALUATION AND QUALIFYING ACCOUNTS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22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For the Three Fiscal Years Ended March 31, 2025</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6"/>
        </w:trPr>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1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Asset Valuation</w:t>
            </w:r>
          </w:p>
        </w:tc>
      </w:tr>
      <w:tr>
        <w:trPr>
          <w:trHeight w:val="171"/>
        </w:trPr>
        <w:tc>
          <w:tcPr>
            <w:tcW w:w="10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Allowance</w:t>
            </w:r>
          </w:p>
        </w:tc>
      </w:tr>
      <w:tr>
        <w:trPr>
          <w:trHeight w:val="156"/>
        </w:trPr>
        <w:tc>
          <w:tcPr>
            <w:tcW w:w="106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tcPr>
          <w:p>
            <w:pPr>
              <w:spacing w:after="0"/>
              <w:rPr>
                <w:sz w:val="13"/>
                <w:szCs w:val="13"/>
                <w:color w:val="auto"/>
              </w:rPr>
            </w:pPr>
          </w:p>
        </w:tc>
        <w:tc>
          <w:tcPr>
            <w:tcW w:w="5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center"/>
              <w:ind w:right="175"/>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32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Balance, March 31, 2022</w:t>
            </w:r>
          </w:p>
        </w:tc>
        <w:tc>
          <w:tcPr>
            <w:tcW w:w="622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78,071</w:t>
            </w:r>
          </w:p>
        </w:tc>
        <w:tc>
          <w:tcPr>
            <w:tcW w:w="120" w:type="dxa"/>
            <w:vAlign w:val="bottom"/>
            <w:shd w:val="clear" w:color="auto" w:fill="CFF0FC"/>
          </w:tcPr>
          <w:p>
            <w:pPr>
              <w:spacing w:after="0"/>
              <w:rPr>
                <w:sz w:val="17"/>
                <w:szCs w:val="17"/>
                <w:color w:val="auto"/>
              </w:rPr>
            </w:pPr>
          </w:p>
        </w:tc>
      </w:tr>
      <w:tr>
        <w:trPr>
          <w:trHeight w:val="203"/>
        </w:trPr>
        <w:tc>
          <w:tcPr>
            <w:tcW w:w="32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Charged to costs and expenses</w:t>
            </w: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71,976</w:t>
            </w:r>
          </w:p>
        </w:tc>
        <w:tc>
          <w:tcPr>
            <w:tcW w:w="120" w:type="dxa"/>
            <w:vAlign w:val="bottom"/>
          </w:tcPr>
          <w:p>
            <w:pPr>
              <w:spacing w:after="0"/>
              <w:rPr>
                <w:sz w:val="17"/>
                <w:szCs w:val="17"/>
                <w:color w:val="auto"/>
              </w:rPr>
            </w:pPr>
          </w:p>
        </w:tc>
      </w:tr>
      <w:tr>
        <w:trPr>
          <w:trHeight w:val="203"/>
        </w:trPr>
        <w:tc>
          <w:tcPr>
            <w:tcW w:w="3260" w:type="dxa"/>
            <w:vAlign w:val="bottom"/>
            <w:gridSpan w:val="2"/>
            <w:shd w:val="clear" w:color="auto" w:fill="CFF0FC"/>
          </w:tcPr>
          <w:p>
            <w:pPr>
              <w:ind w:left="480"/>
              <w:spacing w:after="0" w:line="202" w:lineRule="exact"/>
              <w:rPr>
                <w:sz w:val="20"/>
                <w:szCs w:val="20"/>
                <w:color w:val="auto"/>
              </w:rPr>
            </w:pPr>
            <w:r>
              <w:rPr>
                <w:rFonts w:ascii="Arial" w:cs="Arial" w:eastAsia="Arial" w:hAnsi="Arial"/>
                <w:sz w:val="18"/>
                <w:szCs w:val="18"/>
                <w:color w:val="auto"/>
              </w:rPr>
              <w:t>Deductions</w:t>
            </w:r>
          </w:p>
        </w:tc>
        <w:tc>
          <w:tcPr>
            <w:tcW w:w="5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196"/>
        </w:trPr>
        <w:tc>
          <w:tcPr>
            <w:tcW w:w="326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Balance, March 31, 2023</w:t>
            </w:r>
          </w:p>
        </w:tc>
        <w:tc>
          <w:tcPr>
            <w:tcW w:w="57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150,047</w:t>
            </w:r>
          </w:p>
        </w:tc>
        <w:tc>
          <w:tcPr>
            <w:tcW w:w="120" w:type="dxa"/>
            <w:vAlign w:val="bottom"/>
            <w:tcBorders>
              <w:top w:val="single" w:sz="8" w:color="CFF0FC"/>
            </w:tcBorders>
          </w:tcPr>
          <w:p>
            <w:pPr>
              <w:spacing w:after="0"/>
              <w:rPr>
                <w:sz w:val="17"/>
                <w:szCs w:val="17"/>
                <w:color w:val="auto"/>
              </w:rPr>
            </w:pPr>
          </w:p>
        </w:tc>
      </w:tr>
      <w:tr>
        <w:trPr>
          <w:trHeight w:val="203"/>
        </w:trPr>
        <w:tc>
          <w:tcPr>
            <w:tcW w:w="3260" w:type="dxa"/>
            <w:vAlign w:val="bottom"/>
            <w:gridSpan w:val="2"/>
            <w:shd w:val="clear" w:color="auto" w:fill="CFF0FC"/>
          </w:tcPr>
          <w:p>
            <w:pPr>
              <w:ind w:left="480"/>
              <w:spacing w:after="0" w:line="202" w:lineRule="exact"/>
              <w:rPr>
                <w:sz w:val="20"/>
                <w:szCs w:val="20"/>
                <w:color w:val="auto"/>
              </w:rPr>
            </w:pPr>
            <w:r>
              <w:rPr>
                <w:rFonts w:ascii="Arial" w:cs="Arial" w:eastAsia="Arial" w:hAnsi="Arial"/>
                <w:sz w:val="18"/>
                <w:szCs w:val="18"/>
                <w:color w:val="auto"/>
              </w:rPr>
              <w:t>Charged to costs and expenses</w:t>
            </w:r>
          </w:p>
        </w:tc>
        <w:tc>
          <w:tcPr>
            <w:tcW w:w="5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139,687</w:t>
            </w:r>
          </w:p>
        </w:tc>
        <w:tc>
          <w:tcPr>
            <w:tcW w:w="120" w:type="dxa"/>
            <w:vAlign w:val="bottom"/>
            <w:shd w:val="clear" w:color="auto" w:fill="CFF0FC"/>
          </w:tcPr>
          <w:p>
            <w:pPr>
              <w:spacing w:after="0"/>
              <w:rPr>
                <w:sz w:val="17"/>
                <w:szCs w:val="17"/>
                <w:color w:val="auto"/>
              </w:rPr>
            </w:pPr>
          </w:p>
        </w:tc>
      </w:tr>
      <w:tr>
        <w:trPr>
          <w:trHeight w:val="203"/>
        </w:trPr>
        <w:tc>
          <w:tcPr>
            <w:tcW w:w="32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Charged to goodwill*</w:t>
            </w: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63,908</w:t>
            </w:r>
          </w:p>
        </w:tc>
        <w:tc>
          <w:tcPr>
            <w:tcW w:w="120" w:type="dxa"/>
            <w:vAlign w:val="bottom"/>
          </w:tcPr>
          <w:p>
            <w:pPr>
              <w:spacing w:after="0"/>
              <w:rPr>
                <w:sz w:val="17"/>
                <w:szCs w:val="17"/>
                <w:color w:val="auto"/>
              </w:rPr>
            </w:pPr>
          </w:p>
        </w:tc>
      </w:tr>
      <w:tr>
        <w:trPr>
          <w:trHeight w:val="203"/>
        </w:trPr>
        <w:tc>
          <w:tcPr>
            <w:tcW w:w="3260" w:type="dxa"/>
            <w:vAlign w:val="bottom"/>
            <w:gridSpan w:val="2"/>
            <w:shd w:val="clear" w:color="auto" w:fill="CFF0FC"/>
          </w:tcPr>
          <w:p>
            <w:pPr>
              <w:ind w:left="480"/>
              <w:spacing w:after="0" w:line="202" w:lineRule="exact"/>
              <w:rPr>
                <w:sz w:val="20"/>
                <w:szCs w:val="20"/>
                <w:color w:val="auto"/>
              </w:rPr>
            </w:pPr>
            <w:r>
              <w:rPr>
                <w:rFonts w:ascii="Arial" w:cs="Arial" w:eastAsia="Arial" w:hAnsi="Arial"/>
                <w:sz w:val="18"/>
                <w:szCs w:val="18"/>
                <w:color w:val="auto"/>
              </w:rPr>
              <w:t>Deductions</w:t>
            </w:r>
          </w:p>
        </w:tc>
        <w:tc>
          <w:tcPr>
            <w:tcW w:w="5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196"/>
        </w:trPr>
        <w:tc>
          <w:tcPr>
            <w:tcW w:w="3260" w:type="dxa"/>
            <w:vAlign w:val="bottom"/>
            <w:tcBorders>
              <w:top w:val="single" w:sz="8" w:color="CFF0FC"/>
            </w:tcBorders>
            <w:gridSpan w:val="2"/>
          </w:tcPr>
          <w:p>
            <w:pPr>
              <w:spacing w:after="0" w:line="196" w:lineRule="exact"/>
              <w:rPr>
                <w:sz w:val="20"/>
                <w:szCs w:val="20"/>
                <w:color w:val="auto"/>
              </w:rPr>
            </w:pPr>
            <w:r>
              <w:rPr>
                <w:rFonts w:ascii="Arial" w:cs="Arial" w:eastAsia="Arial" w:hAnsi="Arial"/>
                <w:sz w:val="18"/>
                <w:szCs w:val="18"/>
                <w:color w:val="auto"/>
              </w:rPr>
              <w:t>Balance, March 31, 2024</w:t>
            </w:r>
          </w:p>
        </w:tc>
        <w:tc>
          <w:tcPr>
            <w:tcW w:w="576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353,642</w:t>
            </w:r>
          </w:p>
        </w:tc>
        <w:tc>
          <w:tcPr>
            <w:tcW w:w="120" w:type="dxa"/>
            <w:vAlign w:val="bottom"/>
            <w:tcBorders>
              <w:top w:val="single" w:sz="8" w:color="CFF0FC"/>
            </w:tcBorders>
          </w:tcPr>
          <w:p>
            <w:pPr>
              <w:spacing w:after="0"/>
              <w:rPr>
                <w:sz w:val="17"/>
                <w:szCs w:val="17"/>
                <w:color w:val="auto"/>
              </w:rPr>
            </w:pPr>
          </w:p>
        </w:tc>
      </w:tr>
      <w:tr>
        <w:trPr>
          <w:trHeight w:val="203"/>
        </w:trPr>
        <w:tc>
          <w:tcPr>
            <w:tcW w:w="3260" w:type="dxa"/>
            <w:vAlign w:val="bottom"/>
            <w:gridSpan w:val="2"/>
            <w:shd w:val="clear" w:color="auto" w:fill="CFF0FC"/>
          </w:tcPr>
          <w:p>
            <w:pPr>
              <w:ind w:left="480"/>
              <w:spacing w:after="0" w:line="202" w:lineRule="exact"/>
              <w:rPr>
                <w:sz w:val="20"/>
                <w:szCs w:val="20"/>
                <w:color w:val="auto"/>
              </w:rPr>
            </w:pPr>
            <w:r>
              <w:rPr>
                <w:rFonts w:ascii="Arial" w:cs="Arial" w:eastAsia="Arial" w:hAnsi="Arial"/>
                <w:sz w:val="18"/>
                <w:szCs w:val="18"/>
                <w:color w:val="auto"/>
              </w:rPr>
              <w:t>Charged to costs and expenses</w:t>
            </w:r>
          </w:p>
        </w:tc>
        <w:tc>
          <w:tcPr>
            <w:tcW w:w="5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76,859</w:t>
            </w:r>
          </w:p>
        </w:tc>
        <w:tc>
          <w:tcPr>
            <w:tcW w:w="120" w:type="dxa"/>
            <w:vAlign w:val="bottom"/>
            <w:shd w:val="clear" w:color="auto" w:fill="CFF0FC"/>
          </w:tcPr>
          <w:p>
            <w:pPr>
              <w:spacing w:after="0"/>
              <w:rPr>
                <w:sz w:val="17"/>
                <w:szCs w:val="17"/>
                <w:color w:val="auto"/>
              </w:rPr>
            </w:pPr>
          </w:p>
        </w:tc>
      </w:tr>
      <w:tr>
        <w:trPr>
          <w:trHeight w:val="203"/>
        </w:trPr>
        <w:tc>
          <w:tcPr>
            <w:tcW w:w="32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Deductions</w:t>
            </w:r>
          </w:p>
        </w:tc>
        <w:tc>
          <w:tcPr>
            <w:tcW w:w="5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36"/>
        </w:trPr>
        <w:tc>
          <w:tcPr>
            <w:tcW w:w="32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March 31, 2025</w:t>
            </w:r>
          </w:p>
        </w:tc>
        <w:tc>
          <w:tcPr>
            <w:tcW w:w="6220" w:type="dxa"/>
            <w:vAlign w:val="bottom"/>
            <w:gridSpan w:val="3"/>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430,501</w:t>
            </w:r>
          </w:p>
        </w:tc>
        <w:tc>
          <w:tcPr>
            <w:tcW w:w="120" w:type="dxa"/>
            <w:vAlign w:val="bottom"/>
            <w:shd w:val="clear" w:color="auto" w:fill="CFF0FC"/>
          </w:tcPr>
          <w:p>
            <w:pPr>
              <w:spacing w:after="0"/>
              <w:rPr>
                <w:sz w:val="20"/>
                <w:szCs w:val="20"/>
                <w:color w:val="auto"/>
              </w:rPr>
            </w:pPr>
          </w:p>
        </w:tc>
      </w:tr>
      <w:tr>
        <w:trPr>
          <w:trHeight w:val="88"/>
        </w:trPr>
        <w:tc>
          <w:tcPr>
            <w:tcW w:w="1060" w:type="dxa"/>
            <w:vAlign w:val="bottom"/>
            <w:tcBorders>
              <w:top w:val="single" w:sz="8" w:color="CFF0FC"/>
              <w:bottom w:val="single" w:sz="8" w:color="auto"/>
            </w:tcBorders>
          </w:tcPr>
          <w:p>
            <w:pPr>
              <w:spacing w:after="0"/>
              <w:rPr>
                <w:sz w:val="7"/>
                <w:szCs w:val="7"/>
                <w:color w:val="auto"/>
              </w:rPr>
            </w:pPr>
          </w:p>
        </w:tc>
        <w:tc>
          <w:tcPr>
            <w:tcW w:w="2200" w:type="dxa"/>
            <w:vAlign w:val="bottom"/>
            <w:tcBorders>
              <w:top w:val="single" w:sz="8" w:color="CFF0FC"/>
            </w:tcBorders>
          </w:tcPr>
          <w:p>
            <w:pPr>
              <w:spacing w:after="0"/>
              <w:rPr>
                <w:sz w:val="7"/>
                <w:szCs w:val="7"/>
                <w:color w:val="auto"/>
              </w:rPr>
            </w:pPr>
          </w:p>
        </w:tc>
        <w:tc>
          <w:tcPr>
            <w:tcW w:w="5760" w:type="dxa"/>
            <w:vAlign w:val="bottom"/>
            <w:tcBorders>
              <w:top w:val="single" w:sz="8" w:color="CFF0FC"/>
            </w:tcBorders>
          </w:tcPr>
          <w:p>
            <w:pPr>
              <w:spacing w:after="0"/>
              <w:rPr>
                <w:sz w:val="7"/>
                <w:szCs w:val="7"/>
                <w:color w:val="auto"/>
              </w:rPr>
            </w:pPr>
          </w:p>
        </w:tc>
        <w:tc>
          <w:tcPr>
            <w:tcW w:w="200" w:type="dxa"/>
            <w:vAlign w:val="bottom"/>
            <w:tcBorders>
              <w:top w:val="single" w:sz="8" w:color="CFF0FC"/>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640" w:type="dxa"/>
            <w:vAlign w:val="bottom"/>
            <w:tcBorders>
              <w:top w:val="single" w:sz="8" w:color="auto"/>
            </w:tcBorders>
          </w:tcPr>
          <w:p>
            <w:pPr>
              <w:spacing w:after="0"/>
              <w:rPr>
                <w:sz w:val="7"/>
                <w:szCs w:val="7"/>
                <w:color w:val="auto"/>
              </w:rPr>
            </w:pPr>
          </w:p>
        </w:tc>
        <w:tc>
          <w:tcPr>
            <w:tcW w:w="120" w:type="dxa"/>
            <w:vAlign w:val="bottom"/>
            <w:tcBorders>
              <w:top w:val="single" w:sz="8" w:color="CFF0FC"/>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-1156335</wp:posOffset>
            </wp:positionV>
            <wp:extent cx="774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-633730</wp:posOffset>
            </wp:positionV>
            <wp:extent cx="774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-85090</wp:posOffset>
            </wp:positionV>
            <wp:extent cx="7747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Related to the acquisition of Inmarsat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34" w:name="page135"/>
    <w:bookmarkEnd w:id="134"/>
    <w:p>
      <w:pPr>
        <w:ind w:left="10100"/>
        <w:spacing w:after="0"/>
        <w:rPr>
          <w:sz w:val="20"/>
          <w:szCs w:val="20"/>
          <w:color w:val="auto"/>
        </w:rPr>
      </w:pPr>
      <w:r>
        <w:rPr>
          <w:rFonts w:ascii="Arial" w:cs="Arial" w:eastAsia="Arial" w:hAnsi="Arial"/>
          <w:sz w:val="18"/>
          <w:szCs w:val="18"/>
          <w:b w:val="1"/>
          <w:bCs w:val="1"/>
          <w:color w:val="auto"/>
        </w:rPr>
        <w:t>Exhibit 10.27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TRANSITION AGREEMENT AND GENERAL RELEASE OF CLAIMS</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Employment Transition Agreement and General Release of Claims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the Effective Date (as defined below), by and between Kumara Guru Gowrappan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Executive is employed by the Company as its President;</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WHEREAS, the Executive shall cease to serve as the Company’s President effective January 23, 2025 (the “</w:t>
      </w:r>
      <w:r>
        <w:rPr>
          <w:rFonts w:ascii="Times New Roman" w:cs="Times New Roman" w:eastAsia="Times New Roman" w:hAnsi="Times New Roman"/>
          <w:sz w:val="21"/>
          <w:szCs w:val="21"/>
          <w:b w:val="1"/>
          <w:bCs w:val="1"/>
          <w:i w:val="1"/>
          <w:iCs w:val="1"/>
          <w:color w:val="auto"/>
        </w:rPr>
        <w:t>Transition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offer letter dated April 10, 2023 (the “</w:t>
      </w:r>
      <w:r>
        <w:rPr>
          <w:rFonts w:ascii="Times New Roman" w:cs="Times New Roman" w:eastAsia="Times New Roman" w:hAnsi="Times New Roman"/>
          <w:sz w:val="22"/>
          <w:szCs w:val="22"/>
          <w:b w:val="1"/>
          <w:bCs w:val="1"/>
          <w:i w:val="1"/>
          <w:iCs w:val="1"/>
          <w:color w:val="auto"/>
        </w:rPr>
        <w:t>Offer Letter</w:t>
      </w:r>
      <w:r>
        <w:rPr>
          <w:rFonts w:ascii="Times New Roman" w:cs="Times New Roman" w:eastAsia="Times New Roman" w:hAnsi="Times New Roman"/>
          <w:sz w:val="22"/>
          <w:szCs w:val="22"/>
          <w:color w:val="auto"/>
        </w:rPr>
        <w:t>”), Severance Agreement dated April 13, 2023 (the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 and that certain Change in Control Severance Agreement dated April 13, 2023, as amended by that certain First Amendment to Change in Control Severance Agreement April 13, 2023 (together, the “</w:t>
      </w:r>
      <w:r>
        <w:rPr>
          <w:rFonts w:ascii="Times New Roman" w:cs="Times New Roman" w:eastAsia="Times New Roman" w:hAnsi="Times New Roman"/>
          <w:sz w:val="22"/>
          <w:szCs w:val="22"/>
          <w:b w:val="1"/>
          <w:bCs w:val="1"/>
          <w:i w:val="1"/>
          <w:iCs w:val="1"/>
          <w:color w:val="auto"/>
        </w:rPr>
        <w:t>Change in Control Agreement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as set forth in this Agreement upon his termination of employment, subject to the effectiveness of this Agreement and the terms and conditions herein and the other related agreements referenced herein; and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together desire to provide for the Executive’s continued employment through a Transition Period (as defined below), on the terms and conditions set forth in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Company’s agreements set forth herein, including without limitation, the payments and benefits set forth in Sections 1(c) and 2 below, the adequacy of which is hereby acknowledged by Executive, and which Executive acknowledges that he would not otherwise be entitled to receive,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1020" w:hanging="263"/>
        <w:spacing w:after="0"/>
        <w:tabs>
          <w:tab w:leader="none" w:pos="10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and Transition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757"/>
        <w:spacing w:after="0" w:line="239" w:lineRule="auto"/>
        <w:tabs>
          <w:tab w:leader="none" w:pos="10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Agreement shall become effective upon Executive’s execution (such date,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If Executive does not execute this Agreement before 5:00 p.m. Eastern Time on January 23, 2025, this Agreement shall not become effective, shall be null and void and Executive shall not be eligible for any of the compensation or benefits hereunder, Executive’s at-will employment shall continue on the terms and conditions then in effect, subject to the terms and conditions of the Offer Letter, the Severance Agreement and the Change in Control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jc w:val="both"/>
        <w:ind w:firstLine="757"/>
        <w:spacing w:after="0" w:line="233"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The Executive and the Company agree that as of the Transition Date, Executive will cease serving in the role as President of the Company and will cease to hold any and all positions as an officer, director or designee of the Company or any of its subsidiaries, affiliates or other entities in which it holds a direct or indirect equity interest as of such date. Following the Transition Date, Executive will continue as a full-time non-executive at-will employee in the role of Strategic Advisor, reporting to the Chief Executive Officer of the Company, and Executive’s employment with the Company shall cease and terminate effective as of April 30, 2025, or such earlier date on which the Executive’s employment relationship terminates for any reason (such date of termination, the “</w:t>
      </w:r>
      <w:r>
        <w:rPr>
          <w:rFonts w:ascii="Times New Roman" w:cs="Times New Roman" w:eastAsia="Times New Roman" w:hAnsi="Times New Roman"/>
          <w:sz w:val="22"/>
          <w:szCs w:val="22"/>
          <w:b w:val="1"/>
          <w:bCs w:val="1"/>
          <w:i w:val="1"/>
          <w:iCs w:val="1"/>
          <w:color w:val="auto"/>
        </w:rPr>
        <w:t>Last Day of Service</w:t>
      </w:r>
      <w:r>
        <w:rPr>
          <w:rFonts w:ascii="Times New Roman" w:cs="Times New Roman" w:eastAsia="Times New Roman" w:hAnsi="Times New Roman"/>
          <w:sz w:val="22"/>
          <w:szCs w:val="22"/>
          <w:color w:val="auto"/>
        </w:rPr>
        <w:t>”). The period from the Transition Date through the Last Day of Service is referred to herein as the “</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During the Transition Period, Executive will only have such duties and shall only be obligated to perform services as requested in writing by the Chief Executive Officer of the Company. Executive will perform any such duties remotely in its discretion. The Executive shall execute any additional documentation necessary to effectuate the foregoing. For the avoidance of doubt, nothing herein shall prohibit the Executive from providing consulting or advisory services to any third-party during the Transition Period; provided, such services (a) do not create a conflict of interest with the Company’s business and (b) do not materially interfere with the Executive’s performance of services under this Agreement, including but not limited to Executive’s obligations under the Employee Proprietary Information and Inventions Assignment Agreement attached here as Exhibit B.</w:t>
      </w:r>
    </w:p>
    <w:p>
      <w:pPr>
        <w:spacing w:after="0" w:line="204"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During Transition Period</w:t>
      </w:r>
      <w:r>
        <w:rPr>
          <w:rFonts w:ascii="Times New Roman" w:cs="Times New Roman" w:eastAsia="Times New Roman" w:hAnsi="Times New Roman"/>
          <w:sz w:val="22"/>
          <w:szCs w:val="22"/>
          <w:color w:val="auto"/>
        </w:rPr>
        <w:t>. As compensation for the services to be rendered by the Executive to the Company during the Transition Period, the Executive shall be paid the following compensation and benefits: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the Transition Date and ending on the Last Day of Service, the Company shall continue to pay to Executive his base salary at the rate of $1,000,000.00 USD per year, payable in accordance with the Company’s usual pay practices (and in any event no less frequently than monthly).</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not be eligible to receive an annual bonus for any portion of fiscal years 2025 and</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w:t>
      </w:r>
    </w:p>
    <w:p>
      <w:pPr>
        <w:spacing w:after="0" w:line="182"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continue to participate in benefits under the Company’s benefit plans and arrangements, subject to and on a basis consistent with the terms, conditions and overall administration of such plans and arrangements.</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Executive will continue to be eligible for “as needed” sick and vacation time (“</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Company policy.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048"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Transition Period, the Executive’s RSUs, PSOs and PSUs (each as defined below) granted by the Company shall continue to vest in accordance with the terms of the award agreements and the equity plan pursuant to which such equity awards were issued. Upon the Last Day of Service, the Executive’s outstanding equity awards will cease vesting and any unvested equity awards shall terminate, unless otherwise provided in Section 2(b) below.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jc w:val="both"/>
        <w:ind w:firstLine="757"/>
        <w:spacing w:after="0" w:line="234"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 Termination</w:t>
      </w:r>
      <w:r>
        <w:rPr>
          <w:rFonts w:ascii="Times New Roman" w:cs="Times New Roman" w:eastAsia="Times New Roman" w:hAnsi="Times New Roman"/>
          <w:sz w:val="22"/>
          <w:szCs w:val="22"/>
          <w:color w:val="auto"/>
        </w:rPr>
        <w:t>. The Company and the Executive acknowledge that the Executive’s employment is and shall continue to be at-will, as defined under applicable law, and that the Executive’s employment with the Company may be terminated by either party at any time for any or no reason, upon written notice to the other party. If the Executive’s employment terminates for any reason, the Executive shall be entitled to the Accrued Obligations (as defined below) and shall be entitled to the payments and benefits provided for under this Agreement, including without limitation the severance benefits described in Section 2(b) below (unless such termination is for Cause (as defined below)), in accordance with the terms thereof. Except as provided in this Agreement and the Second Release, the Executive shall not be entitled to any other payments, benefits, damages, awards, or compensation from the Company. Executive shall provide the Company with five (5) days’ advance written notice of his voluntary resignation prior to April 30, 2025.</w:t>
      </w:r>
    </w:p>
    <w:p>
      <w:pPr>
        <w:spacing w:after="0" w:line="183" w:lineRule="exact"/>
        <w:rPr>
          <w:sz w:val="20"/>
          <w:szCs w:val="20"/>
          <w:color w:val="auto"/>
        </w:rPr>
      </w:pPr>
    </w:p>
    <w:p>
      <w:pPr>
        <w:ind w:left="1020" w:hanging="263"/>
        <w:spacing w:after="0"/>
        <w:tabs>
          <w:tab w:leader="none" w:pos="10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Last Day of Service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757"/>
        <w:spacing w:after="0" w:line="23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Upon the occurrence of the Last Day of Service, (i) the Company will pay to Executive his final pay on the Last Day of Service, including payment of any accrued, but unused vacation/PTO, (ii) the Company will reimburse the Executive for any employee expenses incurred and submitted on or prior to the fourteenth (14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after the Last Day of Service, plus (iii) the Company will provide all other benefits, if any, under any Company group retirement plan, nonqualified deferred compensation plan, equity award plan or agreement (other than any such plan or agreement pertaining to Executive’s RSUs, PSOs and PSUs whose treatment is prescribed by Section 2(b) below), health benefits plan or other Company group benefit plan to which Executive may be entitled pursuant to the terms of such plans or agreements as of the Last Day of Service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himself and any covered dependents. Executive’s entitlement to other benefits from the Company, and eligibility to participate in the Company’s other benefit plans and programs, shall cease on the Last Day of Service.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1"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In the event of the termination of the Transition Period and the occurrence of the Last Day of Service (i) as a result of the expiration of the Transition Period on April 30, 2025, or (ii) as a result of any earlier termination of the Transition Period for any reason other than Executive’s involuntary discharge by the Company for Cause, subject to, and in consideration for, the Executive signing the General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without revocation, on or within ten (10) days after the Last Day of Service (the “</w:t>
      </w:r>
      <w:r>
        <w:rPr>
          <w:rFonts w:ascii="Times New Roman" w:cs="Times New Roman" w:eastAsia="Times New Roman" w:hAnsi="Times New Roman"/>
          <w:sz w:val="22"/>
          <w:szCs w:val="22"/>
          <w:b w:val="1"/>
          <w:bCs w:val="1"/>
          <w:i w:val="1"/>
          <w:iCs w:val="1"/>
          <w:color w:val="auto"/>
        </w:rPr>
        <w:t>Second Release Deadline</w:t>
      </w:r>
      <w:r>
        <w:rPr>
          <w:rFonts w:ascii="Times New Roman" w:cs="Times New Roman" w:eastAsia="Times New Roman" w:hAnsi="Times New Roman"/>
          <w:sz w:val="22"/>
          <w:szCs w:val="22"/>
          <w:color w:val="auto"/>
        </w:rPr>
        <w:t>”), and the Executive’s continued compliance with the terms of this Agreement, the Company agrees to provide Executive with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The date on which the Second Release becomes effective and irrevocable in accordance with its terms is referred to as the “</w:t>
      </w:r>
      <w:r>
        <w:rPr>
          <w:rFonts w:ascii="Times New Roman" w:cs="Times New Roman" w:eastAsia="Times New Roman" w:hAnsi="Times New Roman"/>
          <w:sz w:val="22"/>
          <w:szCs w:val="22"/>
          <w:b w:val="1"/>
          <w:bCs w:val="1"/>
          <w:i w:val="1"/>
          <w:iCs w:val="1"/>
          <w:color w:val="auto"/>
        </w:rPr>
        <w:t>Second Release Effective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200" w:lineRule="exact"/>
        <w:rPr>
          <w:sz w:val="20"/>
          <w:szCs w:val="20"/>
          <w:color w:val="auto"/>
        </w:rPr>
      </w:pPr>
    </w:p>
    <w:p>
      <w:pPr>
        <w:spacing w:after="0" w:line="227" w:lineRule="exact"/>
        <w:rPr>
          <w:sz w:val="20"/>
          <w:szCs w:val="20"/>
          <w:color w:val="auto"/>
        </w:rPr>
      </w:pPr>
    </w:p>
    <w:p>
      <w:pPr>
        <w:ind w:left="-360" w:firstLine="745"/>
        <w:spacing w:after="0" w:line="258" w:lineRule="auto"/>
        <w:tabs>
          <w:tab w:leader="none" w:pos="9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$2,400,000.00 USD,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360" w:firstLine="745"/>
        <w:spacing w:after="0" w:line="258" w:lineRule="auto"/>
        <w:tabs>
          <w:tab w:leader="none" w:pos="9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the Executive a one-time cash payment in the amount of $250,000.00 USD,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92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$54,224.68 USD, representing an amount equal to eighteen (18) multiplied by the monthly premium that Executive would be required to pay for COBRA continuation coverage for Executive and his eligible dependents who were covered under the Company’s health insurance plans as of the Last Day of Service (based on the premiums in effect as of the Last Day of Service),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9" w:lineRule="exact"/>
        <w:rPr>
          <w:rFonts w:ascii="Times New Roman" w:cs="Times New Roman" w:eastAsia="Times New Roman" w:hAnsi="Times New Roman"/>
          <w:sz w:val="22"/>
          <w:szCs w:val="22"/>
          <w:color w:val="auto"/>
        </w:rPr>
      </w:pPr>
    </w:p>
    <w:p>
      <w:pPr>
        <w:jc w:val="both"/>
        <w:ind w:left="-360" w:firstLine="745"/>
        <w:spacing w:after="0" w:line="244" w:lineRule="auto"/>
        <w:tabs>
          <w:tab w:leader="none" w:pos="92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previously granted Executive restricted stock unit (“</w:t>
      </w:r>
      <w:r>
        <w:rPr>
          <w:rFonts w:ascii="Times New Roman" w:cs="Times New Roman" w:eastAsia="Times New Roman" w:hAnsi="Times New Roman"/>
          <w:sz w:val="21"/>
          <w:szCs w:val="21"/>
          <w:b w:val="1"/>
          <w:bCs w:val="1"/>
          <w:i w:val="1"/>
          <w:iCs w:val="1"/>
          <w:color w:val="auto"/>
        </w:rPr>
        <w:t>RSU</w:t>
      </w:r>
      <w:r>
        <w:rPr>
          <w:rFonts w:ascii="Times New Roman" w:cs="Times New Roman" w:eastAsia="Times New Roman" w:hAnsi="Times New Roman"/>
          <w:sz w:val="21"/>
          <w:szCs w:val="21"/>
          <w:color w:val="auto"/>
        </w:rPr>
        <w:t>”) awards with respect to shares of the Company’s common stock (collectively, the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under the Company’s 1996 Equity Participation Plan, as amended and restated from time to time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 and pursuant to the terms of those certain Restricted Stock Unit Agreements (each, an “</w:t>
      </w:r>
      <w:r>
        <w:rPr>
          <w:rFonts w:ascii="Times New Roman" w:cs="Times New Roman" w:eastAsia="Times New Roman" w:hAnsi="Times New Roman"/>
          <w:sz w:val="21"/>
          <w:szCs w:val="21"/>
          <w:b w:val="1"/>
          <w:bCs w:val="1"/>
          <w:i w:val="1"/>
          <w:iCs w:val="1"/>
          <w:color w:val="auto"/>
        </w:rPr>
        <w:t>RSU Agreement</w:t>
      </w:r>
      <w:r>
        <w:rPr>
          <w:rFonts w:ascii="Times New Roman" w:cs="Times New Roman" w:eastAsia="Times New Roman" w:hAnsi="Times New Roman"/>
          <w:sz w:val="21"/>
          <w:szCs w:val="21"/>
          <w:color w:val="auto"/>
        </w:rPr>
        <w:t>”). On the Second Release Effective Date, (A) in the event of the expiration of the Transition Period on April 30, 2025, or any earlier termination of the Transition Period for any reason other than Executive’s involuntary discharge by the Company for Cause or Executive’s voluntary resignation for any reason, such portion of Executive’s unvested RSUs as would have become vested by April 30, 2026 in accordance with the terms of the applicable RSU Agreement shall vest and be accelerated, and such RSUs shall be settled in accordance with the terms of the RSU Agreements and the Equity Plan, or (B) in the event the Transition Period terminates prior to April 30, 2025 as a result of Executive’s voluntary resignation for any reason, such portion of Executive’s unvested RSUs as would have become vested by the date that is twelve (12) months following the Last Day of Service in accordance with the terms of the applicable RSU Agreement shall vest and be accelerated, and such RSUs shall be settled in accordance with the terms of the RSU Agreements and the Equity Plan. The foregoing provisions are hereby deemed to be a part of and to amend each RSU Agreement with respect to the accelerated vesting of such RSUs. Except as amended above with respect to the accelerated vesting of the RSUs, Executive’s RSUs shall continue to be governed by the Equity Plan and the RSU Agreements. Other than the RSUs subject to accelerated vesting as set forth in this Section 2(b)(iv), all remaining RSUs shall terminate on the Last Day of Service;</w:t>
      </w:r>
    </w:p>
    <w:p>
      <w:pPr>
        <w:spacing w:after="0" w:line="200" w:lineRule="exact"/>
        <w:rPr>
          <w:sz w:val="20"/>
          <w:szCs w:val="20"/>
          <w:color w:val="auto"/>
        </w:rPr>
      </w:pP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469900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8" w:name="page139"/>
    <w:bookmarkEnd w:id="138"/>
    <w:p>
      <w:pPr>
        <w:spacing w:after="0" w:line="200" w:lineRule="exact"/>
        <w:rPr>
          <w:sz w:val="20"/>
          <w:szCs w:val="20"/>
          <w:color w:val="auto"/>
        </w:rPr>
      </w:pPr>
    </w:p>
    <w:p>
      <w:pPr>
        <w:spacing w:after="0" w:line="221" w:lineRule="exact"/>
        <w:rPr>
          <w:sz w:val="20"/>
          <w:szCs w:val="20"/>
          <w:color w:val="auto"/>
        </w:rPr>
      </w:pPr>
    </w:p>
    <w:p>
      <w:pPr>
        <w:jc w:val="both"/>
        <w:ind w:left="-360" w:firstLine="745"/>
        <w:spacing w:after="0" w:line="247" w:lineRule="auto"/>
        <w:tabs>
          <w:tab w:leader="none" w:pos="92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option (“</w:t>
      </w:r>
      <w:r>
        <w:rPr>
          <w:rFonts w:ascii="Times New Roman" w:cs="Times New Roman" w:eastAsia="Times New Roman" w:hAnsi="Times New Roman"/>
          <w:sz w:val="22"/>
          <w:szCs w:val="22"/>
          <w:b w:val="1"/>
          <w:bCs w:val="1"/>
          <w:i w:val="1"/>
          <w:iCs w:val="1"/>
          <w:color w:val="auto"/>
        </w:rPr>
        <w:t>PSO</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PSOs</w:t>
      </w:r>
      <w:r>
        <w:rPr>
          <w:rFonts w:ascii="Times New Roman" w:cs="Times New Roman" w:eastAsia="Times New Roman" w:hAnsi="Times New Roman"/>
          <w:sz w:val="22"/>
          <w:szCs w:val="22"/>
          <w:color w:val="auto"/>
        </w:rPr>
        <w:t>”) under the Company’s Equity Plan and pursuant to the terms of those certain Performance Stock Option Agreements (each, a “</w:t>
      </w:r>
      <w:r>
        <w:rPr>
          <w:rFonts w:ascii="Times New Roman" w:cs="Times New Roman" w:eastAsia="Times New Roman" w:hAnsi="Times New Roman"/>
          <w:sz w:val="22"/>
          <w:szCs w:val="22"/>
          <w:b w:val="1"/>
          <w:bCs w:val="1"/>
          <w:i w:val="1"/>
          <w:iCs w:val="1"/>
          <w:color w:val="auto"/>
        </w:rPr>
        <w:t>PSO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jc w:val="both"/>
        <w:ind w:left="1140" w:hanging="186"/>
        <w:spacing w:after="0" w:line="244" w:lineRule="auto"/>
        <w:tabs>
          <w:tab w:leader="none" w:pos="1140"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Executive’s PSOs granted on April 13, 2023 (the “</w:t>
      </w:r>
      <w:r>
        <w:rPr>
          <w:rFonts w:ascii="Times New Roman" w:cs="Times New Roman" w:eastAsia="Times New Roman" w:hAnsi="Times New Roman"/>
          <w:sz w:val="21"/>
          <w:szCs w:val="21"/>
          <w:b w:val="1"/>
          <w:bCs w:val="1"/>
          <w:i w:val="1"/>
          <w:iCs w:val="1"/>
          <w:color w:val="auto"/>
        </w:rPr>
        <w:t>April 2023 PSOs</w:t>
      </w:r>
      <w:r>
        <w:rPr>
          <w:rFonts w:ascii="Times New Roman" w:cs="Times New Roman" w:eastAsia="Times New Roman" w:hAnsi="Times New Roman"/>
          <w:sz w:val="21"/>
          <w:szCs w:val="21"/>
          <w:color w:val="auto"/>
        </w:rPr>
        <w:t>”), on the Second Release Effective Date, (A) in the event of the expiration of the Transition Period on April 30, 2025, or any earlier termination of the Transition Period for any reason other than Executive’s involuntary discharge by the Company for Cause or Executive’s voluntary resignation for any reason, such portion of Executive’s April 2023 PSOs as would have become “Time-Vested Options” by April 30, 2026 in accordance with the terms of the applicable PSO Agreement will be considered “Time-Vested Options” for purposes of such PSO Agreement, or (B) in the event the Transition Period terminates prior to April 30, 2025 as a result of Executive’s voluntary resignation for any reason, such portion of Executive’s April 2023 PSOs as would have become “Time-Vested Options” by the date that is twelve</w:t>
      </w:r>
    </w:p>
    <w:p>
      <w:pPr>
        <w:spacing w:after="0" w:line="7" w:lineRule="exact"/>
        <w:rPr>
          <w:rFonts w:ascii="Times New Roman" w:cs="Times New Roman" w:eastAsia="Times New Roman" w:hAnsi="Times New Roman"/>
          <w:sz w:val="21"/>
          <w:szCs w:val="21"/>
          <w:color w:val="auto"/>
        </w:rPr>
      </w:pPr>
    </w:p>
    <w:p>
      <w:pPr>
        <w:jc w:val="both"/>
        <w:ind w:left="1140" w:hanging="6"/>
        <w:spacing w:after="0" w:line="231" w:lineRule="auto"/>
        <w:tabs>
          <w:tab w:leader="none" w:pos="1583"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following the Last Day of Service in accordance with the terms of the applicable PSO Agreement will be considered “Time-Vested Options” for purposes of such PSO Agreement. Executive shall remain eligible to vest in such number of the April 2023 PSOs that are “Time-Vested Options” after giving effect to the foregoing acceleration that also become “Performance-Vested Options” in accordance with the terms of the PSO Agreements on the applicable Certification Date (as defined in the PSO Agreements). On the Second Release Effective Date, all of Executive’s April 2023 PSOs shall be forfeited to the extent such April 2023 PSOs have not become “Time-Vested Options” in accordance with this Section 2(b)(v)(i). The foregoing provisions are hereby deemed to be a part of and to amend the PSO Agreement governing the April 2023 PSOs with respect to the acceleration of the time-based vesting of such April 2023 PSOs. Except as amended above with respect to the acceleration of the time-based vesting of the April 2023 PSOs, Executive’s April 2023 PSOs shall continue to be governed by the Equity Plan and the PSO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40" w:right="20" w:hanging="179"/>
        <w:spacing w:after="0" w:line="264" w:lineRule="auto"/>
        <w:rPr>
          <w:sz w:val="20"/>
          <w:szCs w:val="20"/>
          <w:color w:val="auto"/>
        </w:rPr>
      </w:pPr>
      <w:r>
        <w:rPr>
          <w:rFonts w:ascii="Times New Roman" w:cs="Times New Roman" w:eastAsia="Times New Roman" w:hAnsi="Times New Roman"/>
          <w:sz w:val="22"/>
          <w:szCs w:val="22"/>
          <w:color w:val="auto"/>
        </w:rPr>
        <w:t>ii.With respect to Executive’s PSOs granted on October 9, 2023 (the “</w:t>
      </w:r>
      <w:r>
        <w:rPr>
          <w:rFonts w:ascii="Times New Roman" w:cs="Times New Roman" w:eastAsia="Times New Roman" w:hAnsi="Times New Roman"/>
          <w:sz w:val="22"/>
          <w:szCs w:val="22"/>
          <w:b w:val="1"/>
          <w:bCs w:val="1"/>
          <w:i w:val="1"/>
          <w:iCs w:val="1"/>
          <w:color w:val="auto"/>
        </w:rPr>
        <w:t>October 2023 PSOs</w:t>
      </w:r>
      <w:r>
        <w:rPr>
          <w:rFonts w:ascii="Times New Roman" w:cs="Times New Roman" w:eastAsia="Times New Roman" w:hAnsi="Times New Roman"/>
          <w:sz w:val="22"/>
          <w:szCs w:val="22"/>
          <w:color w:val="auto"/>
        </w:rPr>
        <w:t>”), on the Last Day of Service, such October 2023 PSOs shall be forfeited.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60" w:right="3000" w:hanging="4075"/>
        <w:spacing w:after="0" w:line="860" w:lineRule="auto"/>
        <w:tabs>
          <w:tab w:leader="none" w:pos="93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unit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36195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39" w:name="page140"/>
    <w:bookmarkEnd w:id="139"/>
    <w:p>
      <w:pPr>
        <w:ind w:left="760"/>
        <w:spacing w:after="0" w:line="28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PSU</w:t>
      </w:r>
      <w:r>
        <w:rPr>
          <w:rFonts w:ascii="Times New Roman" w:cs="Times New Roman" w:eastAsia="Times New Roman" w:hAnsi="Times New Roman"/>
          <w:sz w:val="21"/>
          <w:szCs w:val="21"/>
          <w:color w:val="auto"/>
        </w:rPr>
        <w:t>”) awards with respect to shares of the Company’s common stock (collectively, the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under the Company’s Equity Plan and pursuant to the terms of the Performance Stock Unit Agreements (each, a “</w:t>
      </w:r>
      <w:r>
        <w:rPr>
          <w:rFonts w:ascii="Times New Roman" w:cs="Times New Roman" w:eastAsia="Times New Roman" w:hAnsi="Times New Roman"/>
          <w:sz w:val="21"/>
          <w:szCs w:val="21"/>
          <w:b w:val="1"/>
          <w:bCs w:val="1"/>
          <w:i w:val="1"/>
          <w:iCs w:val="1"/>
          <w:color w:val="auto"/>
        </w:rPr>
        <w:t>PSU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7" w:lineRule="exact"/>
        <w:rPr>
          <w:sz w:val="20"/>
          <w:szCs w:val="20"/>
          <w:color w:val="auto"/>
        </w:rPr>
      </w:pPr>
    </w:p>
    <w:p>
      <w:pPr>
        <w:jc w:val="both"/>
        <w:ind w:left="2260" w:hanging="179"/>
        <w:spacing w:after="0" w:line="232" w:lineRule="auto"/>
        <w:rPr>
          <w:sz w:val="20"/>
          <w:szCs w:val="20"/>
          <w:color w:val="auto"/>
        </w:rPr>
      </w:pPr>
      <w:r>
        <w:rPr>
          <w:rFonts w:ascii="Times New Roman" w:cs="Times New Roman" w:eastAsia="Times New Roman" w:hAnsi="Times New Roman"/>
          <w:sz w:val="22"/>
          <w:szCs w:val="22"/>
          <w:color w:val="auto"/>
        </w:rPr>
        <w:t>i. With respect to the PSU awards granted on June 7, 2024 and subject to financial metrics (the “</w:t>
      </w:r>
      <w:r>
        <w:rPr>
          <w:rFonts w:ascii="Times New Roman" w:cs="Times New Roman" w:eastAsia="Times New Roman" w:hAnsi="Times New Roman"/>
          <w:sz w:val="22"/>
          <w:szCs w:val="22"/>
          <w:b w:val="1"/>
          <w:bCs w:val="1"/>
          <w:i w:val="1"/>
          <w:iCs w:val="1"/>
          <w:color w:val="auto"/>
        </w:rPr>
        <w:t>Financial PSUs</w:t>
      </w:r>
      <w:r>
        <w:rPr>
          <w:rFonts w:ascii="Times New Roman" w:cs="Times New Roman" w:eastAsia="Times New Roman" w:hAnsi="Times New Roman"/>
          <w:sz w:val="22"/>
          <w:szCs w:val="22"/>
          <w:color w:val="auto"/>
        </w:rPr>
        <w:t>”), on the Second Release Effective Date (or, if the Last Day of Service occurs prior to the Certification Date (as defined in the PSU Agreement), on the Certification Date), (A) in the event of the expiration of the Transition Period on April 30, 2025, or any earlier termination of the Transition Period for any reason other than Executive’s involuntary discharge by the Company for Cause or Executive’s voluntary resignation for any reason, such portion of Executive’s outstanding Financial PSUs as would have vested in accordance with the terms of the applicable PSU Agreement by April 30, 2026, if any, shall vest and be accelerated, and such vested portion of the Financial PSUs shall be settled in accordance with the terms of the PSU Agreement and the Equity Plan, or (B) in the event the Transition Period terminates prior to April 30, 2025 as a result of Executive’s voluntary resignation for any reason, such portion of Executive’s outstanding Financial PSUs as would have vested in accordance with the terms of the applicable PSU Agreement by the date that is twelve (12) months following the Last Day of Service, if any, shall vest and be accelerated, and such vested portion of the Financial PSUs shall be settled in accordance with the terms of the PSU Agreement and the Equity Plan. The foregoing provisions are hereby deemed to be a part of and to amend the PSU Agreement governing the Financial PSUs with respect to the acceleration of the time-based vesting of such Financial PSUs. Except as amended above with respect to the acceleration of the time-based vesting of the Financial PSUs, Executive’s Financial PSUs shall continue to be governed by the Equity Plan and the PSU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60" w:hanging="186"/>
        <w:spacing w:after="0" w:line="258" w:lineRule="auto"/>
        <w:tabs>
          <w:tab w:leader="none" w:pos="2316"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PSU awards granted on June 7, 2024 and subject to total shareholder return metrics (the “</w:t>
      </w:r>
      <w:r>
        <w:rPr>
          <w:rFonts w:ascii="Times New Roman" w:cs="Times New Roman" w:eastAsia="Times New Roman" w:hAnsi="Times New Roman"/>
          <w:sz w:val="22"/>
          <w:szCs w:val="22"/>
          <w:b w:val="1"/>
          <w:bCs w:val="1"/>
          <w:i w:val="1"/>
          <w:iCs w:val="1"/>
          <w:color w:val="auto"/>
        </w:rPr>
        <w:t>TSR PSUs</w:t>
      </w:r>
      <w:r>
        <w:rPr>
          <w:rFonts w:ascii="Times New Roman" w:cs="Times New Roman" w:eastAsia="Times New Roman" w:hAnsi="Times New Roman"/>
          <w:sz w:val="22"/>
          <w:szCs w:val="22"/>
          <w:color w:val="auto"/>
        </w:rPr>
        <w:t>”), on the Last Day of Service, such TSR PSUs shall be forfeited.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Executive acknowledges and agrees that: (i) the Severance Benefits will be in lieu of any severance benefits to which Executive may be otherwise entitled to under the Company’s standard severance program for U.S. employees or any other plan, program or agreement currently maintained by the Company or any of its subsidiaries, and (ii) the Severance Benefits constitute adequate consideration for the promises and representations made by Executive in this Agreement and the Second Release. Executive understands and agrees that his entitlement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40" w:name="page141"/>
    <w:bookmarkEnd w:id="140"/>
    <w:p>
      <w:pPr>
        <w:jc w:val="both"/>
        <w:spacing w:after="0" w:line="239" w:lineRule="auto"/>
        <w:rPr>
          <w:sz w:val="20"/>
          <w:szCs w:val="20"/>
          <w:color w:val="auto"/>
        </w:rPr>
      </w:pPr>
      <w:r>
        <w:rPr>
          <w:rFonts w:ascii="Times New Roman" w:cs="Times New Roman" w:eastAsia="Times New Roman" w:hAnsi="Times New Roman"/>
          <w:sz w:val="22"/>
          <w:szCs w:val="22"/>
          <w:color w:val="auto"/>
        </w:rPr>
        <w:t>to the Severance Benefits set forth in this Section 2 are subject to the occurrence of the Second Release Effective Date within the time period provided above and is further conditioned on Executive’s compliance with the terms and conditions of this Agreement (including, without limitation, Section 5 below (including Section 5(b) regarding the return of Company property)), and the terms of the Proprietary Information Agreement (as defined below).</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757"/>
        <w:spacing w:after="0" w:line="244"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is terminated by the Company for Cause prior to April 30, 2025, the Company shall not have any other or further obligations to Executive under this Agreement (including any financial obligations), other than to provide the Accrued Obligations.</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 provided for in this Section 2 by seeking other employment or otherwise, nor shall the amount of any payment or benefit provided for in this Section 2 be reduced by any compensation earned by Executive as the result of employment by another employer or self-employment or by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retirement benefits.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757"/>
        <w:spacing w:after="0" w:line="235"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 (i) Executive’s gross negligence or willful misconduct in the performance of his duties hereunder to the Company where such gross negligence or willful misconduct has resulted or is likely to result in material damage to the Company and its subsidiaries; (ii) Executive’s willful and habitual neglect of or material failure to perform Executive’s duties of consulting or employment, which neglect or failure is not cured within thirty (30) days after written notice thereof is received by Executive; (iii) Executive’s commission of any act of fraud or dishonesty with respect to the Company that causes material harm to the Company and its subsidiaries; (iv) Executive’s conviction of or plea of guilty or nolo contendere to felony criminal conduct; or (v) Executive’s material violation of the Company’s Proprietary Information Agreement (as defined below) or similar agreement that Executive has entered into with the Company, which breach is not cured within thirty (30) days after written notice thereof is received by Executive.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Compensation</w:t>
      </w:r>
      <w:r>
        <w:rPr>
          <w:rFonts w:ascii="Times New Roman" w:cs="Times New Roman" w:eastAsia="Times New Roman" w:hAnsi="Times New Roman"/>
          <w:sz w:val="22"/>
          <w:szCs w:val="22"/>
          <w:color w:val="auto"/>
        </w:rPr>
        <w:t>. Other than the payments described in this Agreement, the Executive acknowledges that the Company will have timely paid all wages and employee benefits owed to the Executive through the Last Day of Service, including but not limited to, all salary, bonuses, commissions, business expenses, allowances, vacation pay, leave pay, and other employee benefits as a result of the Executive’s employment with the Company and/or conclusion of that employment.</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right="60" w:firstLine="757"/>
        <w:spacing w:after="0" w:line="258" w:lineRule="auto"/>
        <w:tabs>
          <w:tab w:leader="none" w:pos="101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The parties acknowledge that Executive is a resident of the State of Florida and that any and all services during the Transition Period shall be performed in the State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of Florida. Any tax withholding and deductions required as provided in Section 15 shall be calculated accordingly.</w:t>
      </w:r>
    </w:p>
    <w:p>
      <w:pPr>
        <w:spacing w:after="0" w:line="206" w:lineRule="exact"/>
        <w:rPr>
          <w:sz w:val="20"/>
          <w:szCs w:val="20"/>
          <w:color w:val="auto"/>
        </w:rPr>
      </w:pPr>
    </w:p>
    <w:p>
      <w:pPr>
        <w:ind w:left="1180" w:hanging="423"/>
        <w:spacing w:after="0"/>
        <w:tabs>
          <w:tab w:leader="none" w:pos="118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667"/>
        <w:spacing w:after="0" w:line="243" w:lineRule="auto"/>
        <w:tabs>
          <w:tab w:leader="none" w:pos="101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the agreements and promises set forth herein, including the Company’s agreement to continue to employ the Executive during the Transition Period and the payments and benefits which the Executive is eligible to receive under Section 1(c) of this Agreement,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his employment with or service to the Company or any affiliate (collectively,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Releasees</w:t>
      </w:r>
      <w:r>
        <w:rPr>
          <w:rFonts w:ascii="Times New Roman" w:cs="Times New Roman" w:eastAsia="Times New Roman" w:hAnsi="Times New Roman"/>
          <w:sz w:val="21"/>
          <w:szCs w:val="21"/>
          <w:color w:val="auto"/>
        </w:rPr>
        <w:t>”), from any and all claims, debts, demands, accounts, judgments, rights, causes of action, equitable relief, damages,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costs, charges, complaints, obligations, promises, agreements, controversies, suits, expenses, any and all compensation of any type whatsoever,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1"/>
          <w:szCs w:val="21"/>
          <w:b w:val="1"/>
          <w:bCs w:val="1"/>
          <w:i w:val="1"/>
          <w:iCs w:val="1"/>
          <w:color w:val="auto"/>
        </w:rPr>
        <w:t>Claims</w:t>
      </w:r>
      <w:r>
        <w:rPr>
          <w:rFonts w:ascii="Times New Roman" w:cs="Times New Roman" w:eastAsia="Times New Roman" w:hAnsi="Times New Roman"/>
          <w:sz w:val="21"/>
          <w:szCs w:val="21"/>
          <w:color w:val="auto"/>
        </w:rPr>
        <w:t>”), which the Executive has or may have had against such entities based on any events or circumstances arising or occurring on or prior to the date Executive signs this Agreement, arising out of, or relating to the Executive’s employment by or service to the Company or any affiliate,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7" w:lineRule="exact"/>
        <w:rPr>
          <w:rFonts w:ascii="Times New Roman" w:cs="Times New Roman" w:eastAsia="Times New Roman" w:hAnsi="Times New Roman"/>
          <w:sz w:val="21"/>
          <w:szCs w:val="21"/>
          <w:color w:val="auto"/>
        </w:rPr>
      </w:pPr>
    </w:p>
    <w:p>
      <w:pPr>
        <w:ind w:firstLine="667"/>
        <w:spacing w:after="0" w:line="258" w:lineRule="auto"/>
        <w:tabs>
          <w:tab w:leader="none" w:pos="10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generality of the foregoing, Executive does not release any claim which, by law, may not be released, including the following claims: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right="2880" w:hanging="4075"/>
        <w:spacing w:after="0" w:line="860" w:lineRule="auto"/>
        <w:tabs>
          <w:tab w:leader="none" w:pos="205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benefits pursuant to the terms of applicable state law;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firstLine="745"/>
        <w:spacing w:after="0" w:line="258"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pursuant to the terms and conditions of the federal law known as COBRA or any state law analog;</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76" w:lineRule="exact"/>
        <w:rPr>
          <w:rFonts w:ascii="Times New Roman" w:cs="Times New Roman" w:eastAsia="Times New Roman" w:hAnsi="Times New Roman"/>
          <w:sz w:val="21"/>
          <w:szCs w:val="21"/>
          <w:color w:val="auto"/>
        </w:rPr>
      </w:pPr>
    </w:p>
    <w:p>
      <w:pPr>
        <w:jc w:val="both"/>
        <w:ind w:firstLine="745"/>
        <w:spacing w:after="0" w:line="239"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jc w:val="both"/>
        <w:ind w:firstLine="745"/>
        <w:spacing w:after="0" w:line="238"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Executive’s right to vested equity (pursuant to the terms of the agreements governing such equity or incentive equity (as modified by this Agreement)) and accrued, vested benefits due to terminated employees under any employee benefit plan of the Company (excluding any severance or similar plan or policy), in accordance with the terms thereof (including Executive’s right to elect COBRA continuation coverage);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Agreement;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firstLine="745"/>
        <w:spacing w:after="0" w:line="258" w:lineRule="auto"/>
        <w:tabs>
          <w:tab w:leader="none" w:pos="1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directly with, cooperate with, or provide information to, any federal, state, or local government regulator.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469900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43" w:name="page144"/>
    <w:bookmarkEnd w:id="143"/>
    <w:p>
      <w:pPr>
        <w:ind w:firstLine="667"/>
        <w:spacing w:after="0" w:line="258"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right="20" w:firstLine="667"/>
        <w:spacing w:after="0" w:line="258" w:lineRule="auto"/>
        <w:tabs>
          <w:tab w:leader="none" w:pos="10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HE MAY HAVE THEREUNDER, AS WELL AS UNDER ANY OTHER STATUTES OR COMMON LAW PRINCIPLES OF SIMILAR EFFECT.</w:t>
      </w:r>
    </w:p>
    <w:p>
      <w:pPr>
        <w:spacing w:after="0" w:line="173" w:lineRule="exact"/>
        <w:rPr>
          <w:sz w:val="20"/>
          <w:szCs w:val="20"/>
          <w:color w:val="auto"/>
        </w:rPr>
      </w:pPr>
    </w:p>
    <w:p>
      <w:pPr>
        <w:jc w:val="both"/>
        <w:ind w:firstLine="757"/>
        <w:spacing w:after="0" w:line="239" w:lineRule="auto"/>
        <w:tabs>
          <w:tab w:leader="none" w:pos="101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or Transfer of Claims</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of Continuing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expressly reaffirms his obligations under that certain Employee Proprietary Information and Inventions Agreement executed by the Executive in connection with his employment with the Company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 Agreement</w:t>
      </w:r>
      <w:r>
        <w:rPr>
          <w:rFonts w:ascii="Times New Roman" w:cs="Times New Roman" w:eastAsia="Times New Roman" w:hAnsi="Times New Roman"/>
          <w:sz w:val="22"/>
          <w:szCs w:val="22"/>
          <w:color w:val="auto"/>
        </w:rPr>
        <w:t>”), a copy of which is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incorporated herein by reference, and agrees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obligations shall survive the Last Day of Service.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(b)By signing below, the Executive agrees that, no later than the Last Day of Service, he will deliver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 The Executive further agrees that any property situated on the Company’s premises and owned by the Company, including computers, hard drives, and other storage media, filing cabinets or other work areas, is subject to inspection by Company personnel at any time with or without notice. The Executive’s compliance with this Section 5(b) shall be a condition to his receipt of the payments and benefits set forth in Sections 1(c) and 2. The Executive will deliver all applicable Company property back to the Company by using a prepaid box that will be shipped to the Executive’s address or by leaving 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property that it wasn’t agreed that the Executive would retain in the Executive’s office on or prior to the Last Day of Service.</w:t>
      </w:r>
    </w:p>
    <w:p>
      <w:pPr>
        <w:spacing w:after="0" w:line="206" w:lineRule="exact"/>
        <w:rPr>
          <w:sz w:val="20"/>
          <w:szCs w:val="20"/>
          <w:color w:val="auto"/>
        </w:rPr>
      </w:pPr>
    </w:p>
    <w:p>
      <w:pPr>
        <w:jc w:val="both"/>
        <w:ind w:firstLine="757"/>
        <w:spacing w:after="0" w:line="235" w:lineRule="auto"/>
        <w:tabs>
          <w:tab w:leader="none" w:pos="101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5(f), the Executive agrees that the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5(c) will prohibit the Executive or the Company from providing truthful information in response to a subpoena or other legal process or governmental inquiry, or from exercising any other protected right that cannot be waived by agreement. The Company will provide an instruction to the Company directors, officers and executives to not make or publish any disparaging statements about Executive. If either the Company or the Executive are asked about the reason for separation, the Parties will mutually agree on a response prior to communicating any reason.</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(d)The Executive covenants that, prior to the date of the Executive signing this Agreement, the Executive has not (i) discussed or disclosed, orally or in writing, the negotiations leading to this Agreement or any of the terms or conditions of the Agreement other than with the Executive’s legal counsel, family members or professional tax advisors, or (ii) aided, assisted, or encouraged any person(s) in asserting claims against Company. Subject to Section 5(f),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this Agreement. The Executive is permitted to make such disclosure, under express covenant of confidentiality, only to the Executive’s family members, legal counsel and professional tax advisors as is required to calculate the amount of, or receive advice on, income tax issues or as otherwise required by law; however, any disclosure to a third party by such tax advisor or legal counsel shall be deemed a disclosure by the Executive. The Executive further agrees not to aid, assist, or encourage any person(s) asserting claims against Company, other than by providing truthful testimony as a result of a lawfully issued subpoena.</w:t>
      </w:r>
    </w:p>
    <w:p>
      <w:pPr>
        <w:spacing w:after="0" w:line="177" w:lineRule="exact"/>
        <w:rPr>
          <w:sz w:val="20"/>
          <w:szCs w:val="20"/>
          <w:color w:val="auto"/>
        </w:rPr>
      </w:pPr>
    </w:p>
    <w:p>
      <w:pPr>
        <w:jc w:val="both"/>
        <w:ind w:firstLine="757"/>
        <w:spacing w:after="0" w:line="236" w:lineRule="auto"/>
        <w:tabs>
          <w:tab w:leader="none" w:pos="10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the payments and benefits set forth in Sections 1(c) and 2 shall be subject to the Executive not violating the provisions of this Agreement or the Proprietary Information Agreement or any other similar restrictive covenant or proprietary information agreement to which the Executive is a party with the Company or any of its affiliates. In the event the Executive breaches the provisions of this Agreement or the Proprietary Information Agreement, in addition to all other rights and remedies available to the Company under law or in equity, all continuing payments and benefits to which the Executive may otherwise be entitled pursuant to Section 2(b) shall be immediately suspended.</w:t>
      </w:r>
    </w:p>
    <w:p>
      <w:pPr>
        <w:spacing w:after="0" w:line="181"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Agreement prohibits or is intended to limit the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2" w:lineRule="auto"/>
        <w:rPr>
          <w:sz w:val="20"/>
          <w:szCs w:val="20"/>
          <w:color w:val="auto"/>
        </w:rPr>
      </w:pPr>
      <w:r>
        <w:rPr>
          <w:rFonts w:ascii="Times New Roman" w:cs="Times New Roman" w:eastAsia="Times New Roman" w:hAnsi="Times New Roman"/>
          <w:sz w:val="22"/>
          <w:szCs w:val="22"/>
          <w:color w:val="auto"/>
        </w:rPr>
        <w:t>U.S. Inspector General, or making other disclosures that are protected under the whistleblower provisions of federal law or regulation; provided, however, that the Executive expressly waives and relinquishes any rights the Executive might have to recover damages or other relief, whether equitable or legal, in any Equal Employment Opportunity Commission proceeding (whether brought by the Executive or on the Executive’s behalf), (ii) exercising any rights the Executive may have under Section 7 of the U.S. National Labor Relations Act, such as the right to engage in concerted activity, including collective action or discussion concerning wages or working conditions; (iii) discussing or disclosing information about unlawful acts in the workplace, such as harassment or discrimination based on a protected characteristic or any other conduct that the Executive has reason to believe is unlawful; or (iv) communicating with his legal counsel. In addition, the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Executive does not need the prior authorization of the Company to make any such reports or disclosures or to participate or cooperate in any governmental investigation, action or proceeding, and the Executive is not required to notify the Company that the Executive has made such reports and disclosures or has participated or cooperated in any governmental investigation, action or proceeding.</w:t>
      </w:r>
    </w:p>
    <w:p>
      <w:pPr>
        <w:spacing w:after="0" w:line="187" w:lineRule="exact"/>
        <w:rPr>
          <w:sz w:val="20"/>
          <w:szCs w:val="20"/>
          <w:color w:val="auto"/>
        </w:rPr>
      </w:pPr>
    </w:p>
    <w:p>
      <w:pPr>
        <w:jc w:val="both"/>
        <w:ind w:firstLine="757"/>
        <w:spacing w:after="0" w:line="233" w:lineRule="auto"/>
        <w:tabs>
          <w:tab w:leader="none" w:pos="10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xml:space="preserve">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above,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Agreement.</w:t>
      </w:r>
    </w:p>
    <w:p>
      <w:pPr>
        <w:spacing w:after="0" w:line="18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For up to one year following the Last Day of Service, the Executive will reasonably cooperate in connection with any litigation, arbitration, proceedings, government hearing or investigation involving the Company or any other matter that relates to the Executive’s employment period and about which the Executive has knowledge; provided, however, that such cooperation shall be provided at times that are mutually convenient to the Executive and the Company, and the Company shall make good faith efforts to arrange for such cooperation to be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spacing w:after="0" w:line="238" w:lineRule="auto"/>
        <w:rPr>
          <w:sz w:val="20"/>
          <w:szCs w:val="20"/>
          <w:color w:val="auto"/>
        </w:rPr>
      </w:pPr>
      <w:r>
        <w:rPr>
          <w:rFonts w:ascii="Times New Roman" w:cs="Times New Roman" w:eastAsia="Times New Roman" w:hAnsi="Times New Roman"/>
          <w:sz w:val="22"/>
          <w:szCs w:val="22"/>
          <w:color w:val="auto"/>
        </w:rPr>
        <w:t>provided by the Executive telephonically. The Company will provide the Executive with reasonable advanced notice in the event Executive’s assistance is required. The Company recognizes that the Executive’s ability to cooperate will necessarily be impacted by other personal, professional, and work obligations. The Company will reimburse Executive for all reasonable expenses incurred in providing such cooperation and will reasonably compensate Executive for his time based on Executive’s hourly rate with the Company as of the Last Day of Service.</w:t>
      </w:r>
    </w:p>
    <w:p>
      <w:pPr>
        <w:spacing w:after="0" w:line="177" w:lineRule="exact"/>
        <w:rPr>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Best Pay Provision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3"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or benefit Executive would receive under this Agreement, when combined with any other payment or benefit Executive receives pursuant to the termination of Executive’s employment with the Company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 If a reduction of any Payment(s) is required, the Company shall reduce or eliminate the Payments by first reducing or eliminating any cash payments under this Agreement, then by reducing or eliminating any accelerated vesting of stock options, then by reducing or eliminating any accelerated vesting of other equity awards, then by reducing or eliminating any other remaining Payments, in each case in reverse order beginning with the payments which are to be paid the farthest in time from the date of the transaction triggering the Excise Tax.</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(b)All determinations required to be made under this Section 8(b), including whether and to what extent the Payments shall be reduced and the assumptions to be utilized in arriving at such determination, shall be made by the nationally recognized certified public accounting firm used by the Company immediately prior to the effective date of the Change in Control or, if such firm declines to serve, such other nationally recognized certified public accounting firm as may be designated by the Company (the “</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8, the Accounting Firm may make reasonable assumptions and approximations concerning applicable taxes and may rely on reasonable, good-faith interpretations concerning the application of Sections 280G and 4999 of the Code.</w:t>
      </w:r>
    </w:p>
    <w:p>
      <w:pPr>
        <w:spacing w:after="0" w:line="179" w:lineRule="exact"/>
        <w:rPr>
          <w:sz w:val="20"/>
          <w:szCs w:val="20"/>
          <w:color w:val="auto"/>
        </w:rPr>
      </w:pPr>
    </w:p>
    <w:p>
      <w:pPr>
        <w:ind w:firstLine="757"/>
        <w:spacing w:after="0" w:line="258"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covenants, agreements, representations, and warranties contained in or made in this Agreement shall survive the Last Day of Service or any termination of this Agreement.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as expressly set forth herein, this Agreement does not create, and shall not be construed as creating, any rights enforceable by any person not a party to this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Executive at the address listed on the Company’s personnel records and to the Company at its principal place of business to the attention of the Company’s General Counsel, or such other address as either party may specify in writing.</w:t>
      </w:r>
    </w:p>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Agreement and the terms of it, the Executive and the Company agree that any and all disputes, claims, or demands in any way arising out of or relating to the terms of this Agreement, Company equity held by the Executive, the Executive’s further employment relationship with the Company, or the termination of the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Streamlined Rules</w:t>
      </w:r>
      <w:r>
        <w:rPr>
          <w:rFonts w:ascii="Times New Roman" w:cs="Times New Roman" w:eastAsia="Times New Roman" w:hAnsi="Times New Roman"/>
          <w:sz w:val="22"/>
          <w:szCs w:val="22"/>
          <w:color w:val="auto"/>
        </w:rPr>
        <w:t>”) and the Federal Arbitration Act, 9 U.S.C. Sec. 1, et seq. A copy of the JAMS Streamlined Rules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Company will pay the arbitrator’s fees and arbitration expenses and any other costs unique to the arbitration hearing. The Parties agree that the prevailing party in any arbitration shall be entitled to injunctive relief in any court of competent jurisdiction to enforce the arbitration award. Nothing in this Agreement is intended to prevent either the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35" w:lineRule="auto"/>
        <w:rPr>
          <w:sz w:val="20"/>
          <w:szCs w:val="20"/>
          <w:color w:val="auto"/>
        </w:rPr>
      </w:pPr>
      <w:r>
        <w:rPr>
          <w:rFonts w:ascii="Times New Roman" w:cs="Times New Roman" w:eastAsia="Times New Roman" w:hAnsi="Times New Roman"/>
          <w:sz w:val="22"/>
          <w:szCs w:val="22"/>
          <w:color w:val="auto"/>
        </w:rPr>
        <w:t>convenience only and shall not be used in interpreting this Agreement. This Agreement has been drafted by legal counsel representing the Company, but the Executive has participated in the negotiation of its terms. Furthermore, the Executive acknowledges that the Executive has had an opportunity to review this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Withholding and Other Deductions; Right to Seek Independent Advice</w:t>
      </w:r>
      <w:r>
        <w:rPr>
          <w:rFonts w:ascii="Times New Roman" w:cs="Times New Roman" w:eastAsia="Times New Roman" w:hAnsi="Times New Roman"/>
          <w:sz w:val="22"/>
          <w:szCs w:val="22"/>
          <w:color w:val="auto"/>
        </w:rPr>
        <w:t>. All compensation payable to the Executive hereunder shall be subject to such deductions as the Company is from time to time required to make pursuant to law, governmental regulation, or order. The Executive acknowledges and agrees that neither the Company nor the Company’s counsel has provided any legal or tax advice to the Executive and that the Executive is free to, and is hereby advised to, consult with a legal or tax advisor of his choosing.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757"/>
        <w:spacing w:after="0" w:line="258" w:lineRule="auto"/>
        <w:tabs>
          <w:tab w:leader="none" w:pos="101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termination of employment on the Last Day of Service will constitute Executive’s Separation from Service, and the final regulations and any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(b)This Agreement is not intended to provide for any deferral of compensation subject to Section 409A of the Code, and, accordingly, the severance payments payable under Section 2(b) shall be paid no later than the later of: (A) the fifteenth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of the third month following the Executive’s first taxable year in which such severance benefit is no longer subject to a substantial risk of forfeiture, and (B) the fifteenth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 Any right to a series of installment payments pursuant to this Agreement is to be treated as a right to a series of separate payments.</w:t>
      </w:r>
    </w:p>
    <w:p>
      <w:pPr>
        <w:spacing w:after="0" w:line="183" w:lineRule="exact"/>
        <w:rPr>
          <w:sz w:val="20"/>
          <w:szCs w:val="20"/>
          <w:color w:val="auto"/>
        </w:rPr>
      </w:pPr>
    </w:p>
    <w:p>
      <w:pPr>
        <w:jc w:val="both"/>
        <w:ind w:firstLine="757"/>
        <w:spacing w:after="0" w:line="247" w:lineRule="auto"/>
        <w:tabs>
          <w:tab w:leader="none" w:pos="1018"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the Executive is entitled under this Agreement is required in order to avoid a prohibited distribution under Section 409A(a)(2)(B)(i) of the Code, then such portion deferred pursuant to this Section 16(c) shall be paid or distributed to the Executive in a lump sum on the earlier of (i) the date that is six (6)-months following the Executive’s Separation from Service, (ii) the date of the Executive’s death or (iii) the earliest date as is permitted under Section 409A of the Code. Any remaining payments due under the Agreement shall be paid as otherwise provided herein.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9" w:name="page150"/>
    <w:bookmarkEnd w:id="149"/>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spacing w:after="0" w:line="181" w:lineRule="exact"/>
        <w:rPr>
          <w:sz w:val="20"/>
          <w:szCs w:val="20"/>
          <w:color w:val="auto"/>
        </w:rPr>
      </w:pPr>
    </w:p>
    <w:p>
      <w:pPr>
        <w:jc w:val="both"/>
        <w:ind w:firstLine="757"/>
        <w:spacing w:after="0" w:line="236"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and acknowledges that the Company makes no representations or warranties with respect to the application of Section 409A and other tax consequences to any payments hereunder and, by the acceptance of any such payments, the Executive agrees to accept the potential application of Section 409A and the other tax consequences of any payments made hereunder. In no event whatsoever shall the Company be liable for any taxes, penalties or interest that may be imposed on the Executive pursuant to Section 409A or under any other similar provision of state tax law, including but not limited to, damages for failing to comply with Section 409A and/or any other similar provision of state tax law.</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17.</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As used in this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as hereinbefore defined and any successor to its business and/or assets as aforesaid which assumes and agrees to perform this Agreement by operation of law or otherwise. The Executive shall not be entitled to assign any of the Executive’s rights or obligations under this Agreement, other than the laws of descent and distribution. This Agreement shall inure to the benefit of and be enforceable by the Executive’s personal or legal representatives, executors, administrators, successors, heirs, distributees, devisees, and legatees.</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together with the Proprietary Information Agreement, that certain Indemnification Agreement executed by Executive in connection with his employment with the Company and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Indemnification Agreement</w:t>
      </w:r>
      <w:r>
        <w:rPr>
          <w:rFonts w:ascii="Times New Roman" w:cs="Times New Roman" w:eastAsia="Times New Roman" w:hAnsi="Times New Roman"/>
          <w:sz w:val="22"/>
          <w:szCs w:val="22"/>
          <w:color w:val="auto"/>
        </w:rPr>
        <w:t>”), and the other agreements referenced herein and therein, constitutes the entire agreement of the Parties in respect of the subject matter contained herein and therein and supersedes all prior or simultaneous representations, discussions, negotiations and agreements, whether written or oral, including, without limitation, the Offer Letter, the Severance Agreement and the Change in Control Agreement (each of which, for the avoidance of doubt, are hereby terminated as of the Transition Date). This Agreement may be amended or modified only with the written consent of Executive and an authorized representative of the Company. No oral waiver, amendment or modification will be effective under any circumstances whatsoever. In the event of any conflict between any of the terms in this Agreement and the terms of any other agreement between the Executive and the Company, the terms of this Agreement will control.</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21.</w:t>
      </w:r>
      <w:r>
        <w:rPr>
          <w:rFonts w:ascii="Times New Roman" w:cs="Times New Roman" w:eastAsia="Times New Roman" w:hAnsi="Times New Roman"/>
          <w:sz w:val="21"/>
          <w:szCs w:val="21"/>
          <w:u w:val="single" w:color="auto"/>
          <w:color w:val="auto"/>
        </w:rPr>
        <w:t>Counterparts; Facsimile or .pdf Signatures</w:t>
      </w:r>
      <w:r>
        <w:rPr>
          <w:rFonts w:ascii="Times New Roman" w:cs="Times New Roman" w:eastAsia="Times New Roman" w:hAnsi="Times New Roman"/>
          <w:sz w:val="21"/>
          <w:szCs w:val="21"/>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22.</w:t>
      </w:r>
      <w:r>
        <w:rPr>
          <w:rFonts w:ascii="Times New Roman" w:cs="Times New Roman" w:eastAsia="Times New Roman" w:hAnsi="Times New Roman"/>
          <w:sz w:val="22"/>
          <w:szCs w:val="22"/>
          <w:b w:val="1"/>
          <w:bCs w:val="1"/>
          <w:u w:val="single" w:color="auto"/>
          <w:color w:val="auto"/>
        </w:rPr>
        <w:t>KNOWING AND VOLUNTARY RELEASE</w:t>
      </w:r>
      <w:r>
        <w:rPr>
          <w:rFonts w:ascii="Times New Roman" w:cs="Times New Roman" w:eastAsia="Times New Roman" w:hAnsi="Times New Roman"/>
          <w:sz w:val="22"/>
          <w:szCs w:val="22"/>
          <w:b w:val="1"/>
          <w:bCs w:val="1"/>
          <w:color w:val="auto"/>
        </w:rPr>
        <w:t>. The Executive agrees and acknowledges that Executive has the right and has had an opportunity to see and consult legal counsel in conjunction with the negotiation and execution of this Agreement. The Executive further agrees that the Executive has had adequate time to review, evaluate and negotiate this Agreement. The Executive intends and agrees that this Agreement is complete, binding, and not subject to any claim of mistake or incapacity.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1" w:name="page152"/>
    <w:bookmarkEnd w:id="151"/>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AGREES TO THE TERMS OF THIS AGREEMENT AND VOLUNTARILY ENTERS INTO IT WITH THE INTENT TO BE BOUND THEREBY.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January 23, 2025</w:t>
            </w: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/s/ Kumara Guru Gowrappan</w:t>
            </w:r>
          </w:p>
        </w:tc>
      </w:tr>
      <w:tr>
        <w:trPr>
          <w:trHeight w:val="20"/>
        </w:trPr>
        <w:tc>
          <w:tcPr>
            <w:tcW w:w="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r>
      <w:tr>
        <w:trPr>
          <w:trHeight w:val="492"/>
        </w:trPr>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KUMARA GURU GOWRAPPAN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January 23, 2025</w:t>
      </w:r>
      <w:r>
        <w:rPr>
          <w:sz w:val="20"/>
          <w:szCs w:val="20"/>
          <w:color w:val="auto"/>
        </w:rPr>
        <w:tab/>
      </w:r>
      <w:r>
        <w:rPr>
          <w:rFonts w:ascii="Times New Roman" w:cs="Times New Roman" w:eastAsia="Times New Roman" w:hAnsi="Times New Roman"/>
          <w:sz w:val="21"/>
          <w:szCs w:val="2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52019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96">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Robert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-13970</wp:posOffset>
            </wp:positionV>
            <wp:extent cx="188595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9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Robert Blair</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OF CLAIMS (SECOND RELEASE)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General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this _____ day of ____, 2025, between Kumara Guru</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Gowrappan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are parties to the Employment Transition Agreement and General Release of Claims dated as of January __, 2025 (the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the Executive is entitled to certain payments benefits under Section 2(b) of the Transition Agreement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subject to the Executive’s execution of this Release;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the Executive now wish to fully and finally to resolve all matters between them; and</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defined terms used herein without definition shall have the meanings given to such terms in the Transition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the Executive pursuant to the Transition Agreement, the adequacy of which is hereby acknowledged by the Executive, and which the Executive acknowledges that he would not otherwise be entitled to receive, the Executive and the Company hereby agree as follows:</w:t>
      </w:r>
    </w:p>
    <w:p>
      <w:pPr>
        <w:spacing w:after="0" w:line="173" w:lineRule="exact"/>
        <w:rPr>
          <w:sz w:val="20"/>
          <w:szCs w:val="20"/>
          <w:color w:val="auto"/>
        </w:rPr>
      </w:pPr>
    </w:p>
    <w:p>
      <w:pPr>
        <w:ind w:left="1500" w:hanging="743"/>
        <w:spacing w:after="0"/>
        <w:tabs>
          <w:tab w:leader="none" w:pos="15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Release of Known and Unknown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33" w:lineRule="auto"/>
        <w:tabs>
          <w:tab w:leader="none" w:pos="192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Severance Benefits set forth in Section 2(b) of the Transition Agreement, and in consideration of the further agreements and promises set forth herein,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her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and further including but not limited to any claim for any bonus now or in the future including any bonus for any completed or in-process fiscal year of the Company),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Executive has or may have had against such entities based on any events or circumstances arising or occurring on or prior to the date hereof, arising out of or relating to Executive’s employment by or service to the Company or any affiliate or the termination thereof, including any and all claims arising under federal, state, or local laws relating to employment,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3" w:name="page154"/>
    <w:bookmarkEnd w:id="153"/>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as amended,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Rehabilitation Act of 1973, as amended, 29 U.S.C. § 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Civil Rights Act of 1866, and the Civil Rights Act of 1991; 42 U.S.C. Section 1981,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as amended, 29 U.S.C. Section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as amended,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Fair Labor Standards Act of 1938, as amended, 29 U.S.C. §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Employee Retirement Income Security Act, as amended,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185" w:lineRule="exact"/>
        <w:rPr>
          <w:sz w:val="20"/>
          <w:szCs w:val="20"/>
          <w:color w:val="auto"/>
        </w:rPr>
      </w:pPr>
    </w:p>
    <w:p>
      <w:pPr>
        <w:ind w:left="760" w:right="20" w:firstLine="432"/>
        <w:spacing w:after="0" w:line="258" w:lineRule="auto"/>
        <w:rPr>
          <w:sz w:val="20"/>
          <w:szCs w:val="20"/>
          <w:color w:val="auto"/>
        </w:rPr>
      </w:pPr>
      <w:r>
        <w:rPr>
          <w:rFonts w:ascii="Times New Roman" w:cs="Times New Roman" w:eastAsia="Times New Roman" w:hAnsi="Times New Roman"/>
          <w:sz w:val="22"/>
          <w:szCs w:val="22"/>
          <w:color w:val="auto"/>
        </w:rPr>
        <w:t>Notwithstanding the generality of the foregoing, the Executive does not release any claim which, by law, may not be released, including the following claims:</w:t>
      </w:r>
    </w:p>
    <w:p>
      <w:pPr>
        <w:spacing w:after="0" w:line="158" w:lineRule="exact"/>
        <w:rPr>
          <w:sz w:val="20"/>
          <w:szCs w:val="20"/>
          <w:color w:val="auto"/>
        </w:rPr>
      </w:pPr>
    </w:p>
    <w:p>
      <w:pPr>
        <w:ind w:left="760" w:right="20" w:firstLine="1494"/>
        <w:spacing w:after="0" w:line="258" w:lineRule="auto"/>
        <w:tabs>
          <w:tab w:leader="none" w:pos="26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158" w:lineRule="exact"/>
        <w:rPr>
          <w:rFonts w:ascii="Times New Roman" w:cs="Times New Roman" w:eastAsia="Times New Roman" w:hAnsi="Times New Roman"/>
          <w:sz w:val="22"/>
          <w:szCs w:val="22"/>
          <w:color w:val="auto"/>
        </w:rPr>
      </w:pPr>
    </w:p>
    <w:p>
      <w:pPr>
        <w:ind w:left="760" w:right="100" w:firstLine="1494"/>
        <w:spacing w:after="0" w:line="258" w:lineRule="auto"/>
        <w:tabs>
          <w:tab w:leader="none" w:pos="26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pursuant to the terms and conditions of the federal law known as COBRA or any state law</w:t>
      </w:r>
    </w:p>
    <w:p>
      <w:pPr>
        <w:spacing w:after="0" w:line="25"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analog;</w:t>
      </w:r>
    </w:p>
    <w:p>
      <w:pPr>
        <w:spacing w:after="0" w:line="182" w:lineRule="exact"/>
        <w:rPr>
          <w:rFonts w:ascii="Times New Roman" w:cs="Times New Roman" w:eastAsia="Times New Roman" w:hAnsi="Times New Roman"/>
          <w:sz w:val="21"/>
          <w:szCs w:val="21"/>
          <w:color w:val="auto"/>
        </w:rPr>
      </w:pPr>
    </w:p>
    <w:p>
      <w:pPr>
        <w:jc w:val="both"/>
        <w:ind w:left="760" w:firstLine="1494"/>
        <w:spacing w:after="0" w:line="261" w:lineRule="auto"/>
        <w:tabs>
          <w:tab w:leader="none" w:pos="268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w:t>
      </w:r>
    </w:p>
    <w:p>
      <w:pPr>
        <w:spacing w:after="0" w:line="157"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6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Executive’s right to vested equity (pursuant to the terms of the agreements governing such equity or incentive equity (as modified by the Transition Agreement)) and accrued, vested benefits due to terminated employees under any employee benefit plan of the Company (excluding any severance or similar plan or policy),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22"/>
          <w:szCs w:val="22"/>
          <w:color w:val="auto"/>
        </w:rPr>
        <w:t>in accordance with the terms thereof (including Executive’s right to elect COBRA continuation coverage)</w:t>
      </w:r>
    </w:p>
    <w:p>
      <w:pPr>
        <w:spacing w:after="0" w:line="206" w:lineRule="exact"/>
        <w:rPr>
          <w:sz w:val="20"/>
          <w:szCs w:val="20"/>
          <w:color w:val="auto"/>
        </w:rPr>
      </w:pPr>
    </w:p>
    <w:p>
      <w:pPr>
        <w:ind w:left="760" w:right="80" w:firstLine="1494"/>
        <w:spacing w:after="0" w:line="258" w:lineRule="auto"/>
        <w:tabs>
          <w:tab w:leader="none" w:pos="268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Release or the Transition Agreement; and</w:t>
      </w:r>
    </w:p>
    <w:p>
      <w:pPr>
        <w:spacing w:after="0" w:line="158"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color w:val="auto"/>
        </w:rPr>
        <w:t>(ix) The Executive’s right to communicate or cooperate with any government agency.</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158" w:lineRule="exact"/>
        <w:rPr>
          <w:sz w:val="20"/>
          <w:szCs w:val="20"/>
          <w:color w:val="auto"/>
        </w:rPr>
      </w:pPr>
    </w:p>
    <w:p>
      <w:pPr>
        <w:ind w:right="20" w:firstLine="1189"/>
        <w:spacing w:after="0" w:line="258" w:lineRule="auto"/>
        <w:tabs>
          <w:tab w:leader="none" w:pos="161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SHE MAY HAVE THEREUNDER, AS WELL AS UNDER ANY OTHER STATUTES OR COMMON LAW PRINCIPLES OF SIMILAR EFFECT.</w:t>
      </w:r>
    </w:p>
    <w:p>
      <w:pPr>
        <w:spacing w:after="0" w:line="173" w:lineRule="exact"/>
        <w:rPr>
          <w:sz w:val="20"/>
          <w:szCs w:val="20"/>
          <w:color w:val="auto"/>
        </w:rPr>
      </w:pPr>
    </w:p>
    <w:p>
      <w:pPr>
        <w:ind w:firstLine="1189"/>
        <w:spacing w:after="0" w:line="246" w:lineRule="auto"/>
        <w:tabs>
          <w:tab w:leader="none" w:pos="161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acknowledges that the Executive is entitled to have twenty-one (21) days’ time in which to consider this Release after the delivery of such Release to him (which, for the avoidance of doubt, was provided to Executive on the Effective Date of the Transition Agreement, so such twenty-one (21) day period will begin to run from the Effective Date of the Transition Agreement with this Release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Executive further acknowledges that the Company has advised him that he is waiving his rights under the ADEA, and that Executive has the right to and should consult with an attorney of his choice before signing this Release, and the Executive has had sufficient time to consider the terms of this Release. The Executive represents and acknowledges that if the Executive executes this Release before twenty-one (21) days have elapsed, the Executive does so knowingly, voluntarily, and upon the advice and with the approval of the Executive’s legal counsel (if any), and that the Executive voluntarily waives any remaining consideration period. The Executive further acknowledges and agrees that the Executive must sign this Release by the Second Release Deadline but in no event earlier than the Last Day of Service.</w:t>
      </w:r>
    </w:p>
    <w:p>
      <w:pPr>
        <w:spacing w:after="0" w:line="170" w:lineRule="exact"/>
        <w:rPr>
          <w:rFonts w:ascii="Times New Roman" w:cs="Times New Roman" w:eastAsia="Times New Roman" w:hAnsi="Times New Roman"/>
          <w:sz w:val="21"/>
          <w:szCs w:val="21"/>
          <w:color w:val="auto"/>
        </w:rPr>
      </w:pPr>
    </w:p>
    <w:p>
      <w:pPr>
        <w:ind w:firstLine="1189"/>
        <w:spacing w:after="0" w:line="238" w:lineRule="auto"/>
        <w:tabs>
          <w:tab w:leader="none" w:pos="161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after executing this Release, the Executive has the right to revoke it within seven (7) days after his execution of it. The Executive understands that this Release will not become effective and enforceable unless the seven (7) day revocation period passes and the Executive does not revoke this Release in writing. The Executive understands that this Release may not be revoked after the seven (7) day revocation period has passed. The Executive also understands that any revocation of this Release Executive must email</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5" w:name="page156"/>
    <w:bookmarkEnd w:id="155"/>
    <w:p>
      <w:pPr>
        <w:spacing w:after="0" w:line="258" w:lineRule="auto"/>
        <w:rPr>
          <w:sz w:val="20"/>
          <w:szCs w:val="20"/>
          <w:color w:val="auto"/>
        </w:rPr>
      </w:pPr>
      <w:r>
        <w:rPr>
          <w:rFonts w:ascii="Times New Roman" w:cs="Times New Roman" w:eastAsia="Times New Roman" w:hAnsi="Times New Roman"/>
          <w:sz w:val="22"/>
          <w:szCs w:val="22"/>
          <w:color w:val="auto"/>
        </w:rPr>
        <w:t>to Company a written notice of revocation to Robert J. Blair, the Company’s General Counsel, at robert.blair@viasat.com, prior to the end of the 7-day period.</w:t>
      </w:r>
    </w:p>
    <w:p>
      <w:pPr>
        <w:spacing w:after="0" w:line="158" w:lineRule="exact"/>
        <w:rPr>
          <w:sz w:val="20"/>
          <w:szCs w:val="20"/>
          <w:color w:val="auto"/>
        </w:rPr>
      </w:pPr>
    </w:p>
    <w:p>
      <w:pPr>
        <w:ind w:firstLine="1189"/>
        <w:spacing w:after="0" w:line="226" w:lineRule="auto"/>
        <w:tabs>
          <w:tab w:leader="none" w:pos="161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this Release shall become effective, irrevocable, and binding upon the Executive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his execution of it, so long as the Executive has not revoked it within the time period and in the manner specified in clause (d) above.</w:t>
      </w:r>
    </w:p>
    <w:p>
      <w:pPr>
        <w:spacing w:after="0" w:line="178" w:lineRule="exact"/>
        <w:rPr>
          <w:rFonts w:ascii="Times New Roman" w:cs="Times New Roman" w:eastAsia="Times New Roman" w:hAnsi="Times New Roman"/>
          <w:sz w:val="22"/>
          <w:szCs w:val="22"/>
          <w:color w:val="auto"/>
        </w:rPr>
      </w:pPr>
    </w:p>
    <w:p>
      <w:pPr>
        <w:jc w:val="both"/>
        <w:ind w:firstLine="1189"/>
        <w:spacing w:after="0" w:line="244" w:lineRule="auto"/>
        <w:tabs>
          <w:tab w:leader="none" w:pos="161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understands that the Executive will not be given any Severance Benefits in Section 2(b) of the Transition Agreement unless this Release is effective on or before the date that is eighteen (18) days following the Last Day of Service.</w:t>
      </w:r>
    </w:p>
    <w:p>
      <w:pPr>
        <w:spacing w:after="0" w:line="173"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of the Transition Agreement,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51" w:lineRule="auto"/>
        <w:tabs>
          <w:tab w:leader="none" w:pos="1929"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and Inventions</w:t>
      </w:r>
      <w:r>
        <w:rPr>
          <w:rFonts w:ascii="Times New Roman" w:cs="Times New Roman" w:eastAsia="Times New Roman" w:hAnsi="Times New Roman"/>
          <w:sz w:val="21"/>
          <w:szCs w:val="21"/>
          <w:color w:val="auto"/>
        </w:rPr>
        <w:t>. The Executive hereby expressly reaffirms his obligations under the Employee Proprietary Information and Inventions Agreement (the “</w:t>
      </w:r>
      <w:r>
        <w:rPr>
          <w:rFonts w:ascii="Times New Roman" w:cs="Times New Roman" w:eastAsia="Times New Roman" w:hAnsi="Times New Roman"/>
          <w:sz w:val="21"/>
          <w:szCs w:val="21"/>
          <w:b w:val="1"/>
          <w:bCs w:val="1"/>
          <w:i w:val="1"/>
          <w:iCs w:val="1"/>
          <w:color w:val="auto"/>
        </w:rPr>
        <w:t>Proprietary Information Agreement</w:t>
      </w:r>
      <w:r>
        <w:rPr>
          <w:rFonts w:ascii="Times New Roman" w:cs="Times New Roman" w:eastAsia="Times New Roman" w:hAnsi="Times New Roman"/>
          <w:sz w:val="21"/>
          <w:szCs w:val="21"/>
          <w:color w:val="auto"/>
        </w:rPr>
        <w:t xml:space="preserve">”), a copy of which is attached to the Transition Agreement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incorporated herein by reference, and his obligations under Sections 5, 6 and 7 of the Transition Agreement, and agrees that such obligations shall survive the Last Day of Service. Section 5(f) of the Transition Agreement is hereby incorporated herein by reference and the provisions of this Release shall be subject thereto.</w:t>
      </w:r>
    </w:p>
    <w:p>
      <w:pPr>
        <w:spacing w:after="0" w:line="168"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the Executive confirms that he has delivered to the Company any and all drawings, notes, memoranda, specifications, devices, formulas, and documents, together with all copies thereof, and any other material containing or disclosing any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6" w:name="page157"/>
    <w:bookmarkEnd w:id="156"/>
    <w:p>
      <w:pPr>
        <w:spacing w:after="0" w:line="258" w:lineRule="auto"/>
        <w:rPr>
          <w:sz w:val="20"/>
          <w:szCs w:val="20"/>
          <w:color w:val="auto"/>
        </w:rPr>
      </w:pPr>
      <w:r>
        <w:rPr>
          <w:rFonts w:ascii="Times New Roman" w:cs="Times New Roman" w:eastAsia="Times New Roman" w:hAnsi="Times New Roman"/>
          <w:sz w:val="22"/>
          <w:szCs w:val="22"/>
          <w:color w:val="auto"/>
        </w:rPr>
        <w:t>Company Inventions, Third Party Information or Proprietary Information (each as defined in the Proprietary Information Agreement) of the Company.</w:t>
      </w:r>
    </w:p>
    <w:p>
      <w:pPr>
        <w:spacing w:after="0" w:line="158" w:lineRule="exact"/>
        <w:rPr>
          <w:sz w:val="20"/>
          <w:szCs w:val="20"/>
          <w:color w:val="auto"/>
        </w:rPr>
      </w:pPr>
    </w:p>
    <w:p>
      <w:pPr>
        <w:jc w:val="both"/>
        <w:ind w:firstLine="1505"/>
        <w:spacing w:after="0" w:line="233"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Executive covenants that, prior to the date of the Executive signing this Release, the Executive has not (i) discussed or disclosed, orally or in writing, the negotiations leading to this Agreement or any of the terms or conditions of the Agreement other than with the Executive’s legal counsel, or (ii) aided, assisted, or encouraged any person(s) in asserting claims against Company. Subject to Section 5(f) of the Transition Agreement,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the Transition Agreement or this Release. The Executive is permitted to make such disclosure, under express covenant of confidentiality, only to the Executive’s immediate family members, legal counsel and professional tax advisors as is required to calculate the amount of, or receive advice on, income tax issues or as otherwise required by law; however, any disclosure to a third party by such tax advisor or legal counsel shall be deemed a disclosure by the Executive. The Executive further agrees not to aid, assist, or encourage any person(s) asserting claims against Company, other than by providing truthful testimony as a result of a lawfully issued subpoena.</w:t>
      </w:r>
    </w:p>
    <w:p>
      <w:pPr>
        <w:spacing w:after="0" w:line="184"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 The Company may assign this Release to any successor to all or substantially all of its business and/or assets or any affiliate.</w:t>
      </w:r>
    </w:p>
    <w:p>
      <w:pPr>
        <w:spacing w:after="0" w:line="176"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6"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in all parts of this Release shall in all cases be construed simply, according to its fair meaning, and not strictly for or against any of the Parties hereto. Without limitation, there shall be no presumption against any party on the ground that such party was responsible for drafting this Release or any part thereof.</w:t>
      </w:r>
    </w:p>
    <w:p>
      <w:pPr>
        <w:spacing w:after="0" w:line="173" w:lineRule="exact"/>
        <w:rPr>
          <w:rFonts w:ascii="Times New Roman" w:cs="Times New Roman" w:eastAsia="Times New Roman" w:hAnsi="Times New Roman"/>
          <w:sz w:val="20"/>
          <w:szCs w:val="20"/>
          <w:color w:val="auto"/>
        </w:rPr>
      </w:pPr>
    </w:p>
    <w:p>
      <w:pPr>
        <w:ind w:right="20" w:firstLine="757"/>
        <w:spacing w:after="0" w:line="258"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several sections in this Release are inserted solely for the convenience of the Parties and are not a part of and are not intended to govern, limit or aid in the construction of any term or provision hereof.</w:t>
      </w:r>
    </w:p>
    <w:p>
      <w:pPr>
        <w:spacing w:after="0" w:line="15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Release and the terms of it, the Executive and the Company agree that any and all disputes, claims, or demands in any way arising out of or relating to the terms of this Release,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both"/>
        <w:spacing w:after="0" w:line="244" w:lineRule="auto"/>
        <w:rPr>
          <w:sz w:val="20"/>
          <w:szCs w:val="20"/>
          <w:color w:val="auto"/>
        </w:rPr>
      </w:pPr>
      <w:r>
        <w:rPr>
          <w:rFonts w:ascii="Times New Roman" w:cs="Times New Roman" w:eastAsia="Times New Roman" w:hAnsi="Times New Roman"/>
          <w:sz w:val="22"/>
          <w:szCs w:val="22"/>
          <w:color w:val="auto"/>
        </w:rPr>
        <w:t>Company equity held by the Executive, the Executive’s further employment relationship with the Company, or the termination of Executive’s employment or service relationship with the Company, shall be resolved in accordance with Section 13 of the Transition Agreement.</w:t>
      </w:r>
    </w:p>
    <w:p>
      <w:pPr>
        <w:spacing w:after="0" w:line="173" w:lineRule="exact"/>
        <w:rPr>
          <w:sz w:val="20"/>
          <w:szCs w:val="20"/>
          <w:color w:val="auto"/>
        </w:rPr>
      </w:pPr>
    </w:p>
    <w:p>
      <w:pPr>
        <w:jc w:val="both"/>
        <w:ind w:firstLine="757"/>
        <w:spacing w:after="0" w:line="236"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rFonts w:ascii="Times New Roman" w:cs="Times New Roman" w:eastAsia="Times New Roman" w:hAnsi="Times New Roman"/>
          <w:sz w:val="20"/>
          <w:szCs w:val="20"/>
          <w:color w:val="auto"/>
        </w:rPr>
      </w:pPr>
    </w:p>
    <w:p>
      <w:pPr>
        <w:jc w:val="both"/>
        <w:ind w:firstLine="757"/>
        <w:spacing w:after="0" w:line="236"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Release, together with the Transition Agreement, Proprietary Information Agreement, the Indemnification Agreement, and the other agreements referenced herein and therein, constitutes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the Executive and an authorized representative of the Company. No oral waiver, amendment or modification will be effective under any circumstances whatsoever.</w:t>
      </w:r>
    </w:p>
    <w:p>
      <w:pPr>
        <w:spacing w:after="0" w:line="181" w:lineRule="exact"/>
        <w:rPr>
          <w:rFonts w:ascii="Times New Roman" w:cs="Times New Roman" w:eastAsia="Times New Roman" w:hAnsi="Times New Roman"/>
          <w:sz w:val="20"/>
          <w:szCs w:val="20"/>
          <w:color w:val="auto"/>
        </w:rPr>
      </w:pPr>
    </w:p>
    <w:p>
      <w:pPr>
        <w:jc w:val="both"/>
        <w:ind w:firstLine="757"/>
        <w:spacing w:after="0" w:line="239" w:lineRule="auto"/>
        <w:tabs>
          <w:tab w:leader="none" w:pos="101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 Facsimile or .pdf Signatures</w:t>
      </w:r>
      <w:r>
        <w:rPr>
          <w:rFonts w:ascii="Times New Roman" w:cs="Times New Roman" w:eastAsia="Times New Roman" w:hAnsi="Times New Roman"/>
          <w:sz w:val="22"/>
          <w:szCs w:val="22"/>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8" w:name="page159"/>
    <w:bookmarkEnd w:id="158"/>
    <w:p>
      <w:pPr>
        <w:ind w:right="20"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RELEASE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 TO THE TERMS OF THIS RELEASE AND VOLUNTARILY ENTERS INTO IT WITH THE INTENT TO BE BOUND THEREBY.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May 1, 2025</w:t>
            </w: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22"/>
                <w:szCs w:val="22"/>
                <w:color w:val="auto"/>
              </w:rPr>
              <w:t>/s/ Kumara Guru Gowrappan</w:t>
            </w:r>
          </w:p>
        </w:tc>
      </w:tr>
      <w:tr>
        <w:trPr>
          <w:trHeight w:val="20"/>
        </w:trPr>
        <w:tc>
          <w:tcPr>
            <w:tcW w:w="6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r>
      <w:tr>
        <w:trPr>
          <w:trHeight w:val="491"/>
        </w:trPr>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80" w:type="dxa"/>
            <w:vAlign w:val="bottom"/>
            <w:gridSpan w:val="3"/>
          </w:tcPr>
          <w:p>
            <w:pPr>
              <w:ind w:left="320"/>
              <w:spacing w:after="0"/>
              <w:rPr>
                <w:sz w:val="20"/>
                <w:szCs w:val="20"/>
                <w:color w:val="auto"/>
              </w:rPr>
            </w:pPr>
            <w:r>
              <w:rPr>
                <w:rFonts w:ascii="Times New Roman" w:cs="Times New Roman" w:eastAsia="Times New Roman" w:hAnsi="Times New Roman"/>
                <w:sz w:val="22"/>
                <w:szCs w:val="22"/>
                <w:color w:val="auto"/>
              </w:rPr>
              <w:t>Kumara Guru Gowrappan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May 6, 2025</w:t>
      </w:r>
      <w:r>
        <w:rPr>
          <w:sz w:val="20"/>
          <w:szCs w:val="20"/>
          <w:color w:val="auto"/>
        </w:rPr>
        <w:tab/>
      </w:r>
      <w:r>
        <w:rPr>
          <w:rFonts w:ascii="Times New Roman" w:cs="Times New Roman" w:eastAsia="Times New Roman" w:hAnsi="Times New Roman"/>
          <w:sz w:val="21"/>
          <w:szCs w:val="2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5201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05">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Robert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92024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0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Robert Blair</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ASSIGNMENT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469900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220" w:top="1404" w:right="121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469900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61" w:name="page162"/>
    <w:bookmarkEnd w:id="161"/>
    <w:p>
      <w:pPr>
        <w:ind w:left="10100"/>
        <w:spacing w:after="0"/>
        <w:rPr>
          <w:sz w:val="20"/>
          <w:szCs w:val="20"/>
          <w:color w:val="auto"/>
        </w:rPr>
      </w:pPr>
      <w:r>
        <w:rPr>
          <w:rFonts w:ascii="Arial" w:cs="Arial" w:eastAsia="Arial" w:hAnsi="Arial"/>
          <w:sz w:val="18"/>
          <w:szCs w:val="18"/>
          <w:b w:val="1"/>
          <w:bCs w:val="1"/>
          <w:color w:val="auto"/>
        </w:rPr>
        <w:t>Exhibit 10.28</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EMPLOYMENT TRANSITION AGREEMENT AND GENERAL RELEASE OF ALL CLAIMS</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Employment Transition Agreement and General Release of All Claims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July 2,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Evan Dixon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Executive is employed by the Company as President, Global Fixed Broadband;</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WHEREAS, the Company and Executive are parties to that certain Change in Control Severance Agreement dated July 30, 2010, attached to this Agreement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amended by that certain First Amendment to Change in Control Severance Agreement May 27, 2022, attached to this Agreement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(together, the “</w:t>
      </w:r>
      <w:r>
        <w:rPr>
          <w:rFonts w:ascii="Times New Roman" w:cs="Times New Roman" w:eastAsia="Times New Roman" w:hAnsi="Times New Roman"/>
          <w:sz w:val="22"/>
          <w:szCs w:val="22"/>
          <w:b w:val="1"/>
          <w:bCs w:val="1"/>
          <w:i w:val="1"/>
          <w:iCs w:val="1"/>
          <w:color w:val="auto"/>
        </w:rPr>
        <w:t>Change in Control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as set forth in this Agreement upon his termination of employment, subject to the effectiveness of this Agreement and the terms and conditions herein and the other related agreements referenced herein; and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together desire to provide for the Executive’s continued employment through a Transition Period (as defined below), on the terms and conditions set forth in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Company’s agreements set forth herein, including without limitation, the payments and benefits set forth in Sections 1(b) and 2 below, the adequacy of which is hereby acknowledged by Executive, and which Executive acknowledges that he would not otherwise be entitled to receive,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6" w:lineRule="auto"/>
        <w:tabs>
          <w:tab w:leader="none" w:pos="101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The Executive and the Company agree that Executive will continue as an employee in his current role and that Executive’s employment with the Company shall cease and terminate effective as of July 31, 2024, or such earlier date on which the Executive’s employment relationship terminates for any reason (such date of termination, the “</w:t>
      </w:r>
      <w:r>
        <w:rPr>
          <w:rFonts w:ascii="Times New Roman" w:cs="Times New Roman" w:eastAsia="Times New Roman" w:hAnsi="Times New Roman"/>
          <w:sz w:val="22"/>
          <w:szCs w:val="22"/>
          <w:b w:val="1"/>
          <w:bCs w:val="1"/>
          <w:i w:val="1"/>
          <w:iCs w:val="1"/>
          <w:color w:val="auto"/>
        </w:rPr>
        <w:t>Last Day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The period from the Effective Date of this Agreement through the Last Day of Service is referred to herein as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During the Transition Period, Executive will continue in his current role as President, Global Fixed Broadband reporting to the Company President and shall be employed on a full-time basis.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2" w:name="page163"/>
    <w:bookmarkEnd w:id="162"/>
    <w:p>
      <w:pPr>
        <w:ind w:right="20" w:firstLine="757"/>
        <w:spacing w:after="0" w:line="241"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During Transition Period</w:t>
      </w:r>
      <w:r>
        <w:rPr>
          <w:rFonts w:ascii="Times New Roman" w:cs="Times New Roman" w:eastAsia="Times New Roman" w:hAnsi="Times New Roman"/>
          <w:sz w:val="22"/>
          <w:szCs w:val="22"/>
          <w:color w:val="auto"/>
        </w:rPr>
        <w:t>. As compensation for the services to be rendered by the Executive to the Company during the Transition Period, the Executive shall be paid the following compensation and benefits:</w:t>
      </w:r>
    </w:p>
    <w:p>
      <w:pPr>
        <w:spacing w:after="0" w:line="1"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the Effective Date of this Agreement and ending on the Last Day of Service, the Company shall continue to pay to Executive his base salary at the rate of $650,000 USD per year, payable in accordance with the Company’s usual pay practices (and in any event no less frequently than monthly).</w:t>
      </w:r>
    </w:p>
    <w:p>
      <w:pPr>
        <w:spacing w:after="0" w:line="177"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remain eligible to receive his fiscal year 2024 annual bonus. The Executive shall not be eligible to receive an annual bonus for any portion fiscal year 2025.</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continue to participate in benefits under the Company’s benefit plans and arrangements, subject to and on a basis consistent with the terms, conditions and overall administration of such plans and arrangements.</w:t>
      </w:r>
    </w:p>
    <w:p>
      <w:pPr>
        <w:spacing w:after="0" w:line="167" w:lineRule="exact"/>
        <w:rPr>
          <w:rFonts w:ascii="Times New Roman" w:cs="Times New Roman" w:eastAsia="Times New Roman" w:hAnsi="Times New Roman"/>
          <w:sz w:val="22"/>
          <w:szCs w:val="22"/>
          <w:color w:val="auto"/>
        </w:rPr>
      </w:pPr>
    </w:p>
    <w:p>
      <w:pPr>
        <w:ind w:left="760" w:firstLine="745"/>
        <w:spacing w:after="0" w:line="264" w:lineRule="auto"/>
        <w:tabs>
          <w:tab w:leader="none" w:pos="20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Executive will continue to accrue vacation or paid time off (“</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Company policy.</w:t>
      </w:r>
    </w:p>
    <w:p>
      <w:pPr>
        <w:spacing w:after="0" w:line="15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the Executive’s RSUs and PSOs (each as defined below) granted by the Company shall continue to vest in accordance with the terms of the award agreements and the equity plan pursuant to which such equity awards were issued. Upon the Last Day of Service, the Executive’s outstanding equity awards will cease vesting and any unvested equity awards shall terminate, unless otherwise provided in Section 2(b) below.</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 Termination</w:t>
      </w:r>
      <w:r>
        <w:rPr>
          <w:rFonts w:ascii="Times New Roman" w:cs="Times New Roman" w:eastAsia="Times New Roman" w:hAnsi="Times New Roman"/>
          <w:sz w:val="22"/>
          <w:szCs w:val="22"/>
          <w:color w:val="auto"/>
        </w:rPr>
        <w:t>. The Company and the Executive acknowledge that the Executive’s employment is and shall continue to be at-will, as defined under applicable law, and that the Executive’s employment with the Company may be terminated by either party at any time for any or no reason, with or without notice. If the Executive’s employment terminates for any reason, the Executive shall not be entitled to any payments, benefits, damages, awards, or compensation other than as provided in this Agreement. The Executive’s employment under this Agreement shall be terminated immediately on the death of the Executive.</w:t>
      </w:r>
    </w:p>
    <w:p>
      <w:pPr>
        <w:spacing w:after="0" w:line="181"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Last Day of Service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jc w:val="both"/>
        <w:ind w:firstLine="757"/>
        <w:spacing w:after="0" w:line="235" w:lineRule="auto"/>
        <w:tabs>
          <w:tab w:leader="none" w:pos="10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Pay</w:t>
      </w:r>
      <w:r>
        <w:rPr>
          <w:rFonts w:ascii="Times New Roman" w:cs="Times New Roman" w:eastAsia="Times New Roman" w:hAnsi="Times New Roman"/>
          <w:sz w:val="22"/>
          <w:szCs w:val="22"/>
          <w:color w:val="auto"/>
        </w:rPr>
        <w:t>. The Company will pay the Executive’s final pay on the Last Day of Service, including payment of any accrued, but unused vacation/PTO. In addition, the Company will reimburse the Executive for any employee expenses incurred and submitted on or prior to the Last Day of Service fourteen (14) days of the Last Day of Service.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himself and any covered dependents. Executive’s entitlement to other benefits from the Company, and eligibility to participate in the Company’s other benefit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2"/>
          <w:szCs w:val="22"/>
          <w:color w:val="auto"/>
        </w:rPr>
        <w:t>plans and programs, shall cease on the Last Day of Service.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757"/>
        <w:spacing w:after="0" w:line="235" w:lineRule="auto"/>
        <w:tabs>
          <w:tab w:leader="none" w:pos="101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In the event of the termination of the Transition Period and the occurrence of the Last Day of Service (i) as a result of the expiration of the Transition Period on July 31, 2024, or (ii) as a result of any earlier termination of the Transition Period for any reason other than Executive’s voluntary resignation, subject to, and in consideration for, the Executive signing the General Release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without revocation, on or within three (3) days after the Last Day of Service (the “</w:t>
      </w:r>
      <w:r>
        <w:rPr>
          <w:rFonts w:ascii="Times New Roman" w:cs="Times New Roman" w:eastAsia="Times New Roman" w:hAnsi="Times New Roman"/>
          <w:sz w:val="22"/>
          <w:szCs w:val="22"/>
          <w:b w:val="1"/>
          <w:bCs w:val="1"/>
          <w:i w:val="1"/>
          <w:iCs w:val="1"/>
          <w:color w:val="auto"/>
        </w:rPr>
        <w:t>Second Release Deadline</w:t>
      </w:r>
      <w:r>
        <w:rPr>
          <w:rFonts w:ascii="Times New Roman" w:cs="Times New Roman" w:eastAsia="Times New Roman" w:hAnsi="Times New Roman"/>
          <w:sz w:val="22"/>
          <w:szCs w:val="22"/>
          <w:color w:val="auto"/>
        </w:rPr>
        <w:t>”), and the Executive’s continued compliance with the terms of this Agreement, the Company agrees to provide Executive with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The date on which the Second Release becomes effective and irrevocable in accordance with its terms is referred to as the “</w:t>
      </w:r>
      <w:r>
        <w:rPr>
          <w:rFonts w:ascii="Times New Roman" w:cs="Times New Roman" w:eastAsia="Times New Roman" w:hAnsi="Times New Roman"/>
          <w:sz w:val="22"/>
          <w:szCs w:val="22"/>
          <w:b w:val="1"/>
          <w:bCs w:val="1"/>
          <w:i w:val="1"/>
          <w:iCs w:val="1"/>
          <w:color w:val="auto"/>
        </w:rPr>
        <w:t>Second Release Effective Date</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$2,340,000 USD,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net-of-tax sum of $44,963 USD, representing an amount equal to eighteen (18) multiplied by the monthly premium that Executive would be required to pay for COBRA continuation coverage for Executive and his eligible dependents who were covered under the Company’s health insurance plans as of the Last Day of Service (based on the premiums in effect as of the Last Day of Service), which amount shall be payable within ten (10) days following the Second Release Effective Date;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760" w:firstLine="745"/>
        <w:spacing w:after="0" w:line="237"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previously granted Executive restricted stock unit (“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under the Company’s 1996 Equity Participation Plan, as amended and restated from time to time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pursuant to the terms of those certain Restricted Stock Unit Agreements (each, an “</w:t>
      </w:r>
      <w:r>
        <w:rPr>
          <w:rFonts w:ascii="Times New Roman" w:cs="Times New Roman" w:eastAsia="Times New Roman" w:hAnsi="Times New Roman"/>
          <w:sz w:val="22"/>
          <w:szCs w:val="22"/>
          <w:b w:val="1"/>
          <w:bCs w:val="1"/>
          <w:i w:val="1"/>
          <w:iCs w:val="1"/>
          <w:color w:val="auto"/>
        </w:rPr>
        <w:t>RSU Agreement</w:t>
      </w:r>
      <w:r>
        <w:rPr>
          <w:rFonts w:ascii="Times New Roman" w:cs="Times New Roman" w:eastAsia="Times New Roman" w:hAnsi="Times New Roman"/>
          <w:sz w:val="22"/>
          <w:szCs w:val="22"/>
          <w:color w:val="auto"/>
        </w:rPr>
        <w:t>”). On the Second Release Effective Date, the vesting of all of Executive’s outstanding, unvested RSUs shall be accelerated, and such RSUs shall be settled in accordance with the terms of the RSU Agreements and the Equity Plan;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0"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continue to keep Executive on the corporate membership for Omni La Costa thru December 31, 2025; and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ind w:left="760" w:firstLine="745"/>
        <w:spacing w:after="0" w:line="247" w:lineRule="auto"/>
        <w:tabs>
          <w:tab w:leader="none" w:pos="19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option (“</w:t>
      </w:r>
      <w:r>
        <w:rPr>
          <w:rFonts w:ascii="Times New Roman" w:cs="Times New Roman" w:eastAsia="Times New Roman" w:hAnsi="Times New Roman"/>
          <w:sz w:val="22"/>
          <w:szCs w:val="22"/>
          <w:b w:val="1"/>
          <w:bCs w:val="1"/>
          <w:i w:val="1"/>
          <w:iCs w:val="1"/>
          <w:color w:val="auto"/>
        </w:rPr>
        <w:t>PSO</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PSOs</w:t>
      </w:r>
      <w:r>
        <w:rPr>
          <w:rFonts w:ascii="Times New Roman" w:cs="Times New Roman" w:eastAsia="Times New Roman" w:hAnsi="Times New Roman"/>
          <w:sz w:val="22"/>
          <w:szCs w:val="22"/>
          <w:color w:val="auto"/>
        </w:rPr>
        <w:t>”) under the Company’s Equity Plan and pursuant to the terms of those certain Performance Stock Option Agreements (each, a “</w:t>
      </w:r>
      <w:r>
        <w:rPr>
          <w:rFonts w:ascii="Times New Roman" w:cs="Times New Roman" w:eastAsia="Times New Roman" w:hAnsi="Times New Roman"/>
          <w:sz w:val="22"/>
          <w:szCs w:val="22"/>
          <w:b w:val="1"/>
          <w:bCs w:val="1"/>
          <w:i w:val="1"/>
          <w:iCs w:val="1"/>
          <w:color w:val="auto"/>
        </w:rPr>
        <w:t>PSO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557"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all of Executive’s PSOs shall be considered “Time-Vested Options” for purposes of the PSO Agreements.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PSOs granted to the Executive prior to October 2023, Executive shall remain eligible to vest in such number of the PSOs that also become “Performance-Vested Options” in accordance with the terms of the PSO Agreements on the applicable Certification Date (as defined in the PSO Agreements).</w:t>
      </w:r>
    </w:p>
    <w:p>
      <w:pPr>
        <w:spacing w:after="0" w:line="200"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Last Day of Service, all of Executive’s PSOs granted on October 6, 2023, shall be forfeited to the extent such PSOs have not become “Performance-Vested Options” in accordance with the terms of the PSO Agreement as of such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557" w:val="left"/>
        </w:tabs>
        <w:numPr>
          <w:ilvl w:val="2"/>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specified above with respect to the acceleration of the time-based vesting of the PSOs, Executive’s PSOs shall continue to be governed by the Equity Plan and the PSO Agreements.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firstLine="757"/>
        <w:spacing w:after="0" w:line="247" w:lineRule="auto"/>
        <w:tabs>
          <w:tab w:leader="none" w:pos="101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(i) the Severance Benefits will be in lieu of any severance benefits to which Executive may be otherwise entitled to under the Company’s standard severance program for U.S. employees or any other plan, program or agreement currently maintained by the Company or any of its subsidiaries, and (ii) the Severance Benefits constitute adequate consideration for the promises and representations made by Executive in this Agreement and the Second Release. Executive understands and agrees that his entitlement to the Severance Benefits set forth in this Section 2 are subject to the occurrence of the Second Release Effective Date within the time period provided above and is further conditioned on Executive’s compliance with the terms and conditions of this Agreement (including, without limitation, Section 5 below (including Section 5(b) regarding the return of Company property), and the terms of the Proprietary Information Agreement (as defined below).</w:t>
      </w:r>
    </w:p>
    <w:p>
      <w:pPr>
        <w:spacing w:after="0" w:line="200" w:lineRule="exact"/>
        <w:rPr>
          <w:sz w:val="20"/>
          <w:szCs w:val="20"/>
          <w:color w:val="auto"/>
        </w:rPr>
      </w:pPr>
    </w:p>
    <w:p>
      <w:pPr>
        <w:spacing w:after="0" w:line="215" w:lineRule="exact"/>
        <w:rPr>
          <w:sz w:val="20"/>
          <w:szCs w:val="20"/>
          <w:color w:val="auto"/>
        </w:rPr>
      </w:pPr>
    </w:p>
    <w:p>
      <w:pPr>
        <w:jc w:val="both"/>
        <w:ind w:firstLine="757"/>
        <w:spacing w:after="0" w:line="239"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Compensation</w:t>
      </w:r>
      <w:r>
        <w:rPr>
          <w:rFonts w:ascii="Times New Roman" w:cs="Times New Roman" w:eastAsia="Times New Roman" w:hAnsi="Times New Roman"/>
          <w:sz w:val="22"/>
          <w:szCs w:val="22"/>
          <w:color w:val="auto"/>
        </w:rPr>
        <w:t>. Other than the payments described in this Agreement, the Executive acknowledges that the Company will have timely paid all wages and employee benefits owed to the Executive through the Last Day of Service, including but not limited to, all salary, bonuses, commissions, business expenses, allowances, vacation pay, leave pay, and other employee benefits as a result of the Executive’s employment with the Company and/or conclusion of that employment.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5" w:name="page166"/>
    <w:bookmarkEnd w:id="165"/>
    <w:p>
      <w:pPr>
        <w:ind w:left="1180" w:hanging="423"/>
        <w:spacing w:after="0"/>
        <w:tabs>
          <w:tab w:leader="none" w:pos="11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1" w:lineRule="auto"/>
        <w:tabs>
          <w:tab w:leader="none" w:pos="101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agreements and promises set forth herein, including the Company’s agreement to continue to employ the Executive during the Transition Period and the payments and benefits which the Executive is eligible to receive under Section 1(b) of this Agreement,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his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claims, debts, demands, accounts, judgments, rights, causes of action, equitable relief, damages,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costs, charges, complaints, obligations, promises, agreements, controversies, suits, expenses, any and all compensation of any type whatsoever,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the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the Executive’s employment by or service to the Company or any affiliate,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200" w:lineRule="exact"/>
        <w:rPr>
          <w:sz w:val="20"/>
          <w:szCs w:val="20"/>
          <w:color w:val="auto"/>
        </w:rPr>
      </w:pPr>
    </w:p>
    <w:p>
      <w:pPr>
        <w:spacing w:after="0" w:line="24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(b)Notwithstanding the generality of the foregoing, Executive does not release any claim which, by law, may not be released, including the following claims:</w:t>
      </w:r>
    </w:p>
    <w:p>
      <w:pPr>
        <w:spacing w:after="0" w:line="200" w:lineRule="exact"/>
        <w:rPr>
          <w:sz w:val="20"/>
          <w:szCs w:val="20"/>
          <w:color w:val="auto"/>
        </w:rPr>
      </w:pPr>
    </w:p>
    <w:p>
      <w:pPr>
        <w:spacing w:after="0" w:line="201" w:lineRule="exact"/>
        <w:rPr>
          <w:sz w:val="20"/>
          <w:szCs w:val="20"/>
          <w:color w:val="auto"/>
        </w:rPr>
      </w:pPr>
    </w:p>
    <w:p>
      <w:pPr>
        <w:ind w:left="760" w:firstLine="745"/>
        <w:spacing w:after="0" w:line="258" w:lineRule="auto"/>
        <w:tabs>
          <w:tab w:leader="none" w:pos="204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6" w:name="page167"/>
    <w:bookmarkEnd w:id="166"/>
    <w:p>
      <w:pPr>
        <w:ind w:left="760" w:right="20" w:firstLine="745"/>
        <w:spacing w:after="0" w:line="258" w:lineRule="auto"/>
        <w:tabs>
          <w:tab w:leader="none" w:pos="20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 (as defined below);</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Agreement; and</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directly with, cooperate with, or provide information to, any federal, state, or local government regulator.</w:t>
      </w:r>
    </w:p>
    <w:p>
      <w:pPr>
        <w:spacing w:after="0" w:line="200" w:lineRule="exact"/>
        <w:rPr>
          <w:sz w:val="20"/>
          <w:szCs w:val="20"/>
          <w:color w:val="auto"/>
        </w:rPr>
      </w:pPr>
    </w:p>
    <w:p>
      <w:pPr>
        <w:spacing w:after="0" w:line="201" w:lineRule="exact"/>
        <w:rPr>
          <w:sz w:val="20"/>
          <w:szCs w:val="20"/>
          <w:color w:val="auto"/>
        </w:rPr>
      </w:pPr>
    </w:p>
    <w:p>
      <w:pPr>
        <w:ind w:firstLine="757"/>
        <w:spacing w:after="0" w:line="258" w:lineRule="auto"/>
        <w:tabs>
          <w:tab w:leader="none" w:pos="10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200" w:lineRule="exact"/>
        <w:rPr>
          <w:sz w:val="20"/>
          <w:szCs w:val="20"/>
          <w:color w:val="auto"/>
        </w:rPr>
      </w:pPr>
    </w:p>
    <w:p>
      <w:pPr>
        <w:spacing w:after="0" w:line="201"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(d)THE EXECUTIVE ACKNOWLEDGES THAT HE HAS BEEN ADVISED OF AND IS FAMILIAR WITH THE PROVISIONS OF CALIFORNIA CIVIL CODE SECTION 1542, WHICH PROVIDES AS FOLLOWS:</w:t>
      </w:r>
    </w:p>
    <w:p>
      <w:pPr>
        <w:spacing w:after="0" w:line="2"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HE MAY HAVE THEREUNDER, AS WELL AS UNDER ANY OTHER STATUTES OR COMMON LAW PRINCIPLES OF SIMILAR EFFECT.</w:t>
      </w:r>
    </w:p>
    <w:p>
      <w:pPr>
        <w:spacing w:after="0" w:line="173" w:lineRule="exact"/>
        <w:rPr>
          <w:sz w:val="20"/>
          <w:szCs w:val="20"/>
          <w:color w:val="auto"/>
        </w:rPr>
      </w:pPr>
    </w:p>
    <w:p>
      <w:pPr>
        <w:jc w:val="both"/>
        <w:ind w:firstLine="757"/>
        <w:spacing w:after="0" w:line="239" w:lineRule="auto"/>
        <w:tabs>
          <w:tab w:leader="none" w:pos="10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or Transfer of Claims</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Confirmation of Continuing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expressly reaffirms his obligations under that certain Employee Proprietary Information and Inventions Agreement executed by the Executive in connection with his employment with the Company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 Agreement</w:t>
      </w:r>
      <w:r>
        <w:rPr>
          <w:rFonts w:ascii="Times New Roman" w:cs="Times New Roman" w:eastAsia="Times New Roman" w:hAnsi="Times New Roman"/>
          <w:sz w:val="22"/>
          <w:szCs w:val="22"/>
          <w:color w:val="auto"/>
        </w:rPr>
        <w:t>”), a copy of which is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incorporated herein by reference, and agrees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obligations shall survive the Last Day of Service.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(b)By signing below, the Executive agrees that, no later than the Last Day of Service, he will deliver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 The Executive further agrees that any property situated on the Company’s premises and owned by the Company, including computers, hard drives, and other storage media, filing cabinets or other work areas, is subject to inspection by Company personnel at any time with or without notice. The Executive’s compliance with this Section 5(b) shall be a condition to his receipt of the payments and benefits set forth in Sections 1(b) and 2. The Executive will deliver all applicable Company property back to the Company by using a prepaid box that will be shipped to the Executive’s address or by leaving any property that it wasn’t agreed that the Executive would retain in the Executive’s office on or prior to the Last Day of Service.</w:t>
      </w:r>
    </w:p>
    <w:p>
      <w:pPr>
        <w:spacing w:after="0" w:line="179" w:lineRule="exact"/>
        <w:rPr>
          <w:sz w:val="20"/>
          <w:szCs w:val="20"/>
          <w:color w:val="auto"/>
        </w:rPr>
      </w:pPr>
    </w:p>
    <w:p>
      <w:pPr>
        <w:jc w:val="both"/>
        <w:ind w:firstLine="757"/>
        <w:spacing w:after="0" w:line="235"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5(f), the Executive agrees that the Executive will not to issue, publish or cause to be made, issued or published any derogatory or disparaging comments about the Company or its subsidiaries or their employees, officers, directors, shareholders, vendors, products or services, business, technologies, market position or performance. Nothing in this Section 5(c) will prohibit the Executive or the Company from providing truthful information in response to a subpoena or other legal process or governmental inquiry, or from exercising any other protected right that cannot be waived by agreement. The Company will provide an irrevocable instruction to the following individuals not to issue, publish or cause to be made, issued or published any derogatory or disparaging comments about the Executive: Company Section 16 officers of the Company as of the date hereof.</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(d)The Executive covenants that, prior to the date of the Executive signing this Agreement, the Executive has not (i) discussed or disclosed, orally or in writing, the negotiations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34" w:lineRule="auto"/>
        <w:rPr>
          <w:sz w:val="20"/>
          <w:szCs w:val="20"/>
          <w:color w:val="auto"/>
        </w:rPr>
      </w:pPr>
      <w:r>
        <w:rPr>
          <w:rFonts w:ascii="Times New Roman" w:cs="Times New Roman" w:eastAsia="Times New Roman" w:hAnsi="Times New Roman"/>
          <w:sz w:val="22"/>
          <w:szCs w:val="22"/>
          <w:color w:val="auto"/>
        </w:rPr>
        <w:t>leading to this Agreement or any of the terms or conditions of the Agreement other than with the Executive’s legal counsel, or (ii) aided, assisted, or encouraged any person(s) in asserting claims against Company. Subject to Section 5(f),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this Agreement. The Executive is permitted to make such disclosure, under express covenant of confidentiality, only to the Executive’s family members, legal counsel and professional tax advisors as is required to calculate the amount of, or receive advice on, income tax issues or as otherwise required by law. The Executive further agrees not to aid, assist, or encourage any person(s) asserting claims against Company, other than by providing truthful testimony as a result of a lawfully issued subpoena. Information made publicly available by Viasat relating to the terms or existence of this Agreement shall not be applicable to Executive’s obligations under this paragraph.</w:t>
      </w:r>
    </w:p>
    <w:p>
      <w:pPr>
        <w:spacing w:after="0" w:line="179" w:lineRule="exact"/>
        <w:rPr>
          <w:sz w:val="20"/>
          <w:szCs w:val="20"/>
          <w:color w:val="auto"/>
        </w:rPr>
      </w:pPr>
    </w:p>
    <w:p>
      <w:pPr>
        <w:jc w:val="both"/>
        <w:ind w:firstLine="757"/>
        <w:spacing w:after="0" w:line="236" w:lineRule="auto"/>
        <w:tabs>
          <w:tab w:leader="none" w:pos="10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of the payments and benefits set forth in Sections 1(b) and 2 shall be subject to the Executive not violating the provisions of this Agreement or the Proprietary Information Agreement or any other similar restrictive covenant or proprietary information agreement to which the Executive is a party with the Company or any of its affiliates. In the event the Executive breaches the provisions of this Agreement or the Proprietary Information Agreement, in addition to all other rights and remedies available to the Company under law or in equity, all continuing payments and benefits to which the Executive may otherwise be entitled to pursuant to Section 2(b) shall be immediately suspended.</w:t>
      </w:r>
    </w:p>
    <w:p>
      <w:pPr>
        <w:spacing w:after="0" w:line="181"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Agreement prohibits or is intended to limit the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provided, however, that the Executive expressly waives and relinquishes any rights the Executive might have to recover damages or other relief, whether equitable or legal, in any Equal Employment Opportunity Commission proceeding (whether brought by the Executive or on the Executive’s behalf), (ii) exercising any rights the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the Executive has reason to believe is unlawful. In addition, the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jc w:val="both"/>
        <w:spacing w:after="0" w:line="248" w:lineRule="auto"/>
        <w:rPr>
          <w:sz w:val="20"/>
          <w:szCs w:val="20"/>
          <w:color w:val="auto"/>
        </w:rPr>
      </w:pPr>
      <w:r>
        <w:rPr>
          <w:rFonts w:ascii="Times New Roman" w:cs="Times New Roman" w:eastAsia="Times New Roman" w:hAnsi="Times New Roman"/>
          <w:sz w:val="21"/>
          <w:szCs w:val="21"/>
          <w:color w:val="auto"/>
        </w:rPr>
        <w:t>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Executive does not need the prior authorization of the Company to make any such reports or disclosures or to participate or cooperate in any governmental investigation, action or proceeding, and the Executive is not required to notify the Company that the Executive has made such reports and disclosures or has participated or cooperated in any governmental investigation, action or proceeding.</w:t>
      </w:r>
    </w:p>
    <w:p>
      <w:pPr>
        <w:spacing w:after="0" w:line="170" w:lineRule="exact"/>
        <w:rPr>
          <w:sz w:val="20"/>
          <w:szCs w:val="20"/>
          <w:color w:val="auto"/>
        </w:rPr>
      </w:pPr>
    </w:p>
    <w:p>
      <w:pPr>
        <w:jc w:val="both"/>
        <w:ind w:firstLine="757"/>
        <w:spacing w:after="0" w:line="233"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xml:space="preserve">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above,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Agreement.</w:t>
      </w:r>
    </w:p>
    <w:p>
      <w:pPr>
        <w:spacing w:after="0" w:line="187"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For up to two years following the Last Day of Service, the Executive will reasonably cooperate in connection with any litigation, arbitration, proceedings, government hearing or investigation involving the Company or any other matter that relates to the Executive’s employment period and about which the Executive has knowledge; provided, however, that such cooperation shall be provided at times that are mutually convenient to the Executive and the Company, and the Company shall make good faith efforts to arrange for such cooperation to be provided by the Executive telephonically. The Company will provide the Executive with reasonable advanced notice in the event Executive’s assistance is required. The Company recognizes that the Executive’s ability to cooperate will necessarily be impacted by other personal, professional, and work obligations. The Company will reimburse Executive for reasonable expenses incurred in providing such cooperation and will reasonably compensate Executive for his time based on Executive’s hourly rate with the Company as of the Last Day of Service.</w:t>
      </w:r>
    </w:p>
    <w:p>
      <w:pPr>
        <w:spacing w:after="0" w:line="175" w:lineRule="exact"/>
        <w:rPr>
          <w:rFonts w:ascii="Times New Roman" w:cs="Times New Roman" w:eastAsia="Times New Roman" w:hAnsi="Times New Roman"/>
          <w:sz w:val="21"/>
          <w:szCs w:val="21"/>
          <w:color w:val="auto"/>
        </w:rPr>
      </w:pPr>
    </w:p>
    <w:p>
      <w:pPr>
        <w:ind w:firstLine="757"/>
        <w:spacing w:after="0" w:line="258"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covenants, agreements, representations, and warranties contained in or made in this Agreement shall survive the Last Day of Service or any termination of this Agreement.</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as expressly set forth herein, this Agreement does not create, and shall not be construed as creating, any rights enforceable by any person not a party to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Executive at the address listed on the Company’s personnel records and to the Company at its principal place of business to the attention of the Company’s General Counsel, or such other address as either party may specify in writing.</w:t>
      </w:r>
    </w:p>
    <w:p>
      <w:pPr>
        <w:spacing w:after="0" w:line="181"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Agreement and the terms of it, the Executive and the Company agree that any and all disputes, claims, or demands in any way arising out of or relating to the terms of this Agreement, Company equity held by the Executive, the Executive’s further employment relationship with the Company, or the termination of the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Streamlined Rules</w:t>
      </w:r>
      <w:r>
        <w:rPr>
          <w:rFonts w:ascii="Times New Roman" w:cs="Times New Roman" w:eastAsia="Times New Roman" w:hAnsi="Times New Roman"/>
          <w:sz w:val="22"/>
          <w:szCs w:val="22"/>
          <w:color w:val="auto"/>
        </w:rPr>
        <w:t>”) and the Federal Arbitration Act, 9 U.S.C. Sec. 1, et seq. A copy of the JAMS Streamlined Rules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the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spacing w:after="0" w:line="18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 representing the Company, but the Executive has participated in the negotiation of its terms. Furthermore, the Executive acknowledges that the Executive has had an opportunity to review this Agreement and have it reviewed by legal counsel, if desired, and, therefore, the normal rule of construction to the effect that any ambiguities are to be resolved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1" w:name="page172"/>
    <w:bookmarkEnd w:id="171"/>
    <w:p>
      <w:pPr>
        <w:jc w:val="both"/>
        <w:spacing w:after="0" w:line="244" w:lineRule="auto"/>
        <w:rPr>
          <w:sz w:val="20"/>
          <w:szCs w:val="20"/>
          <w:color w:val="auto"/>
        </w:rPr>
      </w:pPr>
      <w:r>
        <w:rPr>
          <w:rFonts w:ascii="Times New Roman" w:cs="Times New Roman" w:eastAsia="Times New Roman" w:hAnsi="Times New Roman"/>
          <w:sz w:val="22"/>
          <w:szCs w:val="22"/>
          <w:color w:val="auto"/>
        </w:rPr>
        <w:t>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Withholding and Other Deductions; Right to Seek Independent Advice</w:t>
      </w:r>
      <w:r>
        <w:rPr>
          <w:rFonts w:ascii="Times New Roman" w:cs="Times New Roman" w:eastAsia="Times New Roman" w:hAnsi="Times New Roman"/>
          <w:sz w:val="22"/>
          <w:szCs w:val="22"/>
          <w:color w:val="auto"/>
        </w:rPr>
        <w:t>. All compensation payable to the Executive hereunder shall be subject to such deductions as the Company is from time to time required to make pursuant to law, governmental regulation, or order. The Executive acknowledges and agrees that neither the Company nor the Company’s counsel has provided any legal or tax advice to the Executive and that the Executive is free to, and is hereby advised to, consult with a legal or tax advisor of his choosing.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8" w:lineRule="auto"/>
        <w:tabs>
          <w:tab w:leader="none" w:pos="101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termination of employment on the Last Day of Service will constitute Executive’s “separation from service” within the meaning of Section 409A of the U.S.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final regulations and any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w:t>
      </w:r>
    </w:p>
    <w:p>
      <w:pPr>
        <w:jc w:val="both"/>
        <w:ind w:firstLine="749"/>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(b)This Agreement is not intended to provide for any deferral of compensation subject to Section 409A of the Code, and, accordingly, the severance payments payable under Section 2(b) shall be paid no later than the later of: (A)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the Executive’s first taxable year in which such severance benefit is no longer subject to a substantial risk of forfeiture, and (B)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 Any right to a series of installment payments pursuant to this Agreement is to be treated as a right to a series of separate payments.</w:t>
      </w:r>
    </w:p>
    <w:p>
      <w:pPr>
        <w:spacing w:after="0" w:line="212" w:lineRule="exact"/>
        <w:rPr>
          <w:sz w:val="20"/>
          <w:szCs w:val="20"/>
          <w:color w:val="auto"/>
        </w:rPr>
      </w:pPr>
    </w:p>
    <w:p>
      <w:pPr>
        <w:jc w:val="both"/>
        <w:ind w:firstLine="757"/>
        <w:spacing w:after="0" w:line="247" w:lineRule="auto"/>
        <w:tabs>
          <w:tab w:leader="none" w:pos="101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the Executive is entitled under this Agreement is required in order to avoid a prohibited distribution under Section 409A(a)(2)(B)(i) of the Code, then such portion deferred pursuant to this Section 15(c) shall be paid or distributed to the Executive in a lump sum on the earlier of (i) the date that is six (6)-months following the Executive’s Separation from Service, (ii) the date of the Executive’s death or (iii) the earliest date as is permitted under Section 409A of the Code. Any remaining payments due under the Agreement shall be paid as otherwise provided herein.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954405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spacing w:after="0" w:line="244" w:lineRule="auto"/>
        <w:rPr>
          <w:sz w:val="20"/>
          <w:szCs w:val="20"/>
          <w:color w:val="auto"/>
        </w:rPr>
      </w:pPr>
      <w:r>
        <w:rPr>
          <w:rFonts w:ascii="Times New Roman" w:cs="Times New Roman" w:eastAsia="Times New Roman" w:hAnsi="Times New Roman"/>
          <w:sz w:val="22"/>
          <w:szCs w:val="22"/>
          <w:color w:val="auto"/>
        </w:rPr>
        <w:t>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spacing w:after="0" w:line="173" w:lineRule="exact"/>
        <w:rPr>
          <w:sz w:val="20"/>
          <w:szCs w:val="20"/>
          <w:color w:val="auto"/>
        </w:rPr>
      </w:pPr>
    </w:p>
    <w:p>
      <w:pPr>
        <w:jc w:val="both"/>
        <w:ind w:firstLine="757"/>
        <w:spacing w:after="0" w:line="236" w:lineRule="auto"/>
        <w:tabs>
          <w:tab w:leader="none" w:pos="10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agrees and acknowledges that the Company makes no representations or warranties with respect to the application of Section 409A and other tax consequences to any payments hereunder and, by the acceptance of any such payments, the Executive agrees to accept the potential application of Section 409A and the other tax consequences of any payments made hereunder. In no event whatsoever shall the Company be liable for any taxes, penalties or interest that may be imposed on the Executive pursuant to Section 409A or under any other similar provision of state tax law, including but not limited to, damages for failing to comply with Section 409A and/or any other similar provision of state tax law.</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As used in this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as hereinbefore defined and any successor to its business and/or assets as aforesaid which assumes and agrees to perform this Agreement by operation of law or otherwise. The Executive shall not be entitled to assign any of the Executive’s rights or obligations under this Agreement, other than the laws of descent and distribution. This Agreement shall inure to the benefit of and be enforceable by the Executive’s personal or legal representatives, executors, administrators, successors, heirs, distributees, devisees, and legatees.</w:t>
      </w:r>
    </w:p>
    <w:p>
      <w:pPr>
        <w:spacing w:after="0" w:line="19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Agreement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This Agreement, together with the Proprietary Information Agreement, that certain Indemnification Agreement executed by Executive in connection with his employment with the Company and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Indemnification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 the other agreements referenced herein and therein, constitutes the entire agreement of the Parties in respect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subject matter contained herein and therein and supersedes all prior or simultaneous representations, discussions, negotiations and agreements, whether written or oral, including, without limitation, any offer letter with the Company, and the Change in Control Agreement. This Agreement may be amended or modified only with the written consent of Executive and an authorized representative of the Company. No oral waiver, amendment or modification will be effective under any circumstances whatsoever. In the event of any conflict between any of the terms in this Agreement and the terms of any other agreement between the Executive and the Company, the terms of this Agreement will control.</w:t>
      </w:r>
    </w:p>
    <w:p>
      <w:pPr>
        <w:spacing w:after="0" w:line="18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20.</w:t>
      </w:r>
      <w:r>
        <w:rPr>
          <w:rFonts w:ascii="Times New Roman" w:cs="Times New Roman" w:eastAsia="Times New Roman" w:hAnsi="Times New Roman"/>
          <w:sz w:val="21"/>
          <w:szCs w:val="21"/>
          <w:u w:val="single" w:color="auto"/>
          <w:color w:val="auto"/>
        </w:rPr>
        <w:t>Counterparts; Facsimile or .pdf Signatures</w:t>
      </w:r>
      <w:r>
        <w:rPr>
          <w:rFonts w:ascii="Times New Roman" w:cs="Times New Roman" w:eastAsia="Times New Roman" w:hAnsi="Times New Roman"/>
          <w:sz w:val="21"/>
          <w:szCs w:val="21"/>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21.</w:t>
      </w:r>
      <w:r>
        <w:rPr>
          <w:rFonts w:ascii="Times New Roman" w:cs="Times New Roman" w:eastAsia="Times New Roman" w:hAnsi="Times New Roman"/>
          <w:sz w:val="22"/>
          <w:szCs w:val="22"/>
          <w:b w:val="1"/>
          <w:bCs w:val="1"/>
          <w:u w:val="single" w:color="auto"/>
          <w:color w:val="auto"/>
        </w:rPr>
        <w:t>KNOWING AND VOLUNTARY RELEASE</w:t>
      </w:r>
      <w:r>
        <w:rPr>
          <w:rFonts w:ascii="Times New Roman" w:cs="Times New Roman" w:eastAsia="Times New Roman" w:hAnsi="Times New Roman"/>
          <w:sz w:val="22"/>
          <w:szCs w:val="22"/>
          <w:b w:val="1"/>
          <w:bCs w:val="1"/>
          <w:color w:val="auto"/>
        </w:rPr>
        <w:t>. The Executive agrees and acknowledges that Executive has the right and has had an opportunity to see and consult legal counsel in conjunction with the negotiation and execution of this Agreement. The Executive further agrees that the Executive has had adequate time to review, evaluate and negotiate this Agreement. The Executive intends and agrees that this Agreement is complete, binding, and not subject to any claim of mistake or incapacity.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4" w:name="page175"/>
    <w:bookmarkEnd w:id="174"/>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AGREES TO THE TERMS OF THIS AGREEMENT AND VOLUNTARILY ENTERS INTO IT WITH THE INTENT TO BE BOUND THEREBY.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July 5, 2024</w:t>
            </w:r>
          </w:p>
        </w:tc>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/s/ Evan Dixon</w:t>
            </w:r>
          </w:p>
        </w:tc>
      </w:tr>
      <w:tr>
        <w:trPr>
          <w:trHeight w:val="20"/>
        </w:trPr>
        <w:tc>
          <w:tcPr>
            <w:tcW w:w="6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492"/>
        </w:trPr>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4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EVAN DIXON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Dated: July 3, 2024</w:t>
      </w:r>
      <w:r>
        <w:rPr>
          <w:sz w:val="20"/>
          <w:szCs w:val="20"/>
          <w:color w:val="auto"/>
        </w:rPr>
        <w:tab/>
      </w:r>
      <w:r>
        <w:rPr>
          <w:rFonts w:ascii="Times New Roman" w:cs="Times New Roman" w:eastAsia="Times New Roman" w:hAnsi="Times New Roman"/>
          <w:sz w:val="21"/>
          <w:szCs w:val="2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5201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23">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Anders Strothman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92024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2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Anders Strothman</w:t>
      </w: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Vice President Global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CHANGE IN CONTROL AGREEMENT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812800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76" w:name="page177"/>
    <w:bookmarkEnd w:id="176"/>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TO CHANGE IN CONTROL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812800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7" w:name="page178"/>
    <w:bookmarkEnd w:id="177"/>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OF CLAIMS (SECOND RELEASE)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General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this _____ day of ____, 2024, between Evan Dixon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are parties to the Employment Transition Agreement and General Release of Claims dated as of July 2, 2024 (the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the Executive is entitled to certain payments benefits under Section 2(b) of the Transition Agreement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subject to the Executive’s execution of this Release;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the Executive now wish to fully and finally to resolve all matters between them; and</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defined terms used herein without definition shall have the meanings given to such terms in the Transition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the Executive pursuant to the Transition Agreement, the adequacy of which is hereby acknowledged by the Executive, and which the Executive acknowledges that he would not otherwise be entitled to receive, the Executive and the Company hereby agree as follows:</w:t>
      </w:r>
    </w:p>
    <w:p>
      <w:pPr>
        <w:spacing w:after="0" w:line="173" w:lineRule="exact"/>
        <w:rPr>
          <w:sz w:val="20"/>
          <w:szCs w:val="20"/>
          <w:color w:val="auto"/>
        </w:rPr>
      </w:pPr>
    </w:p>
    <w:p>
      <w:pPr>
        <w:ind w:left="1500" w:hanging="743"/>
        <w:spacing w:after="0"/>
        <w:tabs>
          <w:tab w:leader="none" w:pos="15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Release of Known and Unknown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33" w:lineRule="auto"/>
        <w:tabs>
          <w:tab w:leader="none" w:pos="1929"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Severance Benefits set forth in Section 2(b) of the Transition Agreement, and in consideration of the further agreements and promises set forth herein,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her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and further including but not limited to any claim for any bonus now or in the future including any bonus for any completed or in-process fiscal year of the Company),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Executive has or may have had against such entities based on any events or circumstances arising or occurring on or prior to the date hereof or on or prior to the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hereof, arising directly or indirectly out of, relating to, or in any other way involving in any manner whatsoever Executive’s employment by or service to the Company or any affiliate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Americans with Disabilities Act, as amended, 42 U.S.C. § 12101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Rehabilitation Act of 1973, as amended, 29 U.S.C. § 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Civil Rights Act of 1866, and the Civil Rights Act of 1991; 42 U.S.C. Section 1981,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Age Discrimination in Employment Act, as amended, 29 U.S.C. Section 621,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i w:val="1"/>
          <w:iCs w:val="1"/>
          <w:color w:val="auto"/>
        </w:rPr>
        <w:t>ADEA</w:t>
      </w:r>
      <w:r>
        <w:rPr>
          <w:rFonts w:ascii="Times New Roman" w:cs="Times New Roman" w:eastAsia="Times New Roman" w:hAnsi="Times New Roman"/>
          <w:sz w:val="21"/>
          <w:szCs w:val="21"/>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Family and Medical Leave Act, as amended, 29 U.S.C. § 2601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Fair Labor Standards Act of 1938, as amended, 29 U.S.C. § 201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Employee Retirement Income Security Act, as amended, 29 U.S.C. § 1001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181" w:lineRule="exact"/>
        <w:rPr>
          <w:sz w:val="20"/>
          <w:szCs w:val="20"/>
          <w:color w:val="auto"/>
        </w:rPr>
      </w:pPr>
    </w:p>
    <w:p>
      <w:pPr>
        <w:ind w:left="760" w:right="20" w:firstLine="432"/>
        <w:spacing w:after="0" w:line="258" w:lineRule="auto"/>
        <w:rPr>
          <w:sz w:val="20"/>
          <w:szCs w:val="20"/>
          <w:color w:val="auto"/>
        </w:rPr>
      </w:pPr>
      <w:r>
        <w:rPr>
          <w:rFonts w:ascii="Times New Roman" w:cs="Times New Roman" w:eastAsia="Times New Roman" w:hAnsi="Times New Roman"/>
          <w:sz w:val="22"/>
          <w:szCs w:val="22"/>
          <w:color w:val="auto"/>
        </w:rPr>
        <w:t>Notwithstanding the generality of the foregoing, the Executive does not release any claim which, by law, may not be released, including the following claims:</w:t>
      </w:r>
    </w:p>
    <w:p>
      <w:pPr>
        <w:spacing w:after="0" w:line="158" w:lineRule="exact"/>
        <w:rPr>
          <w:sz w:val="20"/>
          <w:szCs w:val="20"/>
          <w:color w:val="auto"/>
        </w:rPr>
      </w:pPr>
    </w:p>
    <w:p>
      <w:pPr>
        <w:ind w:left="760" w:right="20" w:firstLine="1494"/>
        <w:spacing w:after="0" w:line="258" w:lineRule="auto"/>
        <w:tabs>
          <w:tab w:leader="none" w:pos="26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158" w:lineRule="exact"/>
        <w:rPr>
          <w:rFonts w:ascii="Times New Roman" w:cs="Times New Roman" w:eastAsia="Times New Roman" w:hAnsi="Times New Roman"/>
          <w:sz w:val="22"/>
          <w:szCs w:val="22"/>
          <w:color w:val="auto"/>
        </w:rPr>
      </w:pPr>
    </w:p>
    <w:p>
      <w:pPr>
        <w:ind w:left="760" w:right="100" w:firstLine="1494"/>
        <w:spacing w:after="0" w:line="258" w:lineRule="auto"/>
        <w:tabs>
          <w:tab w:leader="none" w:pos="26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61" w:lineRule="auto"/>
        <w:tabs>
          <w:tab w:leader="none" w:pos="268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w:t>
      </w:r>
    </w:p>
    <w:p>
      <w:pPr>
        <w:spacing w:after="0" w:line="157"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6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176" w:lineRule="exact"/>
        <w:rPr>
          <w:rFonts w:ascii="Times New Roman" w:cs="Times New Roman" w:eastAsia="Times New Roman" w:hAnsi="Times New Roman"/>
          <w:sz w:val="22"/>
          <w:szCs w:val="22"/>
          <w:color w:val="auto"/>
        </w:rPr>
      </w:pPr>
    </w:p>
    <w:p>
      <w:pPr>
        <w:ind w:left="760" w:right="80" w:firstLine="1494"/>
        <w:spacing w:after="0" w:line="258" w:lineRule="auto"/>
        <w:tabs>
          <w:tab w:leader="none" w:pos="268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Release or the Transition Agreement;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ind w:left="3120" w:hanging="866"/>
        <w:spacing w:after="0"/>
        <w:tabs>
          <w:tab w:leader="none" w:pos="31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or cooperate with any government agency.</w:t>
      </w:r>
    </w:p>
    <w:p>
      <w:pPr>
        <w:spacing w:after="0" w:line="20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158" w:lineRule="exact"/>
        <w:rPr>
          <w:sz w:val="20"/>
          <w:szCs w:val="20"/>
          <w:color w:val="auto"/>
        </w:rPr>
      </w:pPr>
    </w:p>
    <w:p>
      <w:pPr>
        <w:ind w:right="20" w:firstLine="1189"/>
        <w:spacing w:after="0" w:line="258" w:lineRule="auto"/>
        <w:tabs>
          <w:tab w:leader="none" w:pos="161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SHE MAY HAVE THEREUNDER, AS WELL AS UNDER ANY OTHER STATUTES OR COMMON LAW PRINCIPLES OF SIMILAR EFFECT.</w:t>
      </w:r>
    </w:p>
    <w:p>
      <w:pPr>
        <w:spacing w:after="0" w:line="173" w:lineRule="exact"/>
        <w:rPr>
          <w:sz w:val="20"/>
          <w:szCs w:val="20"/>
          <w:color w:val="auto"/>
        </w:rPr>
      </w:pPr>
    </w:p>
    <w:p>
      <w:pPr>
        <w:ind w:firstLine="1189"/>
        <w:spacing w:after="0" w:line="246" w:lineRule="auto"/>
        <w:tabs>
          <w:tab w:leader="none" w:pos="1613"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acknowledges that the Executive is entitled to have twenty-one (21) days’ time in which to consider this Release after the delivery of such Release to him (which, for the avoidance of doubt, was provided to Executive on the Effective Date of the Transition Agreement, so such twenty-one (21) day period will begin to run from the Effective Date of the Transition Agreement with this Release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Executive further acknowledges that the Company has advised him that he is waiving his rights under the ADEA, and that Executive has the right to and should consult with an attorney of his choice before signing this Release, and the Executive has had sufficient time to consider the terms of this Release. The Executive represents and acknowledges that if the Executive executes this Release before twenty-one (21) days have elapsed, the Executive does so knowingly, voluntarily, and upon the advice and with the approval of the Executive’s legal counsel (if any), and that the Executive voluntarily waives any remaining consideration period. The Executive further acknowledges and agrees that the Executive must sign this Release by the Second Release Deadline but in no event earlier than the Last Day of Service.</w:t>
      </w:r>
    </w:p>
    <w:p>
      <w:pPr>
        <w:spacing w:after="0" w:line="170" w:lineRule="exact"/>
        <w:rPr>
          <w:rFonts w:ascii="Times New Roman" w:cs="Times New Roman" w:eastAsia="Times New Roman" w:hAnsi="Times New Roman"/>
          <w:sz w:val="21"/>
          <w:szCs w:val="21"/>
          <w:color w:val="auto"/>
        </w:rPr>
      </w:pPr>
    </w:p>
    <w:p>
      <w:pPr>
        <w:ind w:firstLine="1189"/>
        <w:spacing w:after="0" w:line="236" w:lineRule="auto"/>
        <w:tabs>
          <w:tab w:leader="none" w:pos="161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after executing this Release, the Executive has the right to revoke it within seven (7) days after his execution of it. The Executive understands that this Release will not become effective and enforceable unless the seven (7) day revocation period passes and the Executive does not revoke this Release in writing. The Executive understands that this Release may not be revoked after the seven (7) day revocation period has passed. The Executive also understands that any revocation of this Release Executive must email to Company a written notice of revocation to Robert J. Blair, the Company’s General Counsel, at robert.blair@viasat.com, prior to the end of the 7-day period.</w:t>
      </w:r>
    </w:p>
    <w:p>
      <w:pPr>
        <w:spacing w:after="0" w:line="181" w:lineRule="exact"/>
        <w:rPr>
          <w:rFonts w:ascii="Times New Roman" w:cs="Times New Roman" w:eastAsia="Times New Roman" w:hAnsi="Times New Roman"/>
          <w:sz w:val="22"/>
          <w:szCs w:val="22"/>
          <w:color w:val="auto"/>
        </w:rPr>
      </w:pPr>
    </w:p>
    <w:p>
      <w:pPr>
        <w:ind w:right="120" w:firstLine="1189"/>
        <w:spacing w:after="0" w:line="290" w:lineRule="auto"/>
        <w:tabs>
          <w:tab w:leader="none" w:pos="161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this Release shall become effective, irrevocable, and binding upon the Executive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his execution of it, so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22"/>
          <w:szCs w:val="22"/>
          <w:color w:val="auto"/>
        </w:rPr>
        <w:t>long as the Executive has not revoked it within the time period and in the manner specified in clause (d) above.</w:t>
      </w:r>
    </w:p>
    <w:p>
      <w:pPr>
        <w:spacing w:after="0" w:line="206" w:lineRule="exact"/>
        <w:rPr>
          <w:sz w:val="20"/>
          <w:szCs w:val="20"/>
          <w:color w:val="auto"/>
        </w:rPr>
      </w:pPr>
    </w:p>
    <w:p>
      <w:pPr>
        <w:jc w:val="both"/>
        <w:ind w:firstLine="1189"/>
        <w:spacing w:after="0" w:line="244" w:lineRule="auto"/>
        <w:tabs>
          <w:tab w:leader="none" w:pos="161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understands that the Executive will not be given any Severance Benefits in Section 2(b) of the Transition Agreement unless this Release is effective on or before the date that is eleven (11) days following the Last Day of Service.</w:t>
      </w:r>
    </w:p>
    <w:p>
      <w:pPr>
        <w:spacing w:after="0" w:line="173"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of the Transition Agreement,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color w:val="auto"/>
        </w:rPr>
      </w:pPr>
    </w:p>
    <w:p>
      <w:pPr>
        <w:jc w:val="both"/>
        <w:ind w:firstLine="1505"/>
        <w:spacing w:after="0" w:line="251" w:lineRule="auto"/>
        <w:tabs>
          <w:tab w:leader="none" w:pos="1929"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and Inventions</w:t>
      </w:r>
      <w:r>
        <w:rPr>
          <w:rFonts w:ascii="Times New Roman" w:cs="Times New Roman" w:eastAsia="Times New Roman" w:hAnsi="Times New Roman"/>
          <w:sz w:val="21"/>
          <w:szCs w:val="21"/>
          <w:color w:val="auto"/>
        </w:rPr>
        <w:t>. The Executive hereby expressly reaffirms his obligations under the Employee Proprietary Information and Inventions Agreement (the “</w:t>
      </w:r>
      <w:r>
        <w:rPr>
          <w:rFonts w:ascii="Times New Roman" w:cs="Times New Roman" w:eastAsia="Times New Roman" w:hAnsi="Times New Roman"/>
          <w:sz w:val="21"/>
          <w:szCs w:val="21"/>
          <w:b w:val="1"/>
          <w:bCs w:val="1"/>
          <w:i w:val="1"/>
          <w:iCs w:val="1"/>
          <w:color w:val="auto"/>
        </w:rPr>
        <w:t>Proprietary Information Agreement</w:t>
      </w:r>
      <w:r>
        <w:rPr>
          <w:rFonts w:ascii="Times New Roman" w:cs="Times New Roman" w:eastAsia="Times New Roman" w:hAnsi="Times New Roman"/>
          <w:sz w:val="21"/>
          <w:szCs w:val="21"/>
          <w:color w:val="auto"/>
        </w:rPr>
        <w:t xml:space="preserve">”), a copy of which is attached to the Transition Agreement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incorporated herein by reference, and his obligations under Sections 5 and 7 of the Transition Agreement, and agrees that such obligations shall survive the Last Day of Service. Section 5(f) of the Transition Agreement is hereby incorporated herein by reference and the provisions of this Release shall be subject thereto.</w:t>
      </w:r>
    </w:p>
    <w:p>
      <w:pPr>
        <w:spacing w:after="0" w:line="168" w:lineRule="exact"/>
        <w:rPr>
          <w:rFonts w:ascii="Times New Roman" w:cs="Times New Roman" w:eastAsia="Times New Roman" w:hAnsi="Times New Roman"/>
          <w:sz w:val="21"/>
          <w:szCs w:val="21"/>
          <w:color w:val="auto"/>
        </w:rPr>
      </w:pPr>
    </w:p>
    <w:p>
      <w:pPr>
        <w:jc w:val="both"/>
        <w:ind w:right="20" w:firstLine="1505"/>
        <w:spacing w:after="0" w:line="239" w:lineRule="auto"/>
        <w:tabs>
          <w:tab w:leader="none" w:pos="1929"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the Executive confirms that he has delivered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w:t>
      </w:r>
    </w:p>
    <w:p>
      <w:pPr>
        <w:spacing w:after="0" w:line="180" w:lineRule="exact"/>
        <w:rPr>
          <w:sz w:val="20"/>
          <w:szCs w:val="20"/>
          <w:color w:val="auto"/>
        </w:rPr>
      </w:pPr>
    </w:p>
    <w:p>
      <w:pPr>
        <w:jc w:val="both"/>
        <w:ind w:right="20" w:firstLine="757"/>
        <w:spacing w:after="0" w:line="244" w:lineRule="auto"/>
        <w:tabs>
          <w:tab w:leader="none" w:pos="1018"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Executive covenants that, prior to the date of the Executive signing this Release, the Executive has not (i) discussed or disclosed, orally or in writing, the negotiations leading to this Agreement or any of the terms or conditions of the Agreement other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spacing w:after="0" w:line="234" w:lineRule="auto"/>
        <w:rPr>
          <w:sz w:val="20"/>
          <w:szCs w:val="20"/>
          <w:color w:val="auto"/>
        </w:rPr>
      </w:pPr>
      <w:r>
        <w:rPr>
          <w:rFonts w:ascii="Times New Roman" w:cs="Times New Roman" w:eastAsia="Times New Roman" w:hAnsi="Times New Roman"/>
          <w:sz w:val="22"/>
          <w:szCs w:val="22"/>
          <w:color w:val="auto"/>
        </w:rPr>
        <w:t>than with the Executive’s legal counsel, or (ii) aided, assisted, or encouraged any person(s) in asserting claims against Company. Subject to Section 5(f) of the Transition Agreement,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the Transition Agreement or this Release. The Executive is permitted to make such disclosure, under express covenant of confidentiality, only to the Executive’s family members, legal counsel and professional tax advisors as is required to calculate the amount of, or receive advice on, income tax issues or as otherwise required by law. The Executive further agrees not to aid, assist, or encourage any person(s) asserting claims against Company, other than by providing truthful testimony as a result of a lawfully issued subpoena. Information made publicly available by Viasat relating to the terms or existence of this Agreement shall not be applicable to Executive’s obligations under this paragraph.</w:t>
      </w:r>
    </w:p>
    <w:p>
      <w:pPr>
        <w:spacing w:after="0" w:line="179" w:lineRule="exact"/>
        <w:rPr>
          <w:sz w:val="20"/>
          <w:szCs w:val="20"/>
          <w:color w:val="auto"/>
        </w:rPr>
      </w:pPr>
    </w:p>
    <w:p>
      <w:pPr>
        <w:jc w:val="both"/>
        <w:ind w:firstLine="757"/>
        <w:spacing w:after="0" w:line="238"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 The Company may assign this Release to any successor to all or substantially all of its business and/or assets or any affiliate.</w:t>
      </w:r>
    </w:p>
    <w:p>
      <w:pPr>
        <w:spacing w:after="0" w:line="176"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6"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in all parts of this Release shall in all cases be construed simply, according to its fair meaning, and not strictly for or against any of the Parties hereto. Without limitation, there shall be no presumption against any party on the ground that such party was responsible for drafting this Release or any part thereof.</w:t>
      </w:r>
    </w:p>
    <w:p>
      <w:pPr>
        <w:spacing w:after="0" w:line="173" w:lineRule="exact"/>
        <w:rPr>
          <w:rFonts w:ascii="Times New Roman" w:cs="Times New Roman" w:eastAsia="Times New Roman" w:hAnsi="Times New Roman"/>
          <w:sz w:val="20"/>
          <w:szCs w:val="20"/>
          <w:color w:val="auto"/>
        </w:rPr>
      </w:pPr>
    </w:p>
    <w:p>
      <w:pPr>
        <w:ind w:right="20" w:firstLine="757"/>
        <w:spacing w:after="0" w:line="258"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several sections in this Release are inserted solely for the convenience of the Parties and are not a part of and are not intended to govern, limit or aid in the construction of any term or provision hereof.</w:t>
      </w:r>
    </w:p>
    <w:p>
      <w:pPr>
        <w:spacing w:after="0" w:line="158"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Release and the terms of it, the Executive and the Company agree that any and all disputes, claims, or demands in any way arising out of or relating to the terms of this Release, Company equity held by the Executive, the Executive’s further employment relationship with the Company, or the termination of Executive’s employment or service relationship with the Company, shall be resolved in accordance with Section 12 of the Transition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ind w:firstLine="757"/>
        <w:spacing w:after="0" w:line="236"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rFonts w:ascii="Times New Roman" w:cs="Times New Roman" w:eastAsia="Times New Roman" w:hAnsi="Times New Roman"/>
          <w:sz w:val="20"/>
          <w:szCs w:val="20"/>
          <w:color w:val="auto"/>
        </w:rPr>
      </w:pPr>
    </w:p>
    <w:p>
      <w:pPr>
        <w:jc w:val="both"/>
        <w:ind w:firstLine="757"/>
        <w:spacing w:after="0" w:line="236"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Release, together with the Transition Agreement, Proprietary Information Agreement, the Indemnification Agreement, and the other agreements referenced herein and therein, constitutes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the Executive and an authorized representative of the Company. No oral waiver, amendment or modification will be effective under any circumstances whatsoever.</w:t>
      </w:r>
    </w:p>
    <w:p>
      <w:pPr>
        <w:spacing w:after="0" w:line="181" w:lineRule="exact"/>
        <w:rPr>
          <w:rFonts w:ascii="Times New Roman" w:cs="Times New Roman" w:eastAsia="Times New Roman" w:hAnsi="Times New Roman"/>
          <w:sz w:val="20"/>
          <w:szCs w:val="20"/>
          <w:color w:val="auto"/>
        </w:rPr>
      </w:pPr>
    </w:p>
    <w:p>
      <w:pPr>
        <w:jc w:val="both"/>
        <w:ind w:firstLine="757"/>
        <w:spacing w:after="0" w:line="239" w:lineRule="auto"/>
        <w:tabs>
          <w:tab w:leader="none" w:pos="10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 Facsimile or .pdf Signatures</w:t>
      </w:r>
      <w:r>
        <w:rPr>
          <w:rFonts w:ascii="Times New Roman" w:cs="Times New Roman" w:eastAsia="Times New Roman" w:hAnsi="Times New Roman"/>
          <w:sz w:val="22"/>
          <w:szCs w:val="22"/>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ind w:right="20"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RELEASE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 TO THE TERMS OF THIS RELEASE AND VOLUNTARILY ENTERS INTO IT WITH THE INTENT TO BE BOUND THEREBY.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August 2, 2024</w:t>
            </w: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/s/ Evan Dixon</w:t>
            </w:r>
          </w:p>
        </w:tc>
      </w:tr>
      <w:tr>
        <w:trPr>
          <w:trHeight w:val="20"/>
        </w:trPr>
        <w:tc>
          <w:tcPr>
            <w:tcW w:w="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r>
      <w:tr>
        <w:trPr>
          <w:trHeight w:val="492"/>
        </w:trPr>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Evan Dixon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August 2, 2024</w:t>
      </w:r>
      <w:r>
        <w:rPr>
          <w:sz w:val="20"/>
          <w:szCs w:val="20"/>
          <w:color w:val="auto"/>
        </w:rPr>
        <w:tab/>
      </w:r>
      <w:r>
        <w:rPr>
          <w:rFonts w:ascii="Times New Roman" w:cs="Times New Roman" w:eastAsia="Times New Roman" w:hAnsi="Times New Roman"/>
          <w:sz w:val="21"/>
          <w:szCs w:val="2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5201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34">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Anders Strothman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96215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35">
                      <a:extLst>
                        <a:ext uri="{28A0092B-C50C-407E-A947-70E740481C1C}"/>
                      </a:extLst>
                    </a:blip>
                    <a:srcRect/>
                    <a:stretch>
                      <a:fillRect/>
                    </a:stretch>
                  </pic:blipFill>
                  <pic:spPr bwMode="auto">
                    <a:xfrm>
                      <a:off x="0" y="0"/>
                      <a:ext cx="196215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Anders Strothman</w:t>
      </w: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Title: Vice President Global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ASSIGNMENT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812800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60"/>
          </w:cols>
          <w:pgMar w:left="1220" w:top="1404" w:right="121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812800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86" w:name="page187"/>
    <w:bookmarkEnd w:id="186"/>
    <w:p>
      <w:pPr>
        <w:ind w:left="9940"/>
        <w:spacing w:after="0"/>
        <w:rPr>
          <w:sz w:val="20"/>
          <w:szCs w:val="20"/>
          <w:color w:val="auto"/>
        </w:rPr>
      </w:pPr>
      <w:r>
        <w:rPr>
          <w:rFonts w:ascii="Arial" w:cs="Arial" w:eastAsia="Arial" w:hAnsi="Arial"/>
          <w:sz w:val="18"/>
          <w:szCs w:val="18"/>
          <w:b w:val="1"/>
          <w:bCs w:val="1"/>
          <w:color w:val="auto"/>
        </w:rPr>
        <w:t>Exhibit 10.28.1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EMPLOYMENT TRANSITION AGREEMENT AND GENERAL RELEASE OF ALL CLAIMS</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Amendment to Employment Transition Agreement and General Release of All Claims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entered into effective as of July 29,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Evan Dixon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WHEREAS, the Company and Executive are parties to that certain Employment Transition Agreement and General Release of All Claims, attached to this Amendment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the Executive wish to enter into this Amendment to modify certain terms of the Prior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Company’s agreements set forth herein, the adequacy of which is hereby acknowledged by Executive, and which Executive acknowledges that he would not otherwise be entitled to receive,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10" w:lineRule="exact"/>
        <w:rPr>
          <w:sz w:val="20"/>
          <w:szCs w:val="20"/>
          <w:color w:val="auto"/>
        </w:rPr>
      </w:pPr>
    </w:p>
    <w:p>
      <w:pPr>
        <w:ind w:firstLine="757"/>
        <w:spacing w:after="0" w:line="258" w:lineRule="auto"/>
        <w:tabs>
          <w:tab w:leader="none" w:pos="101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1</w:t>
      </w:r>
      <w:r>
        <w:rPr>
          <w:rFonts w:ascii="Times New Roman" w:cs="Times New Roman" w:eastAsia="Times New Roman" w:hAnsi="Times New Roman"/>
          <w:sz w:val="22"/>
          <w:szCs w:val="22"/>
          <w:color w:val="auto"/>
        </w:rPr>
        <w:t>. Section 1 of the Prior Agreement is hereby deleted in its entirety and such sentence is hereby replaced with the following:</w:t>
      </w:r>
    </w:p>
    <w:p>
      <w:pPr>
        <w:spacing w:after="0" w:line="200" w:lineRule="exact"/>
        <w:rPr>
          <w:sz w:val="20"/>
          <w:szCs w:val="20"/>
          <w:color w:val="auto"/>
        </w:rPr>
      </w:pPr>
    </w:p>
    <w:p>
      <w:pPr>
        <w:spacing w:after="0" w:line="201" w:lineRule="exact"/>
        <w:rPr>
          <w:sz w:val="20"/>
          <w:szCs w:val="20"/>
          <w:color w:val="auto"/>
        </w:rPr>
      </w:pPr>
    </w:p>
    <w:p>
      <w:pPr>
        <w:ind w:left="1500"/>
        <w:spacing w:after="0"/>
        <w:tabs>
          <w:tab w:leader="none" w:pos="19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760" w:right="740" w:firstLine="1387"/>
        <w:spacing w:after="0" w:line="245" w:lineRule="auto"/>
        <w:tabs>
          <w:tab w:leader="none" w:pos="2429"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The Executive and the Company agree that Executive ceased to hold any and all positions as an officer, director or designee of the Company or any of its subsidiaries, affiliates or other entities in which it holds a direct or indirect equity interest as of July 31, 2024, and the Executive’s full-time employment with the Company ceased and terminated effective as of July 31, 2024; provided, however, the Executive shall remain a part-time salaried employee of the Company until such date as Executive’s employment with the Company terminates for any reason (such date of termination, the “</w:t>
      </w:r>
      <w:r>
        <w:rPr>
          <w:rFonts w:ascii="Times New Roman" w:cs="Times New Roman" w:eastAsia="Times New Roman" w:hAnsi="Times New Roman"/>
          <w:sz w:val="21"/>
          <w:szCs w:val="21"/>
          <w:b w:val="1"/>
          <w:bCs w:val="1"/>
          <w:i w:val="1"/>
          <w:iCs w:val="1"/>
          <w:color w:val="auto"/>
        </w:rPr>
        <w:t>Last Day of Service</w:t>
      </w:r>
      <w:r>
        <w:rPr>
          <w:rFonts w:ascii="Times New Roman" w:cs="Times New Roman" w:eastAsia="Times New Roman" w:hAnsi="Times New Roman"/>
          <w:sz w:val="21"/>
          <w:szCs w:val="21"/>
          <w:color w:val="auto"/>
        </w:rPr>
        <w:t>”). The period from July 31, 2024 through the Last Day of Service is referred to herein as the “</w:t>
      </w:r>
      <w:r>
        <w:rPr>
          <w:rFonts w:ascii="Times New Roman" w:cs="Times New Roman" w:eastAsia="Times New Roman" w:hAnsi="Times New Roman"/>
          <w:sz w:val="21"/>
          <w:szCs w:val="21"/>
          <w:b w:val="1"/>
          <w:bCs w:val="1"/>
          <w:i w:val="1"/>
          <w:iCs w:val="1"/>
          <w:color w:val="auto"/>
        </w:rPr>
        <w:t>Transition Period</w:t>
      </w:r>
      <w:r>
        <w:rPr>
          <w:rFonts w:ascii="Times New Roman" w:cs="Times New Roman" w:eastAsia="Times New Roman" w:hAnsi="Times New Roman"/>
          <w:sz w:val="21"/>
          <w:szCs w:val="21"/>
          <w:color w:val="auto"/>
        </w:rPr>
        <w:t>”. During the Transition Period, Executive will hold the position of Advisor where duties will include providing support for: applicable merges and acquisitions and related strategic transactions. The Executive shall be expected to be available to perform such duties for twenty (20) hours per week during the Transition Period, or such greater time commitment as mutually agreed by the Executive and the President of the Company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7" w:name="page188"/>
    <w:bookmarkEnd w:id="187"/>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Senior Vice President and President, Global Enterprise and Mobility. The Company can direct the Executive to perform his duties remotely in its discretion. During the Transition Period, Executive will no longer be an executive officer of the Company but shall otherwise carry out the duties listed herein that apply during the Transition Period. The Executive shall execute any additional documentation necessary to effectuate the foregoing.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692"/>
        <w:spacing w:after="0" w:line="238" w:lineRule="auto"/>
        <w:tabs>
          <w:tab w:leader="none" w:pos="119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During Transition Period</w:t>
      </w:r>
      <w:r>
        <w:rPr>
          <w:rFonts w:ascii="Times New Roman" w:cs="Times New Roman" w:eastAsia="Times New Roman" w:hAnsi="Times New Roman"/>
          <w:sz w:val="22"/>
          <w:szCs w:val="22"/>
          <w:color w:val="auto"/>
        </w:rPr>
        <w:t>. As compensation for the services to be rendered by the Executive to the Company during the Transition Period, the Executive shall be paid the following compensation and benefits:</w:t>
      </w:r>
    </w:p>
    <w:p>
      <w:pPr>
        <w:jc w:val="both"/>
        <w:ind w:left="740" w:right="20" w:firstLine="754"/>
        <w:spacing w:after="0" w:line="249" w:lineRule="auto"/>
        <w:tabs>
          <w:tab w:leader="none" w:pos="1765"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period commencing on August 1, 2024 and ending on the Last Day of Service, the Company shall pay to Executive a base salary at the rate of $ 6,250.00 per week, payable in accordance with the Company’s usual pay practices (and in any event no less frequently than monthly).</w:t>
      </w:r>
    </w:p>
    <w:p>
      <w:pPr>
        <w:spacing w:after="0" w:line="169" w:lineRule="exact"/>
        <w:rPr>
          <w:sz w:val="20"/>
          <w:szCs w:val="20"/>
          <w:color w:val="auto"/>
        </w:rPr>
      </w:pPr>
    </w:p>
    <w:p>
      <w:pPr>
        <w:jc w:val="both"/>
        <w:ind w:left="740" w:right="20" w:firstLine="749"/>
        <w:spacing w:after="0" w:line="258" w:lineRule="auto"/>
        <w:rPr>
          <w:sz w:val="20"/>
          <w:szCs w:val="20"/>
          <w:color w:val="auto"/>
        </w:rPr>
      </w:pPr>
      <w:r>
        <w:rPr>
          <w:rFonts w:ascii="Times New Roman" w:cs="Times New Roman" w:eastAsia="Times New Roman" w:hAnsi="Times New Roman"/>
          <w:sz w:val="22"/>
          <w:szCs w:val="22"/>
          <w:color w:val="auto"/>
        </w:rPr>
        <w:t>(ii)The Executive shall not be eligible to receive an annual bonus for fiscal year 2025 or any future fiscal year during which he is employed under the terms of this Agreement.</w:t>
      </w:r>
    </w:p>
    <w:p>
      <w:pPr>
        <w:spacing w:after="0" w:line="158"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1"/>
          <w:szCs w:val="21"/>
          <w:color w:val="auto"/>
        </w:rPr>
        <w:t>(iii)The Executive shall be entitled to participate in benefits under the Company’s benefit plans and arrangements, including, without limitation, any employee benefit plan or arrangement made available in the future by the Company to its part-time status employees, subject to and on a basis consistent with the terms, conditions and overall administration of such plans and arrangements. The Company shall have the right to amend or delete any such benefit plan or arrangement made available by the Company to its part-time status employees and not otherwise specifically provided for herein.</w:t>
      </w:r>
    </w:p>
    <w:p>
      <w:pPr>
        <w:spacing w:after="0" w:line="171" w:lineRule="exact"/>
        <w:rPr>
          <w:sz w:val="20"/>
          <w:szCs w:val="20"/>
          <w:color w:val="auto"/>
        </w:rPr>
      </w:pPr>
    </w:p>
    <w:p>
      <w:pPr>
        <w:jc w:val="both"/>
        <w:ind w:left="740" w:firstLine="749"/>
        <w:spacing w:after="0" w:line="236" w:lineRule="auto"/>
        <w:rPr>
          <w:sz w:val="20"/>
          <w:szCs w:val="20"/>
          <w:color w:val="auto"/>
        </w:rPr>
      </w:pPr>
      <w:r>
        <w:rPr>
          <w:rFonts w:ascii="Times New Roman" w:cs="Times New Roman" w:eastAsia="Times New Roman" w:hAnsi="Times New Roman"/>
          <w:sz w:val="22"/>
          <w:szCs w:val="22"/>
          <w:color w:val="auto"/>
        </w:rPr>
        <w:t>(iv)The Company shall reimburse the Executive for reasonable out-of-pocket business expenses incurred in connection with the performance of his duties hereunder, subject to such policies as the Company may from time to time establish, and the Executive furnishing the Company with evidence in the form of receipts satisfactory to the Company substantiating the claimed expenditures. As a part-time salaried employee, Executive will be eligible for time off under the Flexible Time Off Policy.</w:t>
      </w:r>
    </w:p>
    <w:p>
      <w:pPr>
        <w:spacing w:after="0" w:line="181" w:lineRule="exact"/>
        <w:rPr>
          <w:sz w:val="20"/>
          <w:szCs w:val="20"/>
          <w:color w:val="auto"/>
        </w:rPr>
      </w:pPr>
    </w:p>
    <w:p>
      <w:pPr>
        <w:jc w:val="both"/>
        <w:ind w:left="740" w:firstLine="749"/>
        <w:spacing w:after="0" w:line="236" w:lineRule="auto"/>
        <w:rPr>
          <w:sz w:val="20"/>
          <w:szCs w:val="20"/>
          <w:color w:val="auto"/>
        </w:rPr>
      </w:pPr>
      <w:r>
        <w:rPr>
          <w:rFonts w:ascii="Times New Roman" w:cs="Times New Roman" w:eastAsia="Times New Roman" w:hAnsi="Times New Roman"/>
          <w:sz w:val="22"/>
          <w:szCs w:val="22"/>
          <w:color w:val="auto"/>
        </w:rPr>
        <w:t>(v)During the Transition Period, the Executive’s RSUs and PSOs (each as defined below) granted by the Company shall continue to vest in accordance with the terms of the award agreements and the equity plan pursuant to which such equity awards were issued to the extent such RSUs and PSOs do not vest on an accelerated basis pursuant to Section 3. Upon the Last Day of Service, the Executive’s outstanding equity awards will cease vesting and any unvested equity awards shall terminate, unless otherwise provided in Section 3 below.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761365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1408" w:right="1079" w:bottom="1440" w:gutter="0" w:footer="0" w:header="0"/>
        </w:sectPr>
      </w:pPr>
    </w:p>
    <w:bookmarkStart w:id="188" w:name="page189"/>
    <w:bookmarkEnd w:id="188"/>
    <w:p>
      <w:pPr>
        <w:jc w:val="both"/>
        <w:ind w:left="760" w:right="740" w:firstLine="692"/>
        <w:spacing w:after="0" w:line="236" w:lineRule="auto"/>
        <w:tabs>
          <w:tab w:leader="none" w:pos="190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Company and Executive acknowledge that Executive’s employment during the Transition Period shall be at-will, as defined under applicable law, and that Executive’s employment with the Company may be terminated by either party at any time for any or no reason, with or without notice. If Executive’s employment terminates for any reason, Employee shall not be entitled to any payments, benefits, damages, awards or compensation other than as required by applicable law. Executive’s employment under this Agreement shall be terminated immediately on the death of Executive.”</w:t>
      </w: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firstLine="757"/>
        <w:spacing w:after="0" w:line="258" w:lineRule="auto"/>
        <w:tabs>
          <w:tab w:leader="none" w:pos="101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2(a)</w:t>
      </w:r>
      <w:r>
        <w:rPr>
          <w:rFonts w:ascii="Times New Roman" w:cs="Times New Roman" w:eastAsia="Times New Roman" w:hAnsi="Times New Roman"/>
          <w:sz w:val="22"/>
          <w:szCs w:val="22"/>
          <w:color w:val="auto"/>
        </w:rPr>
        <w:t>. The first sentence of Section 2(a) of the Prior Agreement is hereby deleted in its entirety and such sentence is hereby replaced with the following:</w:t>
      </w:r>
    </w:p>
    <w:p>
      <w:pPr>
        <w:spacing w:after="0" w:line="200" w:lineRule="exact"/>
        <w:rPr>
          <w:sz w:val="20"/>
          <w:szCs w:val="20"/>
          <w:color w:val="auto"/>
        </w:rPr>
      </w:pPr>
    </w:p>
    <w:p>
      <w:pPr>
        <w:spacing w:after="0" w:line="201"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 xml:space="preserve">“(a) </w:t>
      </w:r>
      <w:r>
        <w:rPr>
          <w:rFonts w:ascii="Times New Roman" w:cs="Times New Roman" w:eastAsia="Times New Roman" w:hAnsi="Times New Roman"/>
          <w:sz w:val="21"/>
          <w:szCs w:val="21"/>
          <w:u w:val="single" w:color="auto"/>
          <w:color w:val="auto"/>
        </w:rPr>
        <w:t>Final Pay</w:t>
      </w:r>
      <w:r>
        <w:rPr>
          <w:rFonts w:ascii="Times New Roman" w:cs="Times New Roman" w:eastAsia="Times New Roman" w:hAnsi="Times New Roman"/>
          <w:sz w:val="21"/>
          <w:szCs w:val="21"/>
          <w:color w:val="auto"/>
        </w:rPr>
        <w:t>. The Company will pay the Executive’s unused vacation/PTO on the first payroll date after July 31, 2024. The Company will pay the Executive’s final pay on the Last Day of Service. In addition, the Company will reimburse the Executive for any employee expenses incurred and submitted on or prior to the Last Day of Service fourteen (14) days of the Last Day of Service.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for himself and any covered dependents. Executive’s entitlement to other benefits from the Company, and eligibility to participate in the Company’s other benefit plans and programs, shall cease on the Last Day of Service.</w:t>
      </w:r>
    </w:p>
    <w:p>
      <w:pPr>
        <w:spacing w:after="0" w:line="200" w:lineRule="exact"/>
        <w:rPr>
          <w:sz w:val="20"/>
          <w:szCs w:val="20"/>
          <w:color w:val="auto"/>
        </w:rPr>
      </w:pPr>
    </w:p>
    <w:p>
      <w:pPr>
        <w:spacing w:after="0" w:line="245" w:lineRule="exact"/>
        <w:rPr>
          <w:sz w:val="20"/>
          <w:szCs w:val="20"/>
          <w:color w:val="auto"/>
        </w:rPr>
      </w:pPr>
    </w:p>
    <w:p>
      <w:pPr>
        <w:ind w:left="1500" w:hanging="369"/>
        <w:spacing w:after="0" w:line="258" w:lineRule="auto"/>
        <w:tabs>
          <w:tab w:leader="none" w:pos="15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Section 2(b)</w:t>
      </w:r>
      <w:r>
        <w:rPr>
          <w:rFonts w:ascii="Times New Roman" w:cs="Times New Roman" w:eastAsia="Times New Roman" w:hAnsi="Times New Roman"/>
          <w:sz w:val="22"/>
          <w:szCs w:val="22"/>
          <w:color w:val="auto"/>
        </w:rPr>
        <w:t>. Section 2(b) of the Prior Agreement is hereby deleted in its entirety and such sentence is hereby replaced with the following:</w:t>
      </w:r>
    </w:p>
    <w:p>
      <w:pPr>
        <w:spacing w:after="0" w:line="200" w:lineRule="exact"/>
        <w:rPr>
          <w:sz w:val="20"/>
          <w:szCs w:val="20"/>
          <w:color w:val="auto"/>
        </w:rPr>
      </w:pPr>
    </w:p>
    <w:p>
      <w:pPr>
        <w:spacing w:after="0" w:line="201" w:lineRule="exact"/>
        <w:rPr>
          <w:sz w:val="20"/>
          <w:szCs w:val="20"/>
          <w:color w:val="auto"/>
        </w:rPr>
      </w:pPr>
    </w:p>
    <w:p>
      <w:pPr>
        <w:jc w:val="both"/>
        <w:ind w:left="760" w:right="660" w:firstLine="749"/>
        <w:spacing w:after="0" w:line="236"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Subject to, and in consideration for, the Executive signing the General Release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without revocation, on or before August 3, 2024 (the “</w:t>
      </w:r>
      <w:r>
        <w:rPr>
          <w:rFonts w:ascii="Times New Roman" w:cs="Times New Roman" w:eastAsia="Times New Roman" w:hAnsi="Times New Roman"/>
          <w:sz w:val="22"/>
          <w:szCs w:val="22"/>
          <w:b w:val="1"/>
          <w:bCs w:val="1"/>
          <w:i w:val="1"/>
          <w:iCs w:val="1"/>
          <w:color w:val="auto"/>
        </w:rPr>
        <w:t>Second Release Deadline</w:t>
      </w:r>
      <w:r>
        <w:rPr>
          <w:rFonts w:ascii="Times New Roman" w:cs="Times New Roman" w:eastAsia="Times New Roman" w:hAnsi="Times New Roman"/>
          <w:sz w:val="22"/>
          <w:szCs w:val="22"/>
          <w:color w:val="auto"/>
        </w:rPr>
        <w:t>”), and the Executive’s continued compliance with the terms of this Agreement, the Company agrees to provide Executive with the following severance payments and benefits (the “</w:t>
      </w:r>
      <w:r>
        <w:rPr>
          <w:rFonts w:ascii="Times New Roman" w:cs="Times New Roman" w:eastAsia="Times New Roman" w:hAnsi="Times New Roman"/>
          <w:sz w:val="22"/>
          <w:szCs w:val="22"/>
          <w:b w:val="1"/>
          <w:bCs w:val="1"/>
          <w:i w:val="1"/>
          <w:iCs w:val="1"/>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color w:val="auto"/>
        </w:rPr>
        <w:t>”). The date on which the Second Release becomes effective and irrevocable in accordance with its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terms is referred to as the “</w:t>
      </w:r>
      <w:r>
        <w:rPr>
          <w:rFonts w:ascii="Times New Roman" w:cs="Times New Roman" w:eastAsia="Times New Roman" w:hAnsi="Times New Roman"/>
          <w:sz w:val="22"/>
          <w:szCs w:val="22"/>
          <w:b w:val="1"/>
          <w:bCs w:val="1"/>
          <w:i w:val="1"/>
          <w:iCs w:val="1"/>
          <w:color w:val="auto"/>
        </w:rPr>
        <w:t>Second Release Effective Date</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left="760" w:right="780" w:firstLine="692"/>
        <w:spacing w:after="0" w:line="258" w:lineRule="auto"/>
        <w:tabs>
          <w:tab w:leader="none" w:pos="1887"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$2,340,000, which amount shall be payable via direct deposit or wire transfer within ten (10) days following the Second Release Effective Date;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9" w:name="page190"/>
    <w:bookmarkEnd w:id="189"/>
    <w:p>
      <w:pPr>
        <w:jc w:val="both"/>
        <w:ind w:right="20" w:firstLine="692"/>
        <w:spacing w:after="0" w:line="238" w:lineRule="auto"/>
        <w:tabs>
          <w:tab w:leader="none" w:pos="1127"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net of tax sum of $44,963, representing an amount equal to eighteen (18) multiplied by the monthly premium that Executive would be required to pay for COBRA continuation coverage for Executive and his eligible dependents who were covered under the Company’s health insurance plans as of July 31, 2024 (based on the premiums in effect as of such date), which amount shall be payable within ten (10) days following the Second Release Effective Date;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0" w:firstLine="692"/>
        <w:spacing w:after="0" w:line="237" w:lineRule="auto"/>
        <w:tabs>
          <w:tab w:leader="none" w:pos="1127"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restricted stock unit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under the Company’s 1996 Equity Participation Plan, as amended and restated from time to time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pursuant to the terms of those certain Restricted Stock Unit Agreements (each, an “</w:t>
      </w:r>
      <w:r>
        <w:rPr>
          <w:rFonts w:ascii="Times New Roman" w:cs="Times New Roman" w:eastAsia="Times New Roman" w:hAnsi="Times New Roman"/>
          <w:sz w:val="22"/>
          <w:szCs w:val="22"/>
          <w:b w:val="1"/>
          <w:bCs w:val="1"/>
          <w:i w:val="1"/>
          <w:iCs w:val="1"/>
          <w:color w:val="auto"/>
        </w:rPr>
        <w:t>RSU Agreement</w:t>
      </w:r>
      <w:r>
        <w:rPr>
          <w:rFonts w:ascii="Times New Roman" w:cs="Times New Roman" w:eastAsia="Times New Roman" w:hAnsi="Times New Roman"/>
          <w:sz w:val="22"/>
          <w:szCs w:val="22"/>
          <w:color w:val="auto"/>
        </w:rPr>
        <w:t>”). On the Second Release Effective Date, the vesting of all of Executive’s outstanding, unvested RSUs shall be accelerated, and such RSUs shall be settled in accordance with the terms of the RSU Agreements and the Equity Plan;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0" w:firstLine="692"/>
        <w:spacing w:after="0" w:line="258" w:lineRule="auto"/>
        <w:tabs>
          <w:tab w:leader="none" w:pos="119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continue to keep Executive on the corporate membership for Omni La Costa thru December 31, 2025; and</w:t>
      </w:r>
    </w:p>
    <w:p>
      <w:pPr>
        <w:spacing w:after="0" w:line="395" w:lineRule="exact"/>
        <w:rPr>
          <w:sz w:val="20"/>
          <w:szCs w:val="20"/>
          <w:color w:val="auto"/>
        </w:rPr>
      </w:pPr>
    </w:p>
    <w:p>
      <w:pPr>
        <w:jc w:val="both"/>
        <w:ind w:right="20" w:firstLine="692"/>
        <w:spacing w:after="0" w:line="264" w:lineRule="auto"/>
        <w:tabs>
          <w:tab w:leader="none" w:pos="1127"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previously granted Executive performance stock option (“ </w:t>
      </w:r>
      <w:r>
        <w:rPr>
          <w:rFonts w:ascii="Times New Roman" w:cs="Times New Roman" w:eastAsia="Times New Roman" w:hAnsi="Times New Roman"/>
          <w:sz w:val="21"/>
          <w:szCs w:val="21"/>
          <w:b w:val="1"/>
          <w:bCs w:val="1"/>
          <w:i w:val="1"/>
          <w:iCs w:val="1"/>
          <w:color w:val="auto"/>
        </w:rPr>
        <w:t>PSO</w:t>
      </w:r>
      <w:r>
        <w:rPr>
          <w:rFonts w:ascii="Times New Roman" w:cs="Times New Roman" w:eastAsia="Times New Roman" w:hAnsi="Times New Roman"/>
          <w:sz w:val="21"/>
          <w:szCs w:val="21"/>
          <w:color w:val="auto"/>
        </w:rPr>
        <w:t>”) awards with respect to shares of the Company’s common stock (collectively, the “</w:t>
      </w:r>
      <w:r>
        <w:rPr>
          <w:rFonts w:ascii="Times New Roman" w:cs="Times New Roman" w:eastAsia="Times New Roman" w:hAnsi="Times New Roman"/>
          <w:sz w:val="21"/>
          <w:szCs w:val="21"/>
          <w:b w:val="1"/>
          <w:bCs w:val="1"/>
          <w:i w:val="1"/>
          <w:iCs w:val="1"/>
          <w:color w:val="auto"/>
        </w:rPr>
        <w:t>PSOs</w:t>
      </w:r>
      <w:r>
        <w:rPr>
          <w:rFonts w:ascii="Times New Roman" w:cs="Times New Roman" w:eastAsia="Times New Roman" w:hAnsi="Times New Roman"/>
          <w:sz w:val="21"/>
          <w:szCs w:val="21"/>
          <w:color w:val="auto"/>
        </w:rPr>
        <w:t>”) under the Company’s Equity Plan and pursuant to the terms of those certain Performance Stock Option Agreements (each, a “</w:t>
      </w:r>
      <w:r>
        <w:rPr>
          <w:rFonts w:ascii="Times New Roman" w:cs="Times New Roman" w:eastAsia="Times New Roman" w:hAnsi="Times New Roman"/>
          <w:sz w:val="21"/>
          <w:szCs w:val="21"/>
          <w:b w:val="1"/>
          <w:bCs w:val="1"/>
          <w:i w:val="1"/>
          <w:iCs w:val="1"/>
          <w:color w:val="auto"/>
        </w:rPr>
        <w:t>PSO Agreement</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13" w:lineRule="exact"/>
        <w:rPr>
          <w:rFonts w:ascii="Times New Roman" w:cs="Times New Roman" w:eastAsia="Times New Roman" w:hAnsi="Times New Roman"/>
          <w:sz w:val="21"/>
          <w:szCs w:val="21"/>
          <w:color w:val="auto"/>
        </w:rPr>
      </w:pPr>
    </w:p>
    <w:p>
      <w:pPr>
        <w:ind w:firstLine="1387"/>
        <w:spacing w:after="0" w:line="258" w:lineRule="auto"/>
        <w:tabs>
          <w:tab w:leader="none" w:pos="166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all of Executive’s PSOs [granted to the Executive prior to October 2023] shall be considered “Time-Vested Options” for purposes of the PSO Agreements.</w:t>
      </w:r>
    </w:p>
    <w:p>
      <w:pPr>
        <w:spacing w:after="0" w:line="200" w:lineRule="exact"/>
        <w:rPr>
          <w:rFonts w:ascii="Times New Roman" w:cs="Times New Roman" w:eastAsia="Times New Roman" w:hAnsi="Times New Roman"/>
          <w:sz w:val="22"/>
          <w:szCs w:val="22"/>
          <w:color w:val="auto"/>
        </w:rPr>
      </w:pPr>
    </w:p>
    <w:p>
      <w:pPr>
        <w:spacing w:after="0" w:line="201" w:lineRule="exact"/>
        <w:rPr>
          <w:rFonts w:ascii="Times New Roman" w:cs="Times New Roman" w:eastAsia="Times New Roman" w:hAnsi="Times New Roman"/>
          <w:sz w:val="22"/>
          <w:szCs w:val="22"/>
          <w:color w:val="auto"/>
        </w:rPr>
      </w:pPr>
    </w:p>
    <w:p>
      <w:pPr>
        <w:jc w:val="both"/>
        <w:ind w:firstLine="1387"/>
        <w:spacing w:after="0" w:line="239" w:lineRule="auto"/>
        <w:tabs>
          <w:tab w:leader="none" w:pos="166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PSOs granted to the Executive prior to October 2023, Executive shall remain eligible to vest in such number of the PSOs that also become “Performance-Vested Options” in accordance with the terms of the PSO Agreements on the applicable Certification Date (as defined in the PSO Agreements).</w:t>
      </w:r>
    </w:p>
    <w:p>
      <w:pPr>
        <w:spacing w:after="0" w:line="207" w:lineRule="exact"/>
        <w:rPr>
          <w:rFonts w:ascii="Times New Roman" w:cs="Times New Roman" w:eastAsia="Times New Roman" w:hAnsi="Times New Roman"/>
          <w:sz w:val="22"/>
          <w:szCs w:val="22"/>
          <w:color w:val="auto"/>
        </w:rPr>
      </w:pPr>
    </w:p>
    <w:p>
      <w:pPr>
        <w:jc w:val="both"/>
        <w:ind w:right="20" w:firstLine="1387"/>
        <w:spacing w:after="0" w:line="244" w:lineRule="auto"/>
        <w:tabs>
          <w:tab w:leader="none" w:pos="166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PSOs granted to the Executive on October 6, 2023, Executive shall continue to be eligible to vest in such PSOs in accordance with the terms of the PSO Agreement through the Last Day of Service.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761365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080" w:top="1408" w:right="1079" w:bottom="1440" w:gutter="0" w:footer="0" w:header="0"/>
        </w:sectPr>
      </w:pPr>
    </w:p>
    <w:bookmarkStart w:id="190" w:name="page191"/>
    <w:bookmarkEnd w:id="190"/>
    <w:p>
      <w:pPr>
        <w:jc w:val="both"/>
        <w:ind w:left="760" w:right="740"/>
        <w:spacing w:after="0" w:line="244" w:lineRule="auto"/>
        <w:rPr>
          <w:sz w:val="20"/>
          <w:szCs w:val="20"/>
          <w:color w:val="auto"/>
        </w:rPr>
      </w:pPr>
      <w:r>
        <w:rPr>
          <w:rFonts w:ascii="Times New Roman" w:cs="Times New Roman" w:eastAsia="Times New Roman" w:hAnsi="Times New Roman"/>
          <w:sz w:val="22"/>
          <w:szCs w:val="22"/>
          <w:color w:val="auto"/>
        </w:rPr>
        <w:t>On the Last Day of Service, all of Executive’s PSOs granted on October 6, 2023, shall be forfeited to the extent such PSOs have not become “Performance-Vested Options” in accordance with the terms of the PSO Agreement as of such date.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60" w:right="20" w:hanging="6"/>
        <w:spacing w:after="0" w:line="258" w:lineRule="auto"/>
        <w:tabs>
          <w:tab w:leader="none" w:pos="2692"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specified above with respect to the acceleration of the time-based vesting of the PSOs, Executive’s PSOs shall continue to be governed by the Equity Plan and the PSO Agreements.</w:t>
      </w:r>
    </w:p>
    <w:p>
      <w:pPr>
        <w:spacing w:after="0" w:line="185"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Compensation</w:t>
      </w:r>
      <w:r>
        <w:rPr>
          <w:rFonts w:ascii="Times New Roman" w:cs="Times New Roman" w:eastAsia="Times New Roman" w:hAnsi="Times New Roman"/>
          <w:sz w:val="22"/>
          <w:szCs w:val="22"/>
          <w:color w:val="auto"/>
        </w:rPr>
        <w:t>. Other than the payments pursuant to Sections 2(a) and 2(b) of the Prior Agreement, as amended above, the Executive acknowledges that the Company will have timely paid all wages and employee benefits owed to the Executive through July 31, 2024, including but not limited to, all salary, bonuses, commissions, business expenses, allowances, vacation pay, leave pay, and other employee benefits as a result of the Executive’s employment with the Company through such date.</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Severance Benefits</w:t>
      </w:r>
      <w:r>
        <w:rPr>
          <w:rFonts w:ascii="Times New Roman" w:cs="Times New Roman" w:eastAsia="Times New Roman" w:hAnsi="Times New Roman"/>
          <w:sz w:val="22"/>
          <w:szCs w:val="22"/>
          <w:color w:val="auto"/>
        </w:rPr>
        <w:t>. Executive acknowledges that, other than the benefits to be paid pursuant to Section 2(b) of the Prior Agreement, as amended above, he will not be eligible for any further severance benefits under the Company’s standard severance program for U.S. employees or any other plan, program or agreement currently maintained by the Company or any of its subsidiaries or any accelerated vesting of his RSUs or PSOs as a result of the occurrence of his transition to part-time employment or the end of the Transition Period.</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Amendment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2"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Prior Agreement</w:t>
      </w:r>
      <w:r>
        <w:rPr>
          <w:rFonts w:ascii="Times New Roman" w:cs="Times New Roman" w:eastAsia="Times New Roman" w:hAnsi="Times New Roman"/>
          <w:sz w:val="22"/>
          <w:szCs w:val="22"/>
          <w:color w:val="auto"/>
        </w:rPr>
        <w:t>. Except to the limited extent expressly amended hereby, the Prior Agreement and its terms and conditions remain in full force and effect and unchanged by this Amendment. Capitalized terms used herein but not defined herein shall have the meanings ascribed such terms in the Prior Agreement. This Amendment may be amended or modified only with the written consent of Executive and an authorized representative of the Company. No oral waiver, amendment or modification will be effective under any circumstances whatsoever.</w:t>
      </w:r>
    </w:p>
    <w:p>
      <w:pPr>
        <w:spacing w:after="0" w:line="179" w:lineRule="exact"/>
        <w:rPr>
          <w:rFonts w:ascii="Times New Roman" w:cs="Times New Roman" w:eastAsia="Times New Roman" w:hAnsi="Times New Roman"/>
          <w:sz w:val="22"/>
          <w:szCs w:val="22"/>
          <w:color w:val="auto"/>
        </w:rPr>
      </w:pPr>
    </w:p>
    <w:p>
      <w:pPr>
        <w:jc w:val="both"/>
        <w:ind w:firstLine="757"/>
        <w:spacing w:after="0" w:line="249" w:lineRule="auto"/>
        <w:tabs>
          <w:tab w:leader="none" w:pos="1018"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 Facsimile or .pdf Signatures</w:t>
      </w:r>
      <w:r>
        <w:rPr>
          <w:rFonts w:ascii="Times New Roman" w:cs="Times New Roman" w:eastAsia="Times New Roman" w:hAnsi="Times New Roman"/>
          <w:sz w:val="21"/>
          <w:szCs w:val="21"/>
          <w:color w:val="auto"/>
        </w:rPr>
        <w:t>. This Amendment may be executed in any number of counterparts, each of which when so executed and delivered will be deemed an original, and all of which together shall constitute one and the same agreement. This Amendment may be executed and delivered by facsimile or by .pdf file and upon such delivery the facsimile or</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.pdf signature will be deemed to have the same effect as if the original signature had been delivered to the other party.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9019"/>
          </w:cols>
          <w:pgMar w:left="1440" w:top="1408"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782955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192" w:name="page193"/>
    <w:bookmarkEnd w:id="192"/>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AGREES TO THE TERMS OF THIS AMENDMENT AND VOLUNTARILY ENTERS INTO IT WITH THE INTENT TO BE BOUND THEREBY.</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Dated:   August 5, 2024</w:t>
            </w: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/s/ Evan Dixon</w:t>
            </w:r>
          </w:p>
        </w:tc>
      </w:tr>
      <w:tr>
        <w:trPr>
          <w:trHeight w:val="20"/>
        </w:trPr>
        <w:tc>
          <w:tcPr>
            <w:tcW w:w="6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r>
      <w:tr>
        <w:trPr>
          <w:trHeight w:val="492"/>
        </w:trPr>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EVAN DIXON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3440" w:val="left"/>
        </w:tabs>
        <w:rPr>
          <w:sz w:val="20"/>
          <w:szCs w:val="20"/>
          <w:color w:val="auto"/>
        </w:rPr>
      </w:pPr>
      <w:r>
        <w:rPr>
          <w:rFonts w:ascii="Times New Roman" w:cs="Times New Roman" w:eastAsia="Times New Roman" w:hAnsi="Times New Roman"/>
          <w:sz w:val="22"/>
          <w:szCs w:val="22"/>
          <w:color w:val="auto"/>
        </w:rPr>
        <w:t>Dated:</w:t>
        <w:tab/>
        <w:t>August 5, 2024</w:t>
      </w:r>
      <w:r>
        <w:rPr>
          <w:sz w:val="20"/>
          <w:szCs w:val="20"/>
          <w:color w:val="auto"/>
        </w:rPr>
        <w:tab/>
      </w:r>
      <w:r>
        <w:rPr>
          <w:rFonts w:ascii="Times New Roman" w:cs="Times New Roman" w:eastAsia="Times New Roman" w:hAnsi="Times New Roman"/>
          <w:sz w:val="21"/>
          <w:szCs w:val="2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52019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45">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Anders Strothman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92024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4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Anders Strothman</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VP Global Rewards &amp; People Analytics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47"/>
        </w:trPr>
        <w:tc>
          <w:tcPr>
            <w:tcW w:w="5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20" w:type="dxa"/>
            <w:vAlign w:val="bottom"/>
          </w:tcPr>
          <w:p>
            <w:pPr>
              <w:ind w:left="4580"/>
              <w:spacing w:after="0"/>
              <w:rPr>
                <w:sz w:val="20"/>
                <w:szCs w:val="20"/>
                <w:color w:val="auto"/>
              </w:rPr>
            </w:pPr>
            <w:r>
              <w:rPr>
                <w:rFonts w:ascii="Arial" w:cs="Arial" w:eastAsia="Arial" w:hAnsi="Arial"/>
                <w:sz w:val="18"/>
                <w:szCs w:val="18"/>
                <w:b w:val="1"/>
                <w:bCs w:val="1"/>
                <w:color w:val="auto"/>
              </w:rPr>
              <w:t>Exhibit 21.1</w:t>
            </w:r>
          </w:p>
        </w:tc>
      </w:tr>
      <w:tr>
        <w:trPr>
          <w:trHeight w:val="339"/>
        </w:trPr>
        <w:tc>
          <w:tcPr>
            <w:tcW w:w="5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Subsidiaries</w:t>
            </w:r>
          </w:p>
        </w:tc>
        <w:tc>
          <w:tcPr>
            <w:tcW w:w="180" w:type="dxa"/>
            <w:vAlign w:val="bottom"/>
          </w:tcPr>
          <w:p>
            <w:pPr>
              <w:spacing w:after="0"/>
              <w:rPr>
                <w:sz w:val="24"/>
                <w:szCs w:val="24"/>
                <w:color w:val="auto"/>
              </w:rPr>
            </w:pPr>
          </w:p>
        </w:tc>
        <w:tc>
          <w:tcPr>
            <w:tcW w:w="56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State or Other Jurisdiction of Incorporation or Organization</w:t>
            </w:r>
          </w:p>
        </w:tc>
      </w:tr>
      <w:tr>
        <w:trPr>
          <w:trHeight w:val="177"/>
        </w:trPr>
        <w:tc>
          <w:tcPr>
            <w:tcW w:w="5440" w:type="dxa"/>
            <w:vAlign w:val="bottom"/>
          </w:tcPr>
          <w:p>
            <w:pPr>
              <w:spacing w:after="0" w:line="177" w:lineRule="exact"/>
              <w:rPr>
                <w:sz w:val="20"/>
                <w:szCs w:val="20"/>
                <w:color w:val="auto"/>
              </w:rPr>
            </w:pPr>
            <w:r>
              <w:rPr>
                <w:rFonts w:ascii="Arial" w:cs="Arial" w:eastAsia="Arial" w:hAnsi="Arial"/>
                <w:sz w:val="18"/>
                <w:szCs w:val="18"/>
                <w:color w:val="auto"/>
              </w:rPr>
              <w:t>Automation Communications Engineering Corporation</w:t>
            </w:r>
          </w:p>
        </w:tc>
        <w:tc>
          <w:tcPr>
            <w:tcW w:w="180" w:type="dxa"/>
            <w:vAlign w:val="bottom"/>
          </w:tcPr>
          <w:p>
            <w:pPr>
              <w:spacing w:after="0"/>
              <w:rPr>
                <w:sz w:val="15"/>
                <w:szCs w:val="15"/>
                <w:color w:val="auto"/>
              </w:rPr>
            </w:pPr>
          </w:p>
        </w:tc>
        <w:tc>
          <w:tcPr>
            <w:tcW w:w="5620" w:type="dxa"/>
            <w:vAlign w:val="bottom"/>
          </w:tcPr>
          <w:p>
            <w:pPr>
              <w:spacing w:after="0" w:line="177" w:lineRule="exact"/>
              <w:rPr>
                <w:sz w:val="20"/>
                <w:szCs w:val="20"/>
                <w:color w:val="auto"/>
              </w:rPr>
            </w:pPr>
            <w:r>
              <w:rPr>
                <w:rFonts w:ascii="Arial" w:cs="Arial" w:eastAsia="Arial" w:hAnsi="Arial"/>
                <w:sz w:val="18"/>
                <w:szCs w:val="18"/>
                <w:color w:val="auto"/>
              </w:rPr>
              <w:t>United States (LA)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Beijing Viasat Science and Technology Co., Ltd.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C.S.G. Cyprus Space Gateways Ltd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Cyprus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Carmel Comunicaciones, S.A. de C.V.</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ComPetro Communications Holdings, LLC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ComPetro Communications, LLC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ComPetro Comunicações Holdings do Brasil, Ltda.</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Bidco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Guernsey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Finco SARL</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Midco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Guernsey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Sub-Topco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Guernsey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Topco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Guernsey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Connect U.S. Finco LLC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Engreen India Private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Engreen,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(CA)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Euro Broadband Infrastructure Sàrl</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Euro Broadband Services S.r.l.</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Europasat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Flysurfer Colombia S.A.S</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Flysurfer-Ecuador S.A.</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Ecuador</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Australia Pty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Australia</w:t>
            </w:r>
          </w:p>
        </w:tc>
      </w:tr>
      <w:tr>
        <w:trPr>
          <w:trHeight w:val="200"/>
        </w:trPr>
        <w:tc>
          <w:tcPr>
            <w:tcW w:w="5440" w:type="dxa"/>
            <w:vAlign w:val="bottom"/>
          </w:tcPr>
          <w:p>
            <w:pPr>
              <w:spacing w:after="0" w:line="200" w:lineRule="exact"/>
              <w:rPr>
                <w:sz w:val="20"/>
                <w:szCs w:val="20"/>
                <w:color w:val="auto"/>
              </w:rPr>
            </w:pPr>
            <w:r>
              <w:rPr>
                <w:rFonts w:ascii="Arial" w:cs="Arial" w:eastAsia="Arial" w:hAnsi="Arial"/>
                <w:sz w:val="18"/>
                <w:szCs w:val="18"/>
                <w:color w:val="auto"/>
              </w:rPr>
              <w:t>Inmarsat BH d.o.o</w:t>
            </w:r>
          </w:p>
        </w:tc>
        <w:tc>
          <w:tcPr>
            <w:tcW w:w="580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Bosnia and Herzegovina</w:t>
            </w:r>
          </w:p>
        </w:tc>
      </w:tr>
      <w:tr>
        <w:trPr>
          <w:trHeight w:val="219"/>
        </w:trPr>
        <w:tc>
          <w:tcPr>
            <w:tcW w:w="5440" w:type="dxa"/>
            <w:vAlign w:val="bottom"/>
          </w:tcPr>
          <w:p>
            <w:pPr>
              <w:spacing w:after="0"/>
              <w:rPr>
                <w:sz w:val="20"/>
                <w:szCs w:val="20"/>
                <w:color w:val="auto"/>
              </w:rPr>
            </w:pPr>
            <w:r>
              <w:rPr>
                <w:rFonts w:ascii="Arial" w:cs="Arial" w:eastAsia="Arial" w:hAnsi="Arial"/>
                <w:sz w:val="18"/>
                <w:szCs w:val="18"/>
                <w:color w:val="auto"/>
              </w:rPr>
              <w:t>Inmarsat Brasil Sat</w:t>
            </w:r>
            <w:r>
              <w:rPr>
                <w:rFonts w:ascii="Arial" w:cs="Arial" w:eastAsia="Arial" w:hAnsi="Arial"/>
                <w:sz w:val="19"/>
                <w:szCs w:val="19"/>
                <w:color w:val="auto"/>
              </w:rPr>
              <w:t>é</w:t>
            </w:r>
            <w:r>
              <w:rPr>
                <w:rFonts w:ascii="Arial" w:cs="Arial" w:eastAsia="Arial" w:hAnsi="Arial"/>
                <w:sz w:val="18"/>
                <w:szCs w:val="18"/>
                <w:color w:val="auto"/>
              </w:rPr>
              <w:t>lites LTDA</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Brazil</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Commercial Services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Communications Company LLC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DOOEL Skopje</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North Macedonia, Republic of</w:t>
            </w: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Finance III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Finance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Germany GmbH</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Global Japan KK</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Global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Government,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Group Holdings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Group Holdings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Group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Hellas Satellite Services</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Greece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Holdings (Cyprus)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Cyprus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Holdings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Hong Kong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Hong Kong</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India Private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Investments B.V.</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Investments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KK</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Leasing (Two)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Licenses (Canada) Inc.</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Maritime Ventures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Navigation Ventures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New Ventures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New Zealand Limited</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New Zealand</w:t>
            </w:r>
          </w:p>
        </w:tc>
      </w:tr>
      <w:tr>
        <w:trPr>
          <w:trHeight w:val="203"/>
        </w:trPr>
        <w:tc>
          <w:tcPr>
            <w:tcW w:w="5440" w:type="dxa"/>
            <w:vAlign w:val="bottom"/>
          </w:tcPr>
          <w:p>
            <w:pPr>
              <w:spacing w:after="0" w:line="202" w:lineRule="exact"/>
              <w:rPr>
                <w:sz w:val="20"/>
                <w:szCs w:val="20"/>
                <w:color w:val="auto"/>
              </w:rPr>
            </w:pPr>
            <w:r>
              <w:rPr>
                <w:rFonts w:ascii="Arial" w:cs="Arial" w:eastAsia="Arial" w:hAnsi="Arial"/>
                <w:sz w:val="18"/>
                <w:szCs w:val="18"/>
                <w:color w:val="auto"/>
              </w:rPr>
              <w:t>Inmarsat SA</w:t>
            </w:r>
          </w:p>
        </w:tc>
        <w:tc>
          <w:tcPr>
            <w:tcW w:w="58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Switzerland</w:t>
            </w: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Inmarsat Satellite Services S.R.L</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Romania</w:t>
            </w:r>
          </w:p>
        </w:tc>
      </w:tr>
      <w:tr>
        <w:trPr>
          <w:trHeight w:val="1394"/>
        </w:trPr>
        <w:tc>
          <w:tcPr>
            <w:tcW w:w="5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Arial" w:cs="Arial" w:eastAsia="Arial" w:hAnsi="Arial"/>
                <w:sz w:val="18"/>
                <w:szCs w:val="18"/>
                <w:color w:val="auto"/>
              </w:rPr>
              <w:t>Inmarsat Services Limited</w:t>
            </w:r>
          </w:p>
        </w:tc>
        <w:tc>
          <w:tcPr>
            <w:tcW w:w="5780" w:type="dxa"/>
            <w:vAlign w:val="bottom"/>
          </w:tcPr>
          <w:p>
            <w:pPr>
              <w:ind w:left="160"/>
              <w:spacing w:after="0"/>
              <w:rPr>
                <w:sz w:val="20"/>
                <w:szCs w:val="20"/>
                <w:color w:val="auto"/>
              </w:rPr>
            </w:pPr>
            <w:r>
              <w:rPr>
                <w:rFonts w:ascii="Arial" w:cs="Arial" w:eastAsia="Arial" w:hAnsi="Arial"/>
                <w:sz w:val="18"/>
                <w:szCs w:val="18"/>
                <w:color w:val="auto"/>
              </w:rPr>
              <w:t>England and Wales</w:t>
            </w:r>
          </w:p>
        </w:tc>
      </w:tr>
      <w:tr>
        <w:trPr>
          <w:trHeight w:val="202"/>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(Canada) Inc./Solutions Inmarsat (Canada)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(Shanghai) Co.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China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(US)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AS</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B.V.</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Netherlands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doo Beograd-Novi Boegrad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Serbia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ehf.</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Iceland</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Global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Pte.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Solutions SA (PTY)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Spain S.A.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Spain</w:t>
            </w:r>
          </w:p>
        </w:tc>
      </w:tr>
      <w:tr>
        <w:trPr>
          <w:trHeight w:val="200"/>
        </w:trPr>
        <w:tc>
          <w:tcPr>
            <w:tcW w:w="5460" w:type="dxa"/>
            <w:vAlign w:val="bottom"/>
          </w:tcPr>
          <w:p>
            <w:pPr>
              <w:spacing w:after="0" w:line="200" w:lineRule="exact"/>
              <w:rPr>
                <w:sz w:val="20"/>
                <w:szCs w:val="20"/>
                <w:color w:val="auto"/>
              </w:rPr>
            </w:pPr>
            <w:r>
              <w:rPr>
                <w:rFonts w:ascii="Arial" w:cs="Arial" w:eastAsia="Arial" w:hAnsi="Arial"/>
                <w:sz w:val="18"/>
                <w:szCs w:val="18"/>
                <w:color w:val="auto"/>
              </w:rPr>
              <w:t>Inmarsat Trustee Company Limited</w:t>
            </w:r>
          </w:p>
        </w:tc>
        <w:tc>
          <w:tcPr>
            <w:tcW w:w="5780" w:type="dxa"/>
            <w:vAlign w:val="bottom"/>
          </w:tcPr>
          <w:p>
            <w:pPr>
              <w:ind w:left="160"/>
              <w:spacing w:after="0" w:line="200" w:lineRule="exact"/>
              <w:rPr>
                <w:sz w:val="20"/>
                <w:szCs w:val="20"/>
                <w:color w:val="auto"/>
              </w:rPr>
            </w:pPr>
            <w:r>
              <w:rPr>
                <w:rFonts w:ascii="Arial" w:cs="Arial" w:eastAsia="Arial" w:hAnsi="Arial"/>
                <w:sz w:val="18"/>
                <w:szCs w:val="18"/>
                <w:color w:val="auto"/>
              </w:rPr>
              <w:t>England and Wales</w:t>
            </w:r>
          </w:p>
        </w:tc>
      </w:tr>
      <w:tr>
        <w:trPr>
          <w:trHeight w:val="219"/>
        </w:trPr>
        <w:tc>
          <w:tcPr>
            <w:tcW w:w="5460" w:type="dxa"/>
            <w:vAlign w:val="bottom"/>
          </w:tcPr>
          <w:p>
            <w:pPr>
              <w:spacing w:after="0"/>
              <w:rPr>
                <w:sz w:val="20"/>
                <w:szCs w:val="20"/>
                <w:color w:val="auto"/>
              </w:rPr>
            </w:pPr>
            <w:r>
              <w:rPr>
                <w:rFonts w:ascii="Arial" w:cs="Arial" w:eastAsia="Arial" w:hAnsi="Arial"/>
                <w:sz w:val="18"/>
                <w:szCs w:val="18"/>
                <w:color w:val="auto"/>
              </w:rPr>
              <w:t>Inmarsat Turkey Telekom</w:t>
            </w:r>
            <w:r>
              <w:rPr>
                <w:rFonts w:ascii="Arial" w:cs="Arial" w:eastAsia="Arial" w:hAnsi="Arial"/>
                <w:sz w:val="19"/>
                <w:szCs w:val="19"/>
                <w:color w:val="auto"/>
              </w:rPr>
              <w:t>ü</w:t>
            </w:r>
            <w:r>
              <w:rPr>
                <w:rFonts w:ascii="Arial" w:cs="Arial" w:eastAsia="Arial" w:hAnsi="Arial"/>
                <w:sz w:val="18"/>
                <w:szCs w:val="18"/>
                <w:color w:val="auto"/>
              </w:rPr>
              <w:t>nikasyon Limited Sirketi</w:t>
            </w:r>
          </w:p>
        </w:tc>
        <w:tc>
          <w:tcPr>
            <w:tcW w:w="5780" w:type="dxa"/>
            <w:vAlign w:val="bottom"/>
          </w:tcPr>
          <w:p>
            <w:pPr>
              <w:ind w:left="160"/>
              <w:spacing w:after="0"/>
              <w:rPr>
                <w:sz w:val="20"/>
                <w:szCs w:val="20"/>
                <w:color w:val="auto"/>
              </w:rPr>
            </w:pPr>
            <w:r>
              <w:rPr>
                <w:rFonts w:ascii="Arial" w:cs="Arial" w:eastAsia="Arial" w:hAnsi="Arial"/>
                <w:sz w:val="18"/>
                <w:szCs w:val="18"/>
                <w:color w:val="auto"/>
              </w:rPr>
              <w:t>Turkey</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Inmarsat Ventures SE</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Intelie Solucoes em Informatica S.A.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Intelie,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IOM Licensing Holding Company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Isle of Man</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ISAT Global Xpress OOO</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Russian Federation</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ISAT US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JSAT Mobile Communications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Japan</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LandTel Communications, L.L.C.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(LA)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LandTel,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mmWaveBroadband Co.</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Munaicom LLP</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Kazakhstan</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Navario (UK)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Orgtec, S. de R.L.de C.V.</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PT ISAT</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PT Viasat Communications Indonesia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Indonesia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 Net Middle East L.L.C.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Oman</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 Net Qatar W.L.L</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Qatar</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Angola, Limitada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Angola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AP Facilities &amp; Services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Nigeria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AS</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Norway</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Australia Pty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BRN Sdn Bhd.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Brunei</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de México, S de R.L. de C.V.</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Ghana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Ghana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Global Holdings S.a.r.l.</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Holdings, LLC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Luxembourg Holdings S.a.r.l.</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Middle East - FZE</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Mobile Solutions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Scotland</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Mozambique, Limitada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Mozambique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Newco,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Pte Ltd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Sdn. Bhd.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Serviços de Telecomunicações Brasil, Ltda.</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UK Holdings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Scotland</w:t>
            </w:r>
          </w:p>
        </w:tc>
      </w:tr>
      <w:tr>
        <w:trPr>
          <w:trHeight w:val="202"/>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 UK Limited</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Scotland</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RigNet(CA), Inc.</w:t>
            </w:r>
          </w:p>
        </w:tc>
        <w:tc>
          <w:tcPr>
            <w:tcW w:w="5780" w:type="dxa"/>
            <w:vAlign w:val="bottom"/>
          </w:tcPr>
          <w:p>
            <w:pPr>
              <w:ind w:left="160"/>
              <w:spacing w:after="0" w:line="202" w:lineRule="exact"/>
              <w:rPr>
                <w:sz w:val="20"/>
                <w:szCs w:val="20"/>
                <w:color w:val="auto"/>
              </w:rPr>
            </w:pPr>
            <w:r>
              <w:rPr>
                <w:rFonts w:ascii="Arial" w:cs="Arial" w:eastAsia="Arial" w:hAnsi="Arial"/>
                <w:sz w:val="18"/>
                <w:szCs w:val="18"/>
                <w:color w:val="auto"/>
              </w:rPr>
              <w:t>Canada</w:t>
            </w:r>
          </w:p>
        </w:tc>
      </w:tr>
      <w:tr>
        <w:trPr>
          <w:trHeight w:val="239"/>
        </w:trPr>
        <w:tc>
          <w:tcPr>
            <w:tcW w:w="5460" w:type="dxa"/>
            <w:vAlign w:val="bottom"/>
          </w:tcPr>
          <w:p>
            <w:pPr>
              <w:spacing w:after="0"/>
              <w:rPr>
                <w:sz w:val="20"/>
                <w:szCs w:val="20"/>
                <w:color w:val="auto"/>
              </w:rPr>
            </w:pPr>
            <w:r>
              <w:rPr>
                <w:rFonts w:ascii="Arial" w:cs="Arial" w:eastAsia="Arial" w:hAnsi="Arial"/>
                <w:sz w:val="18"/>
                <w:szCs w:val="18"/>
                <w:color w:val="auto"/>
              </w:rPr>
              <w:t>RigNet, Inc.</w:t>
            </w:r>
          </w:p>
        </w:tc>
        <w:tc>
          <w:tcPr>
            <w:tcW w:w="5780" w:type="dxa"/>
            <w:vAlign w:val="bottom"/>
          </w:tcPr>
          <w:p>
            <w:pPr>
              <w:ind w:left="160"/>
              <w:spacing w:after="0"/>
              <w:rPr>
                <w:sz w:val="20"/>
                <w:szCs w:val="20"/>
                <w:color w:val="auto"/>
              </w:rPr>
            </w:pPr>
            <w:r>
              <w:rPr>
                <w:rFonts w:ascii="Arial" w:cs="Arial" w:eastAsia="Arial" w:hAnsi="Arial"/>
                <w:sz w:val="18"/>
                <w:szCs w:val="18"/>
                <w:color w:val="auto"/>
              </w:rPr>
              <w:t>United States (DE)</w:t>
            </w:r>
          </w:p>
        </w:tc>
      </w:tr>
      <w:tr>
        <w:trPr>
          <w:trHeight w:val="1394"/>
        </w:trPr>
        <w:tc>
          <w:tcPr>
            <w:tcW w:w="54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20"/>
                <w:szCs w:val="20"/>
                <w:color w:val="auto"/>
              </w:rPr>
            </w:pPr>
            <w:r>
              <w:rPr>
                <w:rFonts w:ascii="Arial" w:cs="Arial" w:eastAsia="Arial" w:hAnsi="Arial"/>
                <w:sz w:val="18"/>
                <w:szCs w:val="18"/>
                <w:color w:val="auto"/>
              </w:rPr>
              <w:t>RigNet, Inc. (Limited Liability One Person Company)</w:t>
            </w:r>
          </w:p>
        </w:tc>
        <w:tc>
          <w:tcPr>
            <w:tcW w:w="5820" w:type="dxa"/>
            <w:vAlign w:val="bottom"/>
          </w:tcPr>
          <w:p>
            <w:pPr>
              <w:ind w:left="200"/>
              <w:spacing w:after="0"/>
              <w:rPr>
                <w:sz w:val="20"/>
                <w:szCs w:val="20"/>
                <w:color w:val="auto"/>
              </w:rPr>
            </w:pPr>
            <w:r>
              <w:rPr>
                <w:rFonts w:ascii="Arial" w:cs="Arial" w:eastAsia="Arial" w:hAnsi="Arial"/>
                <w:sz w:val="18"/>
                <w:szCs w:val="18"/>
                <w:color w:val="auto"/>
              </w:rPr>
              <w:t>Saudi Arabia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RNSAT Servicios de México, S. de R.L. de C.V.</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Safety Controls, Inc.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(LA)</w:t>
            </w:r>
          </w:p>
        </w:tc>
      </w:tr>
      <w:tr>
        <w:trPr>
          <w:trHeight w:val="202"/>
        </w:trPr>
        <w:tc>
          <w:tcPr>
            <w:tcW w:w="5420" w:type="dxa"/>
            <w:vAlign w:val="bottom"/>
          </w:tcPr>
          <w:p>
            <w:pPr>
              <w:spacing w:after="0" w:line="202" w:lineRule="exact"/>
              <w:rPr>
                <w:sz w:val="20"/>
                <w:szCs w:val="20"/>
                <w:color w:val="auto"/>
              </w:rPr>
            </w:pPr>
            <w:r>
              <w:rPr>
                <w:rFonts w:ascii="Arial" w:cs="Arial" w:eastAsia="Arial" w:hAnsi="Arial"/>
                <w:sz w:val="18"/>
                <w:szCs w:val="18"/>
                <w:color w:val="auto"/>
              </w:rPr>
              <w:t>Shabakat Rafedain AI Iraq AI Jadeed for Trade in Communication</w:t>
            </w:r>
          </w:p>
        </w:tc>
        <w:tc>
          <w:tcPr>
            <w:tcW w:w="5820" w:type="dxa"/>
            <w:vAlign w:val="bottom"/>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Equipment and Devices LLC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Iraq</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Skylogic d.o.o.</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Croatia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Skylogic Espana S.L.U.</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Skylogic Eurasia İletişim Sanayi ve Ticaret Ltd. Şti</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Skylogic Finland OY</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Finland</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Skylogic France SAS</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France</w:t>
            </w:r>
          </w:p>
        </w:tc>
      </w:tr>
      <w:tr>
        <w:trPr>
          <w:trHeight w:val="199"/>
        </w:trPr>
        <w:tc>
          <w:tcPr>
            <w:tcW w:w="5420" w:type="dxa"/>
            <w:vAlign w:val="bottom"/>
          </w:tcPr>
          <w:p>
            <w:pPr>
              <w:spacing w:after="0" w:line="199" w:lineRule="exact"/>
              <w:rPr>
                <w:sz w:val="20"/>
                <w:szCs w:val="20"/>
                <w:color w:val="auto"/>
              </w:rPr>
            </w:pPr>
            <w:r>
              <w:rPr>
                <w:rFonts w:ascii="Arial" w:cs="Arial" w:eastAsia="Arial" w:hAnsi="Arial"/>
                <w:sz w:val="18"/>
                <w:szCs w:val="18"/>
                <w:color w:val="auto"/>
              </w:rPr>
              <w:t>Skylogic Germany GmbH</w:t>
            </w:r>
          </w:p>
        </w:tc>
        <w:tc>
          <w:tcPr>
            <w:tcW w:w="5820" w:type="dxa"/>
            <w:vAlign w:val="bottom"/>
          </w:tcPr>
          <w:p>
            <w:pPr>
              <w:ind w:left="200"/>
              <w:spacing w:after="0" w:line="199" w:lineRule="exact"/>
              <w:rPr>
                <w:sz w:val="20"/>
                <w:szCs w:val="20"/>
                <w:color w:val="auto"/>
              </w:rPr>
            </w:pPr>
            <w:r>
              <w:rPr>
                <w:rFonts w:ascii="Arial" w:cs="Arial" w:eastAsia="Arial" w:hAnsi="Arial"/>
                <w:sz w:val="18"/>
                <w:szCs w:val="18"/>
                <w:color w:val="auto"/>
              </w:rPr>
              <w:t>Germany</w:t>
            </w:r>
          </w:p>
        </w:tc>
      </w:tr>
      <w:tr>
        <w:trPr>
          <w:trHeight w:val="233"/>
        </w:trPr>
        <w:tc>
          <w:tcPr>
            <w:tcW w:w="5420" w:type="dxa"/>
            <w:vAlign w:val="bottom"/>
          </w:tcPr>
          <w:p>
            <w:pPr>
              <w:spacing w:after="0"/>
              <w:rPr>
                <w:sz w:val="20"/>
                <w:szCs w:val="20"/>
                <w:color w:val="auto"/>
              </w:rPr>
            </w:pPr>
            <w:r>
              <w:rPr>
                <w:rFonts w:ascii="Arial" w:cs="Arial" w:eastAsia="Arial" w:hAnsi="Arial"/>
                <w:sz w:val="18"/>
                <w:szCs w:val="18"/>
                <w:color w:val="auto"/>
              </w:rPr>
              <w:t>Skylogic Hellas Ε.Π.Ε</w:t>
            </w:r>
            <w:r>
              <w:rPr>
                <w:rFonts w:ascii="Times New Roman" w:cs="Times New Roman" w:eastAsia="Times New Roman" w:hAnsi="Times New Roman"/>
                <w:sz w:val="19"/>
                <w:szCs w:val="19"/>
                <w:color w:val="auto"/>
              </w:rPr>
              <w:t>.</w:t>
            </w:r>
          </w:p>
        </w:tc>
        <w:tc>
          <w:tcPr>
            <w:tcW w:w="5820" w:type="dxa"/>
            <w:vAlign w:val="bottom"/>
          </w:tcPr>
          <w:p>
            <w:pPr>
              <w:ind w:left="200"/>
              <w:spacing w:after="0"/>
              <w:rPr>
                <w:sz w:val="20"/>
                <w:szCs w:val="20"/>
                <w:color w:val="auto"/>
              </w:rPr>
            </w:pPr>
            <w:r>
              <w:rPr>
                <w:rFonts w:ascii="Arial" w:cs="Arial" w:eastAsia="Arial" w:hAnsi="Arial"/>
                <w:sz w:val="18"/>
                <w:szCs w:val="18"/>
                <w:color w:val="auto"/>
              </w:rPr>
              <w:t>Greece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Stratos Government Services, Inc.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SuperSatcom Pte. Ltd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TrellisWare Technologies, Inc.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V3 Tanzania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Tanzania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(Cambodia) Co., Ltd.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Cambodia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(IOM)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Isle of Man</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Antenna Systems S.A.</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APAC Holdings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Australia Pty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Australia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Brasil Participações Ltda.</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Brasil Serviços de Comunicações Ltda.</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Brazil</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Broadband Holdings B.V.</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Netherlands</w:t>
            </w:r>
          </w:p>
        </w:tc>
      </w:tr>
      <w:tr>
        <w:trPr>
          <w:trHeight w:val="202"/>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Cambodia Holdings Pte. Ltd.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Singapore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Canada Corp.</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Canada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Carrier Services, Inc.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China Services, Inc.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Colombia S.A.S</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Colombia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DRC S.A.U.</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Democratic Republic of the Congo</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Germany GmbH</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India Private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Italy S.r.l.</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Italy</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Ltd.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Ghana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Middle East L.L.C.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Arab Emirates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Panama, S.A</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Republic of Panama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Uganda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Uganda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Communications UK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England and Wales</w:t>
            </w:r>
          </w:p>
        </w:tc>
      </w:tr>
      <w:tr>
        <w:trPr>
          <w:trHeight w:val="202"/>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Europe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Ireland</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Europe Sàrl</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Germany GmbH</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Germany</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Global Holdings, LLC</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Guatemala SA</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Guatemala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Honduras, S. de R.L.</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Honduras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Ibérica, S.L..</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Spain</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India Private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India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Israel Ltd.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Israel</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Viasat Italy S.r.l.</w:t>
            </w:r>
          </w:p>
        </w:tc>
        <w:tc>
          <w:tcPr>
            <w:tcW w:w="5820" w:type="dxa"/>
            <w:vAlign w:val="bottom"/>
          </w:tcPr>
          <w:p>
            <w:pPr>
              <w:ind w:left="200"/>
              <w:spacing w:after="0"/>
              <w:rPr>
                <w:sz w:val="20"/>
                <w:szCs w:val="20"/>
                <w:color w:val="auto"/>
              </w:rPr>
            </w:pPr>
            <w:r>
              <w:rPr>
                <w:rFonts w:ascii="Arial" w:cs="Arial" w:eastAsia="Arial" w:hAnsi="Arial"/>
                <w:sz w:val="18"/>
                <w:szCs w:val="18"/>
                <w:color w:val="auto"/>
              </w:rPr>
              <w:t>Italy</w:t>
            </w:r>
          </w:p>
        </w:tc>
      </w:tr>
      <w:tr>
        <w:trPr>
          <w:trHeight w:val="229"/>
        </w:trPr>
        <w:tc>
          <w:tcPr>
            <w:tcW w:w="5420" w:type="dxa"/>
            <w:vAlign w:val="bottom"/>
          </w:tcPr>
          <w:p>
            <w:pPr>
              <w:spacing w:after="0" w:line="219" w:lineRule="exact"/>
              <w:rPr>
                <w:sz w:val="20"/>
                <w:szCs w:val="20"/>
                <w:color w:val="auto"/>
              </w:rPr>
            </w:pPr>
            <w:r>
              <w:rPr>
                <w:rFonts w:ascii="Arial" w:cs="Arial" w:eastAsia="Arial" w:hAnsi="Arial"/>
                <w:sz w:val="18"/>
                <w:szCs w:val="18"/>
                <w:color w:val="auto"/>
              </w:rPr>
              <w:t xml:space="preserve">Viasat Japan </w:t>
            </w:r>
            <w:r>
              <w:rPr>
                <w:rFonts w:ascii="SimSun" w:cs="SimSun" w:eastAsia="SimSun" w:hAnsi="SimSun"/>
                <w:sz w:val="18"/>
                <w:szCs w:val="18"/>
                <w:color w:val="auto"/>
              </w:rPr>
              <w:t>合同会社</w:t>
            </w:r>
            <w:r>
              <w:rPr>
                <w:rFonts w:ascii="Arial" w:cs="Arial" w:eastAsia="Arial" w:hAnsi="Arial"/>
                <w:sz w:val="18"/>
                <w:szCs w:val="18"/>
                <w:color w:val="auto"/>
              </w:rPr>
              <w:t xml:space="preserve"> (Viasat Japan G.K.).</w:t>
            </w:r>
          </w:p>
        </w:tc>
        <w:tc>
          <w:tcPr>
            <w:tcW w:w="5820" w:type="dxa"/>
            <w:vAlign w:val="bottom"/>
          </w:tcPr>
          <w:p>
            <w:pPr>
              <w:ind w:left="200"/>
              <w:spacing w:after="0"/>
              <w:rPr>
                <w:sz w:val="20"/>
                <w:szCs w:val="20"/>
                <w:color w:val="auto"/>
              </w:rPr>
            </w:pPr>
            <w:r>
              <w:rPr>
                <w:rFonts w:ascii="Arial" w:cs="Arial" w:eastAsia="Arial" w:hAnsi="Arial"/>
                <w:sz w:val="18"/>
                <w:szCs w:val="18"/>
                <w:color w:val="auto"/>
              </w:rPr>
              <w:t>Japan</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Kenya Holdings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Kenya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Kenya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Kenya Operations Limited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Kenya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Malaysia Sdn. Bhd.</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Malaysia</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Viasat Mali-Sarl</w:t>
            </w: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Mali</w:t>
            </w:r>
          </w:p>
        </w:tc>
      </w:tr>
      <w:tr>
        <w:trPr>
          <w:trHeight w:val="239"/>
        </w:trPr>
        <w:tc>
          <w:tcPr>
            <w:tcW w:w="5420" w:type="dxa"/>
            <w:vAlign w:val="bottom"/>
          </w:tcPr>
          <w:p>
            <w:pPr>
              <w:spacing w:after="0"/>
              <w:rPr>
                <w:sz w:val="20"/>
                <w:szCs w:val="20"/>
                <w:color w:val="auto"/>
              </w:rPr>
            </w:pPr>
            <w:r>
              <w:rPr>
                <w:rFonts w:ascii="Arial" w:cs="Arial" w:eastAsia="Arial" w:hAnsi="Arial"/>
                <w:sz w:val="18"/>
                <w:szCs w:val="18"/>
                <w:color w:val="auto"/>
              </w:rPr>
              <w:t>Viasat Mozambique, LDA</w:t>
            </w:r>
          </w:p>
        </w:tc>
        <w:tc>
          <w:tcPr>
            <w:tcW w:w="5820" w:type="dxa"/>
            <w:vAlign w:val="bottom"/>
          </w:tcPr>
          <w:p>
            <w:pPr>
              <w:ind w:left="200"/>
              <w:spacing w:after="0"/>
              <w:rPr>
                <w:sz w:val="20"/>
                <w:szCs w:val="20"/>
                <w:color w:val="auto"/>
              </w:rPr>
            </w:pPr>
            <w:r>
              <w:rPr>
                <w:rFonts w:ascii="Arial" w:cs="Arial" w:eastAsia="Arial" w:hAnsi="Arial"/>
                <w:sz w:val="18"/>
                <w:szCs w:val="18"/>
                <w:color w:val="auto"/>
              </w:rPr>
              <w:t>Mozambique</w:t>
            </w:r>
          </w:p>
        </w:tc>
      </w:tr>
      <w:tr>
        <w:trPr>
          <w:trHeight w:val="1394"/>
        </w:trPr>
        <w:tc>
          <w:tcPr>
            <w:tcW w:w="54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20"/>
                <w:szCs w:val="20"/>
                <w:color w:val="auto"/>
              </w:rPr>
            </w:pPr>
            <w:r>
              <w:rPr>
                <w:rFonts w:ascii="Arial" w:cs="Arial" w:eastAsia="Arial" w:hAnsi="Arial"/>
                <w:sz w:val="18"/>
                <w:szCs w:val="18"/>
                <w:color w:val="auto"/>
              </w:rPr>
              <w:t>Viasat Netherlands B.V.</w:t>
            </w:r>
          </w:p>
        </w:tc>
        <w:tc>
          <w:tcPr>
            <w:tcW w:w="6260" w:type="dxa"/>
            <w:vAlign w:val="bottom"/>
          </w:tcPr>
          <w:p>
            <w:pPr>
              <w:ind w:left="640"/>
              <w:spacing w:after="0"/>
              <w:rPr>
                <w:sz w:val="20"/>
                <w:szCs w:val="20"/>
                <w:color w:val="auto"/>
              </w:rPr>
            </w:pPr>
            <w:r>
              <w:rPr>
                <w:rFonts w:ascii="Arial" w:cs="Arial" w:eastAsia="Arial" w:hAnsi="Arial"/>
                <w:sz w:val="18"/>
                <w:szCs w:val="18"/>
                <w:color w:val="auto"/>
              </w:rPr>
              <w:t>Netherlands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Nigeria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Nigeria</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Peru S.R.L.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Peru</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Polska LLC sp. z o.o..</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Poland</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RDC Sarl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Democratic Republic of the Congo</w:t>
            </w:r>
          </w:p>
        </w:tc>
      </w:tr>
      <w:tr>
        <w:trPr>
          <w:trHeight w:val="202"/>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Rwanda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Rwanda</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Satellite Holdings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Satellite Ventures Holdings Luxembourg S.à.r.l.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Luxembourg</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Senegal SUARL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Senegal</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Services Holding Co.</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South Africa (Pty) Ltd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South Africa</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South Africa Holdings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Tchad Sarl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Chad</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Technologies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Tecnologia, S.A. de C.V</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Mexico</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UK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VS3 Holdings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West Africa Holdings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England and Wales</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Worldwide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Viasat Zambia Limited</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Zambia</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VParent, Inc.</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United States (DE)</w:t>
            </w: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VS3 MOROCCO (SARL)</w:t>
            </w:r>
          </w:p>
        </w:tc>
        <w:tc>
          <w:tcPr>
            <w:tcW w:w="6260" w:type="dxa"/>
            <w:vAlign w:val="bottom"/>
          </w:tcPr>
          <w:p>
            <w:pPr>
              <w:ind w:left="640"/>
              <w:spacing w:after="0" w:line="202" w:lineRule="exact"/>
              <w:rPr>
                <w:sz w:val="20"/>
                <w:szCs w:val="20"/>
                <w:color w:val="auto"/>
              </w:rPr>
            </w:pPr>
            <w:r>
              <w:rPr>
                <w:rFonts w:ascii="Arial" w:cs="Arial" w:eastAsia="Arial" w:hAnsi="Arial"/>
                <w:sz w:val="18"/>
                <w:szCs w:val="18"/>
                <w:color w:val="auto"/>
              </w:rPr>
              <w:t>Morocco</w:t>
            </w:r>
          </w:p>
        </w:tc>
      </w:tr>
      <w:tr>
        <w:trPr>
          <w:trHeight w:val="239"/>
        </w:trPr>
        <w:tc>
          <w:tcPr>
            <w:tcW w:w="4980" w:type="dxa"/>
            <w:vAlign w:val="bottom"/>
          </w:tcPr>
          <w:p>
            <w:pPr>
              <w:spacing w:after="0"/>
              <w:rPr>
                <w:sz w:val="20"/>
                <w:szCs w:val="20"/>
                <w:color w:val="auto"/>
              </w:rPr>
            </w:pPr>
            <w:r>
              <w:rPr>
                <w:rFonts w:ascii="Arial" w:cs="Arial" w:eastAsia="Arial" w:hAnsi="Arial"/>
                <w:sz w:val="18"/>
                <w:szCs w:val="18"/>
                <w:color w:val="auto"/>
              </w:rPr>
              <w:t>VService, Inc.</w:t>
            </w:r>
          </w:p>
        </w:tc>
        <w:tc>
          <w:tcPr>
            <w:tcW w:w="6260" w:type="dxa"/>
            <w:vAlign w:val="bottom"/>
          </w:tcPr>
          <w:p>
            <w:pPr>
              <w:ind w:left="640"/>
              <w:spacing w:after="0"/>
              <w:rPr>
                <w:sz w:val="20"/>
                <w:szCs w:val="20"/>
                <w:color w:val="auto"/>
              </w:rPr>
            </w:pPr>
            <w:r>
              <w:rPr>
                <w:rFonts w:ascii="Arial" w:cs="Arial" w:eastAsia="Arial" w:hAnsi="Arial"/>
                <w:sz w:val="18"/>
                <w:szCs w:val="18"/>
                <w:color w:val="auto"/>
              </w:rPr>
              <w:t>United States (DE)</w:t>
            </w:r>
          </w:p>
        </w:tc>
      </w:tr>
      <w:tr>
        <w:trPr>
          <w:trHeight w:val="1393"/>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7" w:name="page198"/>
    <w:bookmarkEnd w:id="197"/>
    <w:p>
      <w:pPr>
        <w:spacing w:after="0" w:line="1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333-273273, 333-273274, and 333-273275) and Form S-8 (File Nos. 333-21113, 333-40396, 333-67010, 333-68757, 333-109959, 333-131382, 333-153828, 333-159708, 333-160361, 333-167379, 333-169593, 333-182015, 333-184029, 333-191326, 333-204440, 333-207064, 333-220556, 333-228221, 333-231791, 333-234634, 333-249941, 333-255690, 333-256652, 333-260249, 333-268281, 333-272129, 333-275464, 333-279804 and 333-282041) of Viasat, Inc. of our report dated May 23,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rPr>
          <w:sz w:val="20"/>
          <w:szCs w:val="20"/>
          <w:color w:val="auto"/>
        </w:rPr>
      </w:pPr>
      <w:r>
        <w:rPr>
          <w:rFonts w:ascii="Arial" w:cs="Arial" w:eastAsia="Arial" w:hAnsi="Arial"/>
          <w:sz w:val="18"/>
          <w:szCs w:val="18"/>
          <w:color w:val="auto"/>
        </w:rPr>
        <w:t>May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1330960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ind w:left="1020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2025</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Dankberg</w:t>
      </w: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99" w:name="page200"/>
    <w:bookmarkEnd w:id="199"/>
    <w:p>
      <w:pPr>
        <w:ind w:left="1020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spacing w:after="0" w:line="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Garrett Chase,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2025</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ARRETT</w:t>
      </w:r>
      <w:r>
        <w:rPr>
          <w:rFonts w:ascii="Arial" w:cs="Arial" w:eastAsia="Arial" w:hAnsi="Arial"/>
          <w:sz w:val="18"/>
          <w:szCs w:val="18"/>
          <w:color w:val="auto"/>
        </w:rPr>
        <w:t xml:space="preserve"> C</w:t>
      </w:r>
      <w:r>
        <w:rPr>
          <w:rFonts w:ascii="Arial" w:cs="Arial" w:eastAsia="Arial" w:hAnsi="Arial"/>
          <w:sz w:val="13"/>
          <w:szCs w:val="13"/>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Garrett Chase</w:t>
      </w: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00" w:name="page201"/>
    <w:bookmarkEnd w:id="200"/>
    <w:p>
      <w:pPr>
        <w:ind w:left="10200"/>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jc w:val="both"/>
        <w:ind w:left="520" w:right="100" w:firstLine="506"/>
        <w:spacing w:after="0" w:line="253" w:lineRule="auto"/>
        <w:tabs>
          <w:tab w:leader="none" w:pos="129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2025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520" w:right="820" w:firstLine="506"/>
        <w:spacing w:after="0" w:line="271" w:lineRule="auto"/>
        <w:tabs>
          <w:tab w:leader="none" w:pos="129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2025</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Dankberg</w:t>
      </w:r>
    </w:p>
    <w:p>
      <w:pPr>
        <w:ind w:left="67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jc w:val="both"/>
        <w:ind w:left="520" w:right="100" w:firstLine="506"/>
        <w:spacing w:after="0" w:line="253" w:lineRule="auto"/>
        <w:tabs>
          <w:tab w:leader="none" w:pos="129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2025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520" w:right="820" w:firstLine="506"/>
        <w:spacing w:after="0" w:line="271" w:lineRule="auto"/>
        <w:tabs>
          <w:tab w:leader="none" w:pos="129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2025</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G</w:t>
      </w:r>
      <w:r>
        <w:rPr>
          <w:rFonts w:ascii="Arial" w:cs="Arial" w:eastAsia="Arial" w:hAnsi="Arial"/>
          <w:sz w:val="13"/>
          <w:szCs w:val="13"/>
          <w:color w:val="auto"/>
        </w:rPr>
        <w:t>ARRETT</w:t>
      </w:r>
      <w:r>
        <w:rPr>
          <w:rFonts w:ascii="Arial" w:cs="Arial" w:eastAsia="Arial" w:hAnsi="Arial"/>
          <w:sz w:val="18"/>
          <w:szCs w:val="18"/>
          <w:color w:val="auto"/>
        </w:rPr>
        <w:t xml:space="preserve"> C</w:t>
      </w:r>
      <w:r>
        <w:rPr>
          <w:rFonts w:ascii="Arial" w:cs="Arial" w:eastAsia="Arial" w:hAnsi="Arial"/>
          <w:sz w:val="13"/>
          <w:szCs w:val="13"/>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8890</wp:posOffset>
            </wp:positionV>
            <wp:extent cx="284607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Garrett Chase</w:t>
      </w: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1" w:name="page202"/>
    <w:bookmarkEnd w:id="2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lvl w:ilvl="1">
      <w:lvlJc w:val="left"/>
      <w:lvlText w:val="\emdash "/>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1)"/>
      <w:numFmt w:val="decimal"/>
      <w:start w:val="2"/>
    </w:lvl>
  </w:abstractNum>
  <w:abstractNum w:abstractNumId="24">
    <w:nsid w:val="3B0FD379"/>
    <w:multiLevelType w:val="hybridMultilevel"/>
    <w:lvl w:ilvl="0">
      <w:lvlJc w:val="left"/>
      <w:lvlText w:val="$"/>
      <w:numFmt w:val="bullet"/>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lowerLetter"/>
      <w:start w:val="1"/>
    </w:lvl>
    <w:lvl w:ilvl="1">
      <w:lvlJc w:val="left"/>
      <w:lvlText w:val="(%2)"/>
      <w:numFmt w:val="decimal"/>
      <w:start w:val="1"/>
    </w:lvl>
  </w:abstractNum>
  <w:abstractNum w:abstractNumId="30">
    <w:nsid w:val="7FFFCA11"/>
    <w:multiLevelType w:val="hybridMultilevel"/>
    <w:lvl w:ilvl="0">
      <w:lvlJc w:val="left"/>
      <w:lvlText w:val="(%1)"/>
      <w:numFmt w:val="decimal"/>
      <w:start w:val="2"/>
    </w:lvl>
  </w:abstractNum>
  <w:abstractNum w:abstractNumId="31">
    <w:nsid w:val="1A27709E"/>
    <w:multiLevelType w:val="hybridMultilevel"/>
    <w:lvl w:ilvl="0">
      <w:lvlJc w:val="left"/>
      <w:lvlText w:val="(%1)"/>
      <w:numFmt w:val="decimal"/>
      <w:start w:val="3"/>
    </w:lvl>
  </w:abstractNum>
  <w:abstractNum w:abstractNumId="32">
    <w:nsid w:val="71EA1109"/>
    <w:multiLevelType w:val="hybridMultilevel"/>
    <w:lvl w:ilvl="0">
      <w:lvlJc w:val="left"/>
      <w:lvlText w:val="%1"/>
      <w:numFmt w:val="decimal"/>
      <w:start w:val="19"/>
    </w:lvl>
  </w:abstractNum>
  <w:abstractNum w:abstractNumId="33">
    <w:nsid w:val="100F59DC"/>
    <w:multiLevelType w:val="hybridMultilevel"/>
    <w:lvl w:ilvl="0">
      <w:lvlJc w:val="left"/>
      <w:lvlText w:val="%1"/>
      <w:numFmt w:val="decimal"/>
      <w:start w:val="97"/>
    </w:lvl>
  </w:abstractNum>
  <w:abstractNum w:abstractNumId="34">
    <w:nsid w:val="7FB7E0AA"/>
    <w:multiLevelType w:val="hybridMultilevel"/>
    <w:lvl w:ilvl="0">
      <w:lvlJc w:val="left"/>
      <w:lvlText w:val="%1"/>
      <w:numFmt w:val="decimal"/>
      <w:start w:val="104"/>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1)"/>
      <w:numFmt w:val="lowerLetter"/>
      <w:start w:val="16"/>
    </w:lvl>
  </w:abstractNum>
  <w:abstractNum w:abstractNumId="37">
    <w:nsid w:val="94211F2"/>
    <w:multiLevelType w:val="hybridMultilevel"/>
    <w:lvl w:ilvl="0">
      <w:lvlJc w:val="left"/>
      <w:lvlText w:val="(%1)"/>
      <w:numFmt w:val="decimal"/>
      <w:start w:val="2"/>
    </w:lvl>
  </w:abstractNum>
  <w:abstractNum w:abstractNumId="38">
    <w:nsid w:val="885E1B"/>
    <w:multiLevelType w:val="hybridMultilevel"/>
    <w:lvl w:ilvl="0">
      <w:lvlJc w:val="left"/>
      <w:lvlText w:val="%1."/>
      <w:numFmt w:val="decimal"/>
      <w:start w:val="842"/>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lowerLetter"/>
      <w:start w:val="1"/>
    </w:lvl>
  </w:abstractNum>
  <w:abstractNum w:abstractNumId="47">
    <w:nsid w:val="46B7D447"/>
    <w:multiLevelType w:val="hybridMultilevel"/>
    <w:lvl w:ilvl="0">
      <w:lvlJc w:val="left"/>
      <w:lvlText w:val="(%1)"/>
      <w:numFmt w:val="lowerLetter"/>
      <w:start w:val="2"/>
    </w:lvl>
    <w:lvl w:ilvl="1">
      <w:lvlJc w:val="left"/>
      <w:lvlText w:val="(%2)"/>
      <w:numFmt w:val="lowerRoman"/>
      <w:start w:val="1"/>
    </w:lvl>
  </w:abstractNum>
  <w:abstractNum w:abstractNumId="48">
    <w:nsid w:val="4A2AC315"/>
    <w:multiLevelType w:val="hybridMultilevel"/>
    <w:lvl w:ilvl="0">
      <w:lvlJc w:val="left"/>
      <w:lvlText w:val="(%1)"/>
      <w:numFmt w:val="lowerLetter"/>
      <w:start w:val="4"/>
    </w:lvl>
  </w:abstractNum>
  <w:abstractNum w:abstractNumId="49">
    <w:nsid w:val="39EE015C"/>
    <w:multiLevelType w:val="hybridMultilevel"/>
    <w:lvl w:ilvl="0">
      <w:lvlJc w:val="left"/>
      <w:lvlText w:val="%1."/>
      <w:numFmt w:val="decimal"/>
      <w:start w:val="2"/>
    </w:lvl>
  </w:abstractNum>
  <w:abstractNum w:abstractNumId="50">
    <w:nsid w:val="57FC4FBB"/>
    <w:multiLevelType w:val="hybridMultilevel"/>
    <w:lvl w:ilvl="0">
      <w:lvlJc w:val="left"/>
      <w:lvlText w:val="(%1)"/>
      <w:numFmt w:val="lowerLetter"/>
      <w:start w:val="1"/>
    </w:lvl>
  </w:abstractNum>
  <w:abstractNum w:abstractNumId="51">
    <w:nsid w:val="CC1016F"/>
    <w:multiLevelType w:val="hybridMultilevel"/>
    <w:lvl w:ilvl="0">
      <w:lvlJc w:val="left"/>
      <w:lvlText w:val="(%1)"/>
      <w:numFmt w:val="lowerRoman"/>
      <w:start w:val="1"/>
    </w:lvl>
  </w:abstractNum>
  <w:abstractNum w:abstractNumId="52">
    <w:nsid w:val="43F18422"/>
    <w:multiLevelType w:val="hybridMultilevel"/>
    <w:lvl w:ilvl="0">
      <w:lvlJc w:val="left"/>
      <w:lvlText w:val="(%1)"/>
      <w:numFmt w:val="lowerRoman"/>
      <w:start w:val="5"/>
    </w:lvl>
    <w:lvl w:ilvl="1">
      <w:lvlJc w:val="left"/>
      <w:lvlText w:val="%2."/>
      <w:numFmt w:val="lowerRoman"/>
      <w:start w:val="1"/>
    </w:lvl>
    <w:lvl w:ilvl="2">
      <w:lvlJc w:val="left"/>
      <w:lvlText w:val="(%3)"/>
      <w:numFmt w:val="decimal"/>
      <w:start w:val="12"/>
    </w:lvl>
  </w:abstractNum>
  <w:abstractNum w:abstractNumId="53">
    <w:nsid w:val="60EF0119"/>
    <w:multiLevelType w:val="hybridMultilevel"/>
    <w:lvl w:ilvl="0">
      <w:lvlJc w:val="left"/>
      <w:lvlText w:val="(%1)"/>
      <w:numFmt w:val="lowerRoman"/>
      <w:start w:val="6"/>
    </w:lvl>
  </w:abstractNum>
  <w:abstractNum w:abstractNumId="54">
    <w:nsid w:val="26F324BA"/>
    <w:multiLevelType w:val="hybridMultilevel"/>
    <w:lvl w:ilvl="0">
      <w:lvlJc w:val="left"/>
      <w:lvlText w:val="%1"/>
      <w:numFmt w:val="lowerLetter"/>
      <w:start w:val="1"/>
    </w:lvl>
    <w:lvl w:ilvl="1">
      <w:lvlJc w:val="left"/>
      <w:lvlText w:val="%2."/>
      <w:numFmt w:val="lowerRoman"/>
      <w:start w:val="2"/>
    </w:lvl>
  </w:abstractNum>
  <w:abstractNum w:abstractNumId="55">
    <w:nsid w:val="7F01579B"/>
    <w:multiLevelType w:val="hybridMultilevel"/>
    <w:lvl w:ilvl="0">
      <w:lvlJc w:val="left"/>
      <w:lvlText w:val="(%1)"/>
      <w:numFmt w:val="lowerLetter"/>
      <w:start w:val="3"/>
    </w:lvl>
    <w:lvl w:ilvl="1">
      <w:lvlJc w:val="left"/>
      <w:lvlText w:val="%2"/>
      <w:numFmt w:val="lowerRoman"/>
      <w:start w:val="1"/>
    </w:lvl>
  </w:abstractNum>
  <w:abstractNum w:abstractNumId="56">
    <w:nsid w:val="49DA307D"/>
    <w:multiLevelType w:val="hybridMultilevel"/>
    <w:lvl w:ilvl="0">
      <w:lvlJc w:val="left"/>
      <w:lvlText w:val="(%1)"/>
      <w:numFmt w:val="lowerLetter"/>
      <w:start w:val="4"/>
    </w:lvl>
  </w:abstractNum>
  <w:abstractNum w:abstractNumId="57">
    <w:nsid w:val="7055A5F5"/>
    <w:multiLevelType w:val="hybridMultilevel"/>
    <w:lvl w:ilvl="0">
      <w:lvlJc w:val="left"/>
      <w:lvlText w:val="(%1)"/>
      <w:numFmt w:val="lowerLetter"/>
      <w:start w:val="6"/>
    </w:lvl>
  </w:abstractNum>
  <w:abstractNum w:abstractNumId="58">
    <w:nsid w:val="5FB8370B"/>
    <w:multiLevelType w:val="hybridMultilevel"/>
    <w:lvl w:ilvl="0">
      <w:lvlJc w:val="left"/>
      <w:lvlText w:val="%1"/>
      <w:numFmt w:val="lowerLetter"/>
      <w:start w:val="1"/>
    </w:lvl>
    <w:lvl w:ilvl="1">
      <w:lvlJc w:val="left"/>
      <w:lvlText w:val="%2."/>
      <w:numFmt w:val="decimal"/>
      <w:start w:val="3"/>
    </w:lvl>
  </w:abstractNum>
  <w:abstractNum w:abstractNumId="59">
    <w:nsid w:val="50801EE1"/>
    <w:multiLevelType w:val="hybridMultilevel"/>
    <w:lvl w:ilvl="0">
      <w:lvlJc w:val="left"/>
      <w:lvlText w:val="(%1)"/>
      <w:numFmt w:val="lowerLetter"/>
      <w:start w:val="1"/>
    </w:lvl>
    <w:lvl w:ilvl="1">
      <w:lvlJc w:val="left"/>
      <w:lvlText w:val="%2"/>
      <w:numFmt w:val="decimal"/>
      <w:start w:val="1"/>
    </w:lvl>
  </w:abstractNum>
  <w:abstractNum w:abstractNumId="60">
    <w:nsid w:val="488AC1A"/>
    <w:multiLevelType w:val="hybridMultilevel"/>
    <w:lvl w:ilvl="0">
      <w:lvlJc w:val="left"/>
      <w:lvlText w:val="(%1)"/>
      <w:numFmt w:val="lowerRoman"/>
      <w:start w:val="1"/>
    </w:lvl>
  </w:abstractNum>
  <w:abstractNum w:abstractNumId="61">
    <w:nsid w:val="5FB8011C"/>
    <w:multiLevelType w:val="hybridMultilevel"/>
    <w:lvl w:ilvl="0">
      <w:lvlJc w:val="left"/>
      <w:lvlText w:val="(%1)"/>
      <w:numFmt w:val="lowerRoman"/>
      <w:start w:val="2"/>
    </w:lvl>
  </w:abstractNum>
  <w:abstractNum w:abstractNumId="62">
    <w:nsid w:val="6AA78F7F"/>
    <w:multiLevelType w:val="hybridMultilevel"/>
    <w:lvl w:ilvl="0">
      <w:lvlJc w:val="left"/>
      <w:lvlText w:val="(%1)"/>
      <w:numFmt w:val="lowerLetter"/>
      <w:start w:val="3"/>
    </w:lvl>
  </w:abstractNum>
  <w:abstractNum w:abstractNumId="63">
    <w:nsid w:val="7672BD23"/>
    <w:multiLevelType w:val="hybridMultilevel"/>
    <w:lvl w:ilvl="0">
      <w:lvlJc w:val="left"/>
      <w:lvlText w:val="%1."/>
      <w:numFmt w:val="decimal"/>
      <w:start w:val="4"/>
    </w:lvl>
  </w:abstractNum>
  <w:abstractNum w:abstractNumId="64">
    <w:nsid w:val="6FC75AF8"/>
    <w:multiLevelType w:val="hybridMultilevel"/>
    <w:lvl w:ilvl="0">
      <w:lvlJc w:val="left"/>
      <w:lvlText w:val="(%1)"/>
      <w:numFmt w:val="lowerLetter"/>
      <w:start w:val="1"/>
    </w:lvl>
  </w:abstractNum>
  <w:abstractNum w:abstractNumId="65">
    <w:nsid w:val="6A5F7029"/>
    <w:multiLevelType w:val="hybridMultilevel"/>
    <w:lvl w:ilvl="0">
      <w:lvlJc w:val="left"/>
      <w:lvlText w:val="(%1)"/>
      <w:numFmt w:val="lowerLetter"/>
      <w:start w:val="3"/>
    </w:lvl>
  </w:abstractNum>
  <w:abstractNum w:abstractNumId="66">
    <w:nsid w:val="7D5E18F8"/>
    <w:multiLevelType w:val="hybridMultilevel"/>
    <w:lvl w:ilvl="0">
      <w:lvlJc w:val="left"/>
      <w:lvlText w:val="(%1)"/>
      <w:numFmt w:val="lowerLetter"/>
      <w:start w:val="5"/>
    </w:lvl>
  </w:abstractNum>
  <w:abstractNum w:abstractNumId="67">
    <w:nsid w:val="5F3534A4"/>
    <w:multiLevelType w:val="hybridMultilevel"/>
    <w:lvl w:ilvl="0">
      <w:lvlJc w:val="left"/>
      <w:lvlText w:val="%1."/>
      <w:numFmt w:val="decimal"/>
      <w:start w:val="6"/>
    </w:lvl>
  </w:abstractNum>
  <w:abstractNum w:abstractNumId="68">
    <w:nsid w:val="73A1821B"/>
    <w:multiLevelType w:val="hybridMultilevel"/>
    <w:lvl w:ilvl="0">
      <w:lvlJc w:val="left"/>
      <w:lvlText w:val="%1."/>
      <w:numFmt w:val="decimal"/>
      <w:start w:val="8"/>
    </w:lvl>
  </w:abstractNum>
  <w:abstractNum w:abstractNumId="69">
    <w:nsid w:val="7DE67713"/>
    <w:multiLevelType w:val="hybridMultilevel"/>
    <w:lvl w:ilvl="0">
      <w:lvlJc w:val="left"/>
      <w:lvlText w:val="(%1)"/>
      <w:numFmt w:val="lowerLetter"/>
      <w:start w:val="1"/>
    </w:lvl>
  </w:abstractNum>
  <w:abstractNum w:abstractNumId="70">
    <w:nsid w:val="555C55B5"/>
    <w:multiLevelType w:val="hybridMultilevel"/>
    <w:lvl w:ilvl="0">
      <w:lvlJc w:val="left"/>
      <w:lvlText w:val="%1."/>
      <w:numFmt w:val="decimal"/>
      <w:start w:val="9"/>
    </w:lvl>
  </w:abstractNum>
  <w:abstractNum w:abstractNumId="71">
    <w:nsid w:val="3FA62ACA"/>
    <w:multiLevelType w:val="hybridMultilevel"/>
    <w:lvl w:ilvl="0">
      <w:lvlJc w:val="left"/>
      <w:lvlText w:val="(%1)"/>
      <w:numFmt w:val="lowerLetter"/>
      <w:start w:val="1"/>
    </w:lvl>
  </w:abstractNum>
  <w:abstractNum w:abstractNumId="72">
    <w:nsid w:val="14FCE74E"/>
    <w:multiLevelType w:val="hybridMultilevel"/>
    <w:lvl w:ilvl="0">
      <w:lvlJc w:val="left"/>
      <w:lvlText w:val="(%1)"/>
      <w:numFmt w:val="lowerLetter"/>
      <w:start w:val="3"/>
    </w:lvl>
  </w:abstractNum>
  <w:abstractNum w:abstractNumId="73">
    <w:nsid w:val="6A3DD3E8"/>
    <w:multiLevelType w:val="hybridMultilevel"/>
    <w:lvl w:ilvl="0">
      <w:lvlJc w:val="left"/>
      <w:lvlText w:val="(%1)"/>
      <w:numFmt w:val="lowerLetter"/>
      <w:start w:val="5"/>
    </w:lvl>
  </w:abstractNum>
  <w:abstractNum w:abstractNumId="74">
    <w:nsid w:val="71C91298"/>
    <w:multiLevelType w:val="hybridMultilevel"/>
    <w:lvl w:ilvl="0">
      <w:lvlJc w:val="left"/>
      <w:lvlText w:val="%1."/>
      <w:numFmt w:val="decimal"/>
      <w:start w:val="1"/>
    </w:lvl>
    <w:lvl w:ilvl="1">
      <w:lvlJc w:val="left"/>
      <w:lvlText w:val="(%2)"/>
      <w:numFmt w:val="lowerLetter"/>
      <w:start w:val="1"/>
    </w:lvl>
  </w:abstractNum>
  <w:abstractNum w:abstractNumId="75">
    <w:nsid w:val="9DAF632"/>
    <w:multiLevelType w:val="hybridMultilevel"/>
    <w:lvl w:ilvl="0">
      <w:lvlJc w:val="left"/>
      <w:lvlText w:val="(%1)"/>
      <w:numFmt w:val="lowerRoman"/>
      <w:start w:val="1"/>
    </w:lvl>
  </w:abstractNum>
  <w:abstractNum w:abstractNumId="76">
    <w:nsid w:val="53299938"/>
    <w:multiLevelType w:val="hybridMultilevel"/>
    <w:lvl w:ilvl="0">
      <w:lvlJc w:val="left"/>
      <w:lvlText w:val="(%1)"/>
      <w:numFmt w:val="lowerRoman"/>
      <w:start w:val="7"/>
    </w:lvl>
  </w:abstractNum>
  <w:abstractNum w:abstractNumId="77">
    <w:nsid w:val="1FBFE8E0"/>
    <w:multiLevelType w:val="hybridMultilevel"/>
    <w:lvl w:ilvl="0">
      <w:lvlJc w:val="left"/>
      <w:lvlText w:val="(%1)"/>
      <w:numFmt w:val="lowerLetter"/>
      <w:start w:val="2"/>
    </w:lvl>
  </w:abstractNum>
  <w:abstractNum w:abstractNumId="78">
    <w:nsid w:val="5092CA79"/>
    <w:multiLevelType w:val="hybridMultilevel"/>
    <w:lvl w:ilvl="0">
      <w:lvlJc w:val="left"/>
      <w:lvlText w:val="(%1)"/>
      <w:numFmt w:val="lowerLetter"/>
      <w:start w:val="3"/>
    </w:lvl>
  </w:abstractNum>
  <w:abstractNum w:abstractNumId="79">
    <w:nsid w:val="1D545C4D"/>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0">
    <w:nsid w:val="59ADEA3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1">
    <w:nsid w:val="288F1A34"/>
    <w:multiLevelType w:val="hybridMultilevel"/>
    <w:lvl w:ilvl="0">
      <w:lvlJc w:val="left"/>
      <w:lvlText w:val="%1"/>
      <w:numFmt w:val="decimal"/>
      <w:start w:val="1"/>
    </w:lvl>
    <w:lvl w:ilvl="1">
      <w:lvlJc w:val="left"/>
      <w:lvlText w:val="(%2)"/>
      <w:numFmt w:val="lowerLetter"/>
      <w:start w:val="3"/>
    </w:lvl>
  </w:abstractNum>
  <w:abstractNum w:abstractNumId="82">
    <w:nsid w:val="2A155DBC"/>
    <w:multiLevelType w:val="hybridMultilevel"/>
    <w:lvl w:ilvl="0">
      <w:lvlJc w:val="left"/>
      <w:lvlText w:val="%1."/>
      <w:numFmt w:val="decimal"/>
      <w:start w:val="4"/>
    </w:lvl>
    <w:lvl w:ilvl="1">
      <w:lvlJc w:val="left"/>
      <w:lvlText w:val="%2"/>
      <w:numFmt w:val="lowerLetter"/>
      <w:start w:val="1"/>
    </w:lvl>
  </w:abstractNum>
  <w:abstractNum w:abstractNumId="83">
    <w:nsid w:val="1D9F6E5F"/>
    <w:multiLevelType w:val="hybridMultilevel"/>
    <w:lvl w:ilvl="0">
      <w:lvlJc w:val="left"/>
      <w:lvlText w:val="%1."/>
      <w:numFmt w:val="decimal"/>
      <w:start w:val="9"/>
    </w:lvl>
  </w:abstractNum>
  <w:abstractNum w:abstractNumId="84">
    <w:nsid w:val="97E1B4E"/>
    <w:multiLevelType w:val="hybridMultilevel"/>
    <w:lvl w:ilvl="0">
      <w:lvlJc w:val="left"/>
      <w:lvlText w:val="%1."/>
      <w:numFmt w:val="decimal"/>
      <w:start w:val="1"/>
    </w:lvl>
  </w:abstractNum>
  <w:abstractNum w:abstractNumId="85">
    <w:nsid w:val="51088277"/>
    <w:multiLevelType w:val="hybridMultilevel"/>
    <w:lvl w:ilvl="0">
      <w:lvlJc w:val="left"/>
      <w:lvlText w:val="(%1)"/>
      <w:numFmt w:val="lowerLetter"/>
      <w:start w:val="1"/>
    </w:lvl>
  </w:abstractNum>
  <w:abstractNum w:abstractNumId="86">
    <w:nsid w:val="1CA0C5FA"/>
    <w:multiLevelType w:val="hybridMultilevel"/>
    <w:lvl w:ilvl="0">
      <w:lvlJc w:val="left"/>
      <w:lvlText w:val="(%1)"/>
      <w:numFmt w:val="lowerLetter"/>
      <w:start w:val="2"/>
    </w:lvl>
    <w:lvl w:ilvl="1">
      <w:lvlJc w:val="left"/>
      <w:lvlText w:val="(%2)"/>
      <w:numFmt w:val="lowerRoman"/>
      <w:start w:val="1"/>
    </w:lvl>
  </w:abstractNum>
  <w:abstractNum w:abstractNumId="87">
    <w:nsid w:val="53584BCB"/>
    <w:multiLevelType w:val="hybridMultilevel"/>
    <w:lvl w:ilvl="0">
      <w:lvlJc w:val="left"/>
      <w:lvlText w:val="%1."/>
      <w:numFmt w:val="decimal"/>
      <w:start w:val="2"/>
    </w:lvl>
  </w:abstractNum>
  <w:abstractNum w:abstractNumId="88">
    <w:nsid w:val="415E286C"/>
    <w:multiLevelType w:val="hybridMultilevel"/>
    <w:lvl w:ilvl="0">
      <w:lvlJc w:val="left"/>
      <w:lvlText w:val="(%1)"/>
      <w:numFmt w:val="lowerLetter"/>
      <w:start w:val="1"/>
    </w:lvl>
  </w:abstractNum>
  <w:abstractNum w:abstractNumId="89">
    <w:nsid w:val="7C58FD05"/>
    <w:multiLevelType w:val="hybridMultilevel"/>
    <w:lvl w:ilvl="0">
      <w:lvlJc w:val="left"/>
      <w:lvlText w:val="(%1)"/>
      <w:numFmt w:val="lowerLetter"/>
      <w:start w:val="2"/>
    </w:lvl>
    <w:lvl w:ilvl="1">
      <w:lvlJc w:val="left"/>
      <w:lvlText w:val="(%2)"/>
      <w:numFmt w:val="lowerRoman"/>
      <w:start w:val="1"/>
    </w:lvl>
  </w:abstractNum>
  <w:abstractNum w:abstractNumId="90">
    <w:nsid w:val="23D86AAC"/>
    <w:multiLevelType w:val="hybridMultilevel"/>
    <w:lvl w:ilvl="0">
      <w:lvlJc w:val="left"/>
      <w:lvlText w:val="(%1)"/>
      <w:numFmt w:val="lowerRoman"/>
      <w:start w:val="4"/>
    </w:lvl>
  </w:abstractNum>
  <w:abstractNum w:abstractNumId="91">
    <w:nsid w:val="45E6D486"/>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92">
    <w:nsid w:val="5C10FE2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3">
    <w:nsid w:val="E7FFA2B"/>
    <w:multiLevelType w:val="hybridMultilevel"/>
    <w:lvl w:ilvl="0">
      <w:lvlJc w:val="left"/>
      <w:lvlText w:val="%1."/>
      <w:numFmt w:val="decimal"/>
      <w:start w:val="3"/>
    </w:lvl>
  </w:abstractNum>
  <w:abstractNum w:abstractNumId="94">
    <w:nsid w:val="3C5991AA"/>
    <w:multiLevelType w:val="hybridMultilevel"/>
    <w:lvl w:ilvl="0">
      <w:lvlJc w:val="left"/>
      <w:lvlText w:val="%1."/>
      <w:numFmt w:val="decimal"/>
      <w:start w:val="3"/>
    </w:lvl>
  </w:abstractNum>
  <w:abstractNum w:abstractNumId="95">
    <w:nsid w:val="4BD8591A"/>
    <w:multiLevelType w:val="hybridMultilevel"/>
    <w:lvl w:ilvl="0">
      <w:lvlJc w:val="left"/>
      <w:lvlText w:val="(%1)"/>
      <w:numFmt w:val="lowerLetter"/>
      <w:start w:val="1"/>
    </w:lvl>
  </w:abstractNum>
  <w:abstractNum w:abstractNumId="96">
    <w:nsid w:val="78DF6A55"/>
    <w:multiLevelType w:val="hybridMultilevel"/>
    <w:lvl w:ilvl="0">
      <w:lvlJc w:val="left"/>
      <w:lvlText w:val="(%1)"/>
      <w:numFmt w:val="lowerRoman"/>
      <w:start w:val="1"/>
    </w:lvl>
  </w:abstractNum>
  <w:abstractNum w:abstractNumId="97">
    <w:nsid w:val="39B7AAA2"/>
    <w:multiLevelType w:val="hybridMultilevel"/>
    <w:lvl w:ilvl="0">
      <w:lvlJc w:val="left"/>
      <w:lvlText w:val="(%1)"/>
      <w:numFmt w:val="lowerRoman"/>
      <w:start w:val="2"/>
    </w:lvl>
  </w:abstractNum>
  <w:abstractNum w:abstractNumId="98">
    <w:nsid w:val="2B0D8DBE"/>
    <w:multiLevelType w:val="hybridMultilevel"/>
    <w:lvl w:ilvl="0">
      <w:lvlJc w:val="left"/>
      <w:lvlText w:val="(%1)"/>
      <w:numFmt w:val="lowerLetter"/>
      <w:start w:val="3"/>
    </w:lvl>
  </w:abstractNum>
  <w:abstractNum w:abstractNumId="99">
    <w:nsid w:val="6C80EC70"/>
    <w:multiLevelType w:val="hybridMultilevel"/>
    <w:lvl w:ilvl="0">
      <w:lvlJc w:val="left"/>
      <w:lvlText w:val="%1."/>
      <w:numFmt w:val="decimal"/>
      <w:start w:val="4"/>
    </w:lvl>
  </w:abstractNum>
  <w:abstractNum w:abstractNumId="100">
    <w:nsid w:val="379E21B5"/>
    <w:multiLevelType w:val="hybridMultilevel"/>
    <w:lvl w:ilvl="0">
      <w:lvlJc w:val="left"/>
      <w:lvlText w:val="(%1)"/>
      <w:numFmt w:val="lowerLetter"/>
      <w:start w:val="1"/>
    </w:lvl>
  </w:abstractNum>
  <w:abstractNum w:abstractNumId="101">
    <w:nsid w:val="69E373"/>
    <w:multiLevelType w:val="hybridMultilevel"/>
    <w:lvl w:ilvl="0">
      <w:lvlJc w:val="left"/>
      <w:lvlText w:val="(%1)"/>
      <w:numFmt w:val="lowerLetter"/>
      <w:start w:val="3"/>
    </w:lvl>
  </w:abstractNum>
  <w:abstractNum w:abstractNumId="102">
    <w:nsid w:val="2C27173B"/>
    <w:multiLevelType w:val="hybridMultilevel"/>
    <w:lvl w:ilvl="0">
      <w:lvlJc w:val="left"/>
      <w:lvlText w:val="(%1)"/>
      <w:numFmt w:val="lowerLetter"/>
      <w:start w:val="5"/>
    </w:lvl>
  </w:abstractNum>
  <w:abstractNum w:abstractNumId="103">
    <w:nsid w:val="4C9B0904"/>
    <w:multiLevelType w:val="hybridMultilevel"/>
    <w:lvl w:ilvl="0">
      <w:lvlJc w:val="left"/>
      <w:lvlText w:val="%1."/>
      <w:numFmt w:val="decimal"/>
      <w:start w:val="6"/>
    </w:lvl>
  </w:abstractNum>
  <w:abstractNum w:abstractNumId="104">
    <w:nsid w:val="6AA7B75C"/>
    <w:multiLevelType w:val="hybridMultilevel"/>
    <w:lvl w:ilvl="0">
      <w:lvlJc w:val="left"/>
      <w:lvlText w:val="(%1)"/>
      <w:numFmt w:val="lowerLetter"/>
      <w:start w:val="1"/>
    </w:lvl>
  </w:abstractNum>
  <w:abstractNum w:abstractNumId="105">
    <w:nsid w:val="1DF029D3"/>
    <w:multiLevelType w:val="hybridMultilevel"/>
    <w:lvl w:ilvl="0">
      <w:lvlJc w:val="left"/>
      <w:lvlText w:val="(%1)"/>
      <w:numFmt w:val="lowerLetter"/>
      <w:start w:val="3"/>
    </w:lvl>
  </w:abstractNum>
  <w:abstractNum w:abstractNumId="106">
    <w:nsid w:val="5675FF36"/>
    <w:multiLevelType w:val="hybridMultilevel"/>
    <w:lvl w:ilvl="0">
      <w:lvlJc w:val="left"/>
      <w:lvlText w:val="(%1)"/>
      <w:numFmt w:val="lowerLetter"/>
      <w:start w:val="5"/>
    </w:lvl>
  </w:abstractNum>
  <w:abstractNum w:abstractNumId="107">
    <w:nsid w:val="3DD15094"/>
    <w:multiLevelType w:val="hybridMultilevel"/>
    <w:lvl w:ilvl="0">
      <w:lvlJc w:val="left"/>
      <w:lvlText w:val="%1."/>
      <w:numFmt w:val="decimal"/>
      <w:start w:val="1"/>
    </w:lvl>
    <w:lvl w:ilvl="1">
      <w:lvlJc w:val="left"/>
      <w:lvlText w:val="(%2)"/>
      <w:numFmt w:val="lowerLetter"/>
      <w:start w:val="1"/>
    </w:lvl>
  </w:abstractNum>
  <w:abstractNum w:abstractNumId="108">
    <w:nsid w:val="3DB012B3"/>
    <w:multiLevelType w:val="hybridMultilevel"/>
    <w:lvl w:ilvl="0">
      <w:lvlJc w:val="left"/>
      <w:lvlText w:val="(%1)"/>
      <w:numFmt w:val="lowerRoman"/>
      <w:start w:val="1"/>
    </w:lvl>
  </w:abstractNum>
  <w:abstractNum w:abstractNumId="109">
    <w:nsid w:val="2708C9AF"/>
    <w:multiLevelType w:val="hybridMultilevel"/>
    <w:lvl w:ilvl="0">
      <w:lvlJc w:val="left"/>
      <w:lvlText w:val="(%1)"/>
      <w:numFmt w:val="lowerRoman"/>
      <w:start w:val="8"/>
    </w:lvl>
  </w:abstractNum>
  <w:abstractNum w:abstractNumId="110">
    <w:nsid w:val="5B25ACE2"/>
    <w:multiLevelType w:val="hybridMultilevel"/>
    <w:lvl w:ilvl="0">
      <w:lvlJc w:val="left"/>
      <w:lvlText w:val="(%1)"/>
      <w:numFmt w:val="lowerLetter"/>
      <w:start w:val="2"/>
    </w:lvl>
  </w:abstractNum>
  <w:abstractNum w:abstractNumId="111">
    <w:nsid w:val="175DFCF0"/>
    <w:multiLevelType w:val="hybridMultilevel"/>
    <w:lvl w:ilvl="0">
      <w:lvlJc w:val="left"/>
      <w:lvlText w:val="(%1)"/>
      <w:numFmt w:val="lowerLetter"/>
      <w:start w:val="3"/>
    </w:lvl>
  </w:abstractNum>
  <w:abstractNum w:abstractNumId="112">
    <w:nsid w:val="4F97E3E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13">
    <w:nsid w:val="53B0A9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14">
    <w:nsid w:val="34FD6B4F"/>
    <w:multiLevelType w:val="hybridMultilevel"/>
    <w:lvl w:ilvl="0">
      <w:lvlJc w:val="left"/>
      <w:lvlText w:val="(%1)"/>
      <w:numFmt w:val="lowerLetter"/>
      <w:start w:val="7"/>
    </w:lvl>
  </w:abstractNum>
  <w:abstractNum w:abstractNumId="115">
    <w:nsid w:val="5915FF32"/>
    <w:multiLevelType w:val="hybridMultilevel"/>
    <w:lvl w:ilvl="0">
      <w:lvlJc w:val="left"/>
      <w:lvlText w:val="%1."/>
      <w:numFmt w:val="decimal"/>
      <w:start w:val="4"/>
    </w:lvl>
  </w:abstractNum>
  <w:abstractNum w:abstractNumId="116">
    <w:nsid w:val="56438D15"/>
    <w:multiLevelType w:val="hybridMultilevel"/>
    <w:lvl w:ilvl="0">
      <w:lvlJc w:val="left"/>
      <w:lvlText w:val="%1."/>
      <w:numFmt w:val="decimal"/>
      <w:start w:val="9"/>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1)"/>
      <w:numFmt w:val="lowerLetter"/>
      <w:start w:val="2"/>
    </w:lvl>
    <w:lvl w:ilvl="1">
      <w:lvlJc w:val="left"/>
      <w:lvlText w:val="(%2)"/>
      <w:numFmt w:val="lowerLetter"/>
      <w:start w:val="9"/>
    </w:lvl>
  </w:abstractNum>
  <w:abstractNum w:abstractNumId="120">
    <w:nsid w:val="4DF72E4E"/>
    <w:multiLevelType w:val="hybridMultilevel"/>
    <w:lvl w:ilvl="0">
      <w:lvlJc w:val="left"/>
      <w:lvlText w:val="%1"/>
      <w:numFmt w:val="decimal"/>
      <w:start w:val="1"/>
    </w:lvl>
    <w:lvl w:ilvl="1">
      <w:lvlJc w:val="left"/>
      <w:lvlText w:val="(%2)"/>
      <w:numFmt w:val="lowerLetter"/>
      <w:start w:val="3"/>
    </w:lvl>
  </w:abstractNum>
  <w:abstractNum w:abstractNumId="121">
    <w:nsid w:val="5046B5A9"/>
    <w:multiLevelType w:val="hybridMultilevel"/>
    <w:lvl w:ilvl="0">
      <w:lvlJc w:val="left"/>
      <w:lvlText w:val="%1."/>
      <w:numFmt w:val="decimal"/>
      <w:start w:val="2"/>
    </w:lvl>
    <w:lvl w:ilvl="1">
      <w:lvlJc w:val="left"/>
      <w:lvlText w:val="%2"/>
      <w:numFmt w:val="lowerLetter"/>
      <w:start w:val="1"/>
    </w:lvl>
  </w:abstractNum>
  <w:abstractNum w:abstractNumId="122">
    <w:nsid w:val="5D888A08"/>
    <w:multiLevelType w:val="hybridMultilevel"/>
    <w:lvl w:ilvl="0">
      <w:lvlJc w:val="left"/>
      <w:lvlText w:val="%1."/>
      <w:numFmt w:val="decimal"/>
      <w:start w:val="3"/>
    </w:lvl>
  </w:abstractNum>
  <w:abstractNum w:abstractNumId="123">
    <w:nsid w:val="2A082C70"/>
    <w:multiLevelType w:val="hybridMultilevel"/>
    <w:lvl w:ilvl="0">
      <w:lvlJc w:val="left"/>
      <w:lvlText w:val="(%1)"/>
      <w:numFmt w:val="lowerRoman"/>
      <w:start w:val="1"/>
    </w:lvl>
  </w:abstractNum>
  <w:abstractNum w:abstractNumId="124">
    <w:nsid w:val="5EC6AFD4"/>
    <w:multiLevelType w:val="hybridMultilevel"/>
    <w:lvl w:ilvl="0">
      <w:lvlJc w:val="left"/>
      <w:lvlText w:val="(%1)"/>
      <w:numFmt w:val="lowerRoman"/>
      <w:start w:val="2"/>
    </w:lvl>
  </w:abstractNum>
  <w:abstractNum w:abstractNumId="125">
    <w:nsid w:val="19E21BB2"/>
    <w:multiLevelType w:val="hybridMultilevel"/>
    <w:lvl w:ilvl="0">
      <w:lvlJc w:val="left"/>
      <w:lvlText w:val="(%1)"/>
      <w:numFmt w:val="lowerRoman"/>
      <w:start w:val="4"/>
    </w:lvl>
  </w:abstractNum>
  <w:abstractNum w:abstractNumId="126">
    <w:nsid w:val="75E0858A"/>
    <w:multiLevelType w:val="hybridMultilevel"/>
    <w:lvl w:ilvl="0">
      <w:lvlJc w:val="left"/>
      <w:lvlText w:val="(%1)"/>
      <w:numFmt w:val="lowerRoman"/>
      <w:start w:val="6"/>
    </w:lvl>
  </w:abstractNum>
  <w:abstractNum w:abstractNumId="127">
    <w:nsid w:val="57A61A29"/>
    <w:multiLevelType w:val="hybridMultilevel"/>
    <w:lvl w:ilvl="0">
      <w:lvlJc w:val="left"/>
      <w:lvlText w:val="(%1)"/>
      <w:numFmt w:val="lowerRoman"/>
      <w:start w:val="5"/>
    </w:lvl>
    <w:lvl w:ilvl="1">
      <w:lvlJc w:val="left"/>
      <w:lvlText w:val="%2."/>
      <w:numFmt w:val="upperLetter"/>
      <w:start w:val="1"/>
    </w:lvl>
  </w:abstractNum>
  <w:abstractNum w:abstractNumId="128">
    <w:nsid w:val="5399C654"/>
    <w:multiLevelType w:val="hybridMultilevel"/>
    <w:lvl w:ilvl="0">
      <w:lvlJc w:val="left"/>
      <w:lvlText w:val="%1"/>
      <w:numFmt w:val="decimal"/>
      <w:start w:val="1"/>
    </w:lvl>
    <w:lvl w:ilvl="1">
      <w:lvlJc w:val="left"/>
      <w:lvlText w:val="%2."/>
      <w:numFmt w:val="upperLetter"/>
      <w:start w:val="4"/>
    </w:lvl>
  </w:abstractNum>
  <w:abstractNum w:abstractNumId="129">
    <w:nsid w:val="20EE1348"/>
    <w:multiLevelType w:val="hybridMultilevel"/>
    <w:lvl w:ilvl="0">
      <w:lvlJc w:val="left"/>
      <w:lvlText w:val="%1."/>
      <w:numFmt w:val="decimal"/>
      <w:start w:val="4"/>
    </w:lvl>
    <w:lvl w:ilvl="1">
      <w:lvlJc w:val="left"/>
      <w:lvlText w:val="%2"/>
      <w:numFmt w:val="upperLetter"/>
      <w:start w:val="1"/>
    </w:lvl>
  </w:abstractNum>
  <w:abstractNum w:abstractNumId="130">
    <w:nsid w:val="4427069A"/>
    <w:multiLevelType w:val="hybridMultilevel"/>
    <w:lvl w:ilvl="0">
      <w:lvlJc w:val="left"/>
      <w:lvlText w:val="%1."/>
      <w:numFmt w:val="decimal"/>
      <w:start w:val="1"/>
    </w:lvl>
    <w:lvl w:ilvl="1">
      <w:lvlJc w:val="left"/>
      <w:lvlText w:val="%2)"/>
      <w:numFmt w:val="lowerLetter"/>
      <w:start w:val="1"/>
    </w:lvl>
  </w:abstractNum>
  <w:abstractNum w:abstractNumId="131">
    <w:nsid w:val="B37E80A"/>
    <w:multiLevelType w:val="hybridMultilevel"/>
    <w:lvl w:ilvl="0">
      <w:lvlJc w:val="left"/>
      <w:lvlText w:val="%1."/>
      <w:numFmt w:val="decimal"/>
      <w:start w:val="1"/>
    </w:lvl>
    <w:lvl w:ilvl="1">
      <w:lvlJc w:val="left"/>
      <w:lvlText w:val="%2)"/>
      <w:numFmt w:val="lowerLetter"/>
      <w:start w:val="1"/>
    </w:lvl>
  </w:abstractNum>
  <w:abstractNum w:abstractNumId="132">
    <w:nsid w:val="2157F6BC"/>
    <w:multiLevelType w:val="hybridMultilevel"/>
    <w:lvl w:ilvl="0">
      <w:lvlJc w:val="left"/>
      <w:lvlText w:val="(%1)"/>
      <w:numFmt w:val="lowerLetter"/>
      <w:start w:val="1"/>
    </w:lvl>
  </w:abstractNum>
  <w:abstractNum w:abstractNumId="133">
    <w:nsid w:val="704E1DD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6" Type="http://schemas.openxmlformats.org/officeDocument/2006/relationships/image" Target="media/image131.png"/><Relationship Id="rId162"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90" Type="http://schemas.openxmlformats.org/officeDocument/2006/relationships/image" Target="media/image152.png"/><Relationship Id="rId192" Type="http://schemas.openxmlformats.org/officeDocument/2006/relationships/image" Target="media/image153.png"/><Relationship Id="rId194" Type="http://schemas.openxmlformats.org/officeDocument/2006/relationships/image" Target="media/image154.png"/><Relationship Id="rId196"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5" Type="http://schemas.openxmlformats.org/officeDocument/2006/relationships/image" Target="media/image177.png"/><Relationship Id="rId226" Type="http://schemas.openxmlformats.org/officeDocument/2006/relationships/image" Target="media/image178.png"/><Relationship Id="rId227" Type="http://schemas.openxmlformats.org/officeDocument/2006/relationships/image" Target="media/image179.png"/><Relationship Id="rId228"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9" Type="http://schemas.openxmlformats.org/officeDocument/2006/relationships/image" Target="media/image196.png"/><Relationship Id="rId250" Type="http://schemas.openxmlformats.org/officeDocument/2006/relationships/image" Target="media/image197.png"/><Relationship Id="rId251" Type="http://schemas.openxmlformats.org/officeDocument/2006/relationships/image" Target="media/image198.png"/><Relationship Id="rId252" Type="http://schemas.openxmlformats.org/officeDocument/2006/relationships/image" Target="media/image199.png"/><Relationship Id="rId254" Type="http://schemas.openxmlformats.org/officeDocument/2006/relationships/image" Target="media/image200.png"/><Relationship Id="rId255" Type="http://schemas.openxmlformats.org/officeDocument/2006/relationships/image" Target="media/image201.png"/><Relationship Id="rId256" Type="http://schemas.openxmlformats.org/officeDocument/2006/relationships/image" Target="media/image202.png"/><Relationship Id="rId257" Type="http://schemas.openxmlformats.org/officeDocument/2006/relationships/image" Target="media/image203.png"/><Relationship Id="rId258"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3" Type="http://schemas.openxmlformats.org/officeDocument/2006/relationships/image" Target="media/image216.png"/><Relationship Id="rId274" Type="http://schemas.openxmlformats.org/officeDocument/2006/relationships/image" Target="media/image217.png"/><Relationship Id="rId275" Type="http://schemas.openxmlformats.org/officeDocument/2006/relationships/image" Target="media/image218.png"/><Relationship Id="rId276" Type="http://schemas.openxmlformats.org/officeDocument/2006/relationships/image" Target="media/image219.png"/><Relationship Id="rId277" Type="http://schemas.openxmlformats.org/officeDocument/2006/relationships/image" Target="media/image220.png"/><Relationship Id="rId279" Type="http://schemas.openxmlformats.org/officeDocument/2006/relationships/image" Target="media/image221.png"/><Relationship Id="rId280" Type="http://schemas.openxmlformats.org/officeDocument/2006/relationships/image" Target="media/image222.png"/><Relationship Id="rId281" Type="http://schemas.openxmlformats.org/officeDocument/2006/relationships/image" Target="media/image223.png"/><Relationship Id="rId282" Type="http://schemas.openxmlformats.org/officeDocument/2006/relationships/image" Target="media/image224.png"/><Relationship Id="rId283" Type="http://schemas.openxmlformats.org/officeDocument/2006/relationships/image" Target="media/image225.png"/><Relationship Id="rId285" Type="http://schemas.openxmlformats.org/officeDocument/2006/relationships/image" Target="media/image226.png"/><Relationship Id="rId286" Type="http://schemas.openxmlformats.org/officeDocument/2006/relationships/image" Target="media/image227.png"/><Relationship Id="rId287" Type="http://schemas.openxmlformats.org/officeDocument/2006/relationships/image" Target="media/image228.png"/><Relationship Id="rId288" Type="http://schemas.openxmlformats.org/officeDocument/2006/relationships/image" Target="media/image229.png"/><Relationship Id="rId289" Type="http://schemas.openxmlformats.org/officeDocument/2006/relationships/image" Target="media/image230.png"/><Relationship Id="rId291" Type="http://schemas.openxmlformats.org/officeDocument/2006/relationships/image" Target="media/image231.png"/><Relationship Id="rId292" Type="http://schemas.openxmlformats.org/officeDocument/2006/relationships/image" Target="media/image232.png"/><Relationship Id="rId293" Type="http://schemas.openxmlformats.org/officeDocument/2006/relationships/image" Target="media/image233.png"/><Relationship Id="rId294" Type="http://schemas.openxmlformats.org/officeDocument/2006/relationships/image" Target="media/image234.png"/><Relationship Id="rId295"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8" Type="http://schemas.openxmlformats.org/officeDocument/2006/relationships/image" Target="media/image245.png"/><Relationship Id="rId309" Type="http://schemas.openxmlformats.org/officeDocument/2006/relationships/image" Target="media/image246.png"/><Relationship Id="rId310" Type="http://schemas.openxmlformats.org/officeDocument/2006/relationships/image" Target="media/image247.png"/><Relationship Id="rId311"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8" Type="http://schemas.openxmlformats.org/officeDocument/2006/relationships/image" Target="media/image253.png"/><Relationship Id="rId319" Type="http://schemas.openxmlformats.org/officeDocument/2006/relationships/image" Target="media/image254.png"/><Relationship Id="rId320" Type="http://schemas.openxmlformats.org/officeDocument/2006/relationships/image" Target="media/image255.png"/><Relationship Id="rId321" Type="http://schemas.openxmlformats.org/officeDocument/2006/relationships/image" Target="media/image256.png"/><Relationship Id="rId323" Type="http://schemas.openxmlformats.org/officeDocument/2006/relationships/image" Target="media/image257.png"/><Relationship Id="rId324" Type="http://schemas.openxmlformats.org/officeDocument/2006/relationships/image" Target="media/image258.png"/><Relationship Id="rId325" Type="http://schemas.openxmlformats.org/officeDocument/2006/relationships/image" Target="media/image259.png"/><Relationship Id="rId326"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5" Type="http://schemas.openxmlformats.org/officeDocument/2006/relationships/image" Target="media/image267.png"/><Relationship Id="rId336" Type="http://schemas.openxmlformats.org/officeDocument/2006/relationships/image" Target="media/image268.png"/><Relationship Id="rId337" Type="http://schemas.openxmlformats.org/officeDocument/2006/relationships/image" Target="media/image269.png"/><Relationship Id="rId338" Type="http://schemas.openxmlformats.org/officeDocument/2006/relationships/image" Target="media/image270.png"/><Relationship Id="rId339" Type="http://schemas.openxmlformats.org/officeDocument/2006/relationships/image" Target="media/image271.png"/><Relationship Id="rId341" Type="http://schemas.openxmlformats.org/officeDocument/2006/relationships/image" Target="media/image272.png"/><Relationship Id="rId342" Type="http://schemas.openxmlformats.org/officeDocument/2006/relationships/image" Target="media/image273.png"/><Relationship Id="rId343" Type="http://schemas.openxmlformats.org/officeDocument/2006/relationships/image" Target="media/image274.png"/><Relationship Id="rId344" Type="http://schemas.openxmlformats.org/officeDocument/2006/relationships/image" Target="media/image275.png"/><Relationship Id="rId345" Type="http://schemas.openxmlformats.org/officeDocument/2006/relationships/image" Target="media/image276.png"/><Relationship Id="rId347" Type="http://schemas.openxmlformats.org/officeDocument/2006/relationships/image" Target="media/image277.png"/><Relationship Id="rId348" Type="http://schemas.openxmlformats.org/officeDocument/2006/relationships/image" Target="media/image278.png"/><Relationship Id="rId349" Type="http://schemas.openxmlformats.org/officeDocument/2006/relationships/image" Target="media/image279.png"/><Relationship Id="rId350" Type="http://schemas.openxmlformats.org/officeDocument/2006/relationships/image" Target="media/image280.png"/><Relationship Id="rId351" Type="http://schemas.openxmlformats.org/officeDocument/2006/relationships/image" Target="media/image281.png"/><Relationship Id="rId353" Type="http://schemas.openxmlformats.org/officeDocument/2006/relationships/image" Target="media/image282.png"/><Relationship Id="rId354" Type="http://schemas.openxmlformats.org/officeDocument/2006/relationships/image" Target="media/image283.png"/><Relationship Id="rId355" Type="http://schemas.openxmlformats.org/officeDocument/2006/relationships/image" Target="media/image284.png"/><Relationship Id="rId356" Type="http://schemas.openxmlformats.org/officeDocument/2006/relationships/image" Target="media/image285.png"/><Relationship Id="rId357" Type="http://schemas.openxmlformats.org/officeDocument/2006/relationships/image" Target="media/image286.png"/><Relationship Id="rId358" Type="http://schemas.openxmlformats.org/officeDocument/2006/relationships/image" Target="media/image287.png"/><Relationship Id="rId359" Type="http://schemas.openxmlformats.org/officeDocument/2006/relationships/image" Target="media/image288.png"/><Relationship Id="rId361" Type="http://schemas.openxmlformats.org/officeDocument/2006/relationships/image" Target="media/image289.png"/><Relationship Id="rId362" Type="http://schemas.openxmlformats.org/officeDocument/2006/relationships/image" Target="media/image290.png"/><Relationship Id="rId363" Type="http://schemas.openxmlformats.org/officeDocument/2006/relationships/image" Target="media/image291.png"/><Relationship Id="rId364" Type="http://schemas.openxmlformats.org/officeDocument/2006/relationships/image" Target="media/image292.png"/><Relationship Id="rId365" Type="http://schemas.openxmlformats.org/officeDocument/2006/relationships/image" Target="media/image293.png"/><Relationship Id="rId366" Type="http://schemas.openxmlformats.org/officeDocument/2006/relationships/image" Target="media/image294.png"/><Relationship Id="rId367" Type="http://schemas.openxmlformats.org/officeDocument/2006/relationships/image" Target="media/image295.png"/><Relationship Id="rId368" Type="http://schemas.openxmlformats.org/officeDocument/2006/relationships/image" Target="media/image296.png"/><Relationship Id="rId369" Type="http://schemas.openxmlformats.org/officeDocument/2006/relationships/image" Target="media/image297.png"/><Relationship Id="rId370" Type="http://schemas.openxmlformats.org/officeDocument/2006/relationships/image" Target="media/image298.png"/><Relationship Id="rId371" Type="http://schemas.openxmlformats.org/officeDocument/2006/relationships/image" Target="media/image299.png"/><Relationship Id="rId372" Type="http://schemas.openxmlformats.org/officeDocument/2006/relationships/image" Target="media/image300.png"/><Relationship Id="rId373" Type="http://schemas.openxmlformats.org/officeDocument/2006/relationships/image" Target="media/image301.png"/><Relationship Id="rId375" Type="http://schemas.openxmlformats.org/officeDocument/2006/relationships/image" Target="media/image302.png"/><Relationship Id="rId376" Type="http://schemas.openxmlformats.org/officeDocument/2006/relationships/image" Target="media/image303.png"/><Relationship Id="rId377" Type="http://schemas.openxmlformats.org/officeDocument/2006/relationships/image" Target="media/image304.png"/><Relationship Id="rId378" Type="http://schemas.openxmlformats.org/officeDocument/2006/relationships/image" Target="media/image305.png"/><Relationship Id="rId379" Type="http://schemas.openxmlformats.org/officeDocument/2006/relationships/image" Target="media/image306.png"/><Relationship Id="rId380" Type="http://schemas.openxmlformats.org/officeDocument/2006/relationships/image" Target="media/image307.png"/><Relationship Id="rId381" Type="http://schemas.openxmlformats.org/officeDocument/2006/relationships/image" Target="media/image308.png"/><Relationship Id="rId382" Type="http://schemas.openxmlformats.org/officeDocument/2006/relationships/image" Target="media/image309.png"/><Relationship Id="rId383" Type="http://schemas.openxmlformats.org/officeDocument/2006/relationships/image" Target="media/image310.png"/><Relationship Id="rId384" Type="http://schemas.openxmlformats.org/officeDocument/2006/relationships/image" Target="media/image311.png"/><Relationship Id="rId385" Type="http://schemas.openxmlformats.org/officeDocument/2006/relationships/image" Target="media/image312.png"/><Relationship Id="rId386" Type="http://schemas.openxmlformats.org/officeDocument/2006/relationships/image" Target="media/image313.png"/><Relationship Id="rId387" Type="http://schemas.openxmlformats.org/officeDocument/2006/relationships/image" Target="media/image314.png"/><Relationship Id="rId388" Type="http://schemas.openxmlformats.org/officeDocument/2006/relationships/image" Target="media/image315.png"/><Relationship Id="rId389" Type="http://schemas.openxmlformats.org/officeDocument/2006/relationships/image" Target="media/image316.png"/><Relationship Id="rId390" Type="http://schemas.openxmlformats.org/officeDocument/2006/relationships/image" Target="media/image317.png"/><Relationship Id="rId391" Type="http://schemas.openxmlformats.org/officeDocument/2006/relationships/image" Target="media/image318.png"/><Relationship Id="rId392" Type="http://schemas.openxmlformats.org/officeDocument/2006/relationships/image" Target="media/image319.png"/><Relationship Id="rId393" Type="http://schemas.openxmlformats.org/officeDocument/2006/relationships/image" Target="media/image320.png"/><Relationship Id="rId394" Type="http://schemas.openxmlformats.org/officeDocument/2006/relationships/image" Target="media/image321.png"/><Relationship Id="rId395" Type="http://schemas.openxmlformats.org/officeDocument/2006/relationships/image" Target="media/image322.png"/><Relationship Id="rId396" Type="http://schemas.openxmlformats.org/officeDocument/2006/relationships/image" Target="media/image323.png"/><Relationship Id="rId397" Type="http://schemas.openxmlformats.org/officeDocument/2006/relationships/image" Target="media/image324.png"/><Relationship Id="rId398" Type="http://schemas.openxmlformats.org/officeDocument/2006/relationships/image" Target="media/image325.png"/><Relationship Id="rId399" Type="http://schemas.openxmlformats.org/officeDocument/2006/relationships/image" Target="media/image326.png"/><Relationship Id="rId400" Type="http://schemas.openxmlformats.org/officeDocument/2006/relationships/image" Target="media/image327.png"/><Relationship Id="rId401" Type="http://schemas.openxmlformats.org/officeDocument/2006/relationships/image" Target="media/image328.png"/><Relationship Id="rId402" Type="http://schemas.openxmlformats.org/officeDocument/2006/relationships/image" Target="media/image329.png"/><Relationship Id="rId403" Type="http://schemas.openxmlformats.org/officeDocument/2006/relationships/image" Target="media/image330.png"/><Relationship Id="rId404" Type="http://schemas.openxmlformats.org/officeDocument/2006/relationships/image" Target="media/image331.png"/><Relationship Id="rId405" Type="http://schemas.openxmlformats.org/officeDocument/2006/relationships/image" Target="media/image332.png"/><Relationship Id="rId406" Type="http://schemas.openxmlformats.org/officeDocument/2006/relationships/image" Target="media/image333.png"/><Relationship Id="rId407" Type="http://schemas.openxmlformats.org/officeDocument/2006/relationships/image" Target="media/image334.png"/><Relationship Id="rId408" Type="http://schemas.openxmlformats.org/officeDocument/2006/relationships/image" Target="media/image335.png"/><Relationship Id="rId409" Type="http://schemas.openxmlformats.org/officeDocument/2006/relationships/image" Target="media/image336.png"/><Relationship Id="rId410" Type="http://schemas.openxmlformats.org/officeDocument/2006/relationships/image" Target="media/image337.png"/><Relationship Id="rId411" Type="http://schemas.openxmlformats.org/officeDocument/2006/relationships/image" Target="media/image338.png"/><Relationship Id="rId412" Type="http://schemas.openxmlformats.org/officeDocument/2006/relationships/image" Target="media/image339.png"/><Relationship Id="rId413" Type="http://schemas.openxmlformats.org/officeDocument/2006/relationships/image" Target="media/image340.png"/><Relationship Id="rId414" Type="http://schemas.openxmlformats.org/officeDocument/2006/relationships/image" Target="media/image341.png"/><Relationship Id="rId415" Type="http://schemas.openxmlformats.org/officeDocument/2006/relationships/image" Target="media/image342.png"/><Relationship Id="rId416" Type="http://schemas.openxmlformats.org/officeDocument/2006/relationships/image" Target="media/image343.png"/><Relationship Id="rId417" Type="http://schemas.openxmlformats.org/officeDocument/2006/relationships/image" Target="media/image344.png"/><Relationship Id="rId418" Type="http://schemas.openxmlformats.org/officeDocument/2006/relationships/image" Target="media/image345.png"/><Relationship Id="rId419" Type="http://schemas.openxmlformats.org/officeDocument/2006/relationships/image" Target="media/image346.png"/><Relationship Id="rId420" Type="http://schemas.openxmlformats.org/officeDocument/2006/relationships/image" Target="media/image347.png"/><Relationship Id="rId421" Type="http://schemas.openxmlformats.org/officeDocument/2006/relationships/image" Target="media/image348.png"/><Relationship Id="rId422" Type="http://schemas.openxmlformats.org/officeDocument/2006/relationships/image" Target="media/image349.png"/><Relationship Id="rId423" Type="http://schemas.openxmlformats.org/officeDocument/2006/relationships/image" Target="media/image350.png"/><Relationship Id="rId424" Type="http://schemas.openxmlformats.org/officeDocument/2006/relationships/image" Target="media/image351.png"/><Relationship Id="rId425" Type="http://schemas.openxmlformats.org/officeDocument/2006/relationships/image" Target="media/image352.png"/><Relationship Id="rId426" Type="http://schemas.openxmlformats.org/officeDocument/2006/relationships/image" Target="media/image353.png"/><Relationship Id="rId427" Type="http://schemas.openxmlformats.org/officeDocument/2006/relationships/image" Target="media/image354.png"/><Relationship Id="rId428" Type="http://schemas.openxmlformats.org/officeDocument/2006/relationships/image" Target="media/image355.png"/><Relationship Id="rId429" Type="http://schemas.openxmlformats.org/officeDocument/2006/relationships/image" Target="media/image356.png"/><Relationship Id="rId430" Type="http://schemas.openxmlformats.org/officeDocument/2006/relationships/image" Target="media/image357.png"/><Relationship Id="rId431" Type="http://schemas.openxmlformats.org/officeDocument/2006/relationships/image" Target="media/image358.png"/><Relationship Id="rId432" Type="http://schemas.openxmlformats.org/officeDocument/2006/relationships/image" Target="media/image359.png"/><Relationship Id="rId433" Type="http://schemas.openxmlformats.org/officeDocument/2006/relationships/image" Target="media/image360.png"/><Relationship Id="rId434" Type="http://schemas.openxmlformats.org/officeDocument/2006/relationships/image" Target="media/image361.png"/><Relationship Id="rId435" Type="http://schemas.openxmlformats.org/officeDocument/2006/relationships/image" Target="media/image362.png"/><Relationship Id="rId436" Type="http://schemas.openxmlformats.org/officeDocument/2006/relationships/image" Target="media/image363.png"/><Relationship Id="rId437" Type="http://schemas.openxmlformats.org/officeDocument/2006/relationships/image" Target="media/image364.png"/><Relationship Id="rId438" Type="http://schemas.openxmlformats.org/officeDocument/2006/relationships/image" Target="media/image365.png"/><Relationship Id="rId439" Type="http://schemas.openxmlformats.org/officeDocument/2006/relationships/image" Target="media/image366.png"/><Relationship Id="rId440" Type="http://schemas.openxmlformats.org/officeDocument/2006/relationships/image" Target="media/image367.png"/><Relationship Id="rId441" Type="http://schemas.openxmlformats.org/officeDocument/2006/relationships/image" Target="media/image368.png"/><Relationship Id="rId442" Type="http://schemas.openxmlformats.org/officeDocument/2006/relationships/image" Target="media/image369.png"/><Relationship Id="rId443" Type="http://schemas.openxmlformats.org/officeDocument/2006/relationships/image" Target="media/image370.png"/><Relationship Id="rId444" Type="http://schemas.openxmlformats.org/officeDocument/2006/relationships/image" Target="media/image371.png"/><Relationship Id="rId445" Type="http://schemas.openxmlformats.org/officeDocument/2006/relationships/image" Target="media/image372.png"/><Relationship Id="rId446" Type="http://schemas.openxmlformats.org/officeDocument/2006/relationships/image" Target="media/image373.png"/><Relationship Id="rId447" Type="http://schemas.openxmlformats.org/officeDocument/2006/relationships/image" Target="media/image374.png"/><Relationship Id="rId448" Type="http://schemas.openxmlformats.org/officeDocument/2006/relationships/image" Target="media/image375.png"/><Relationship Id="rId449" Type="http://schemas.openxmlformats.org/officeDocument/2006/relationships/image" Target="media/image376.png"/><Relationship Id="rId450" Type="http://schemas.openxmlformats.org/officeDocument/2006/relationships/image" Target="media/image377.png"/><Relationship Id="rId451" Type="http://schemas.openxmlformats.org/officeDocument/2006/relationships/image" Target="media/image378.png"/><Relationship Id="rId452" Type="http://schemas.openxmlformats.org/officeDocument/2006/relationships/image" Target="media/image379.png"/><Relationship Id="rId453" Type="http://schemas.openxmlformats.org/officeDocument/2006/relationships/image" Target="media/image380.png"/><Relationship Id="rId454" Type="http://schemas.openxmlformats.org/officeDocument/2006/relationships/image" Target="media/image381.png"/><Relationship Id="rId455" Type="http://schemas.openxmlformats.org/officeDocument/2006/relationships/image" Target="media/image382.png"/><Relationship Id="rId456" Type="http://schemas.openxmlformats.org/officeDocument/2006/relationships/image" Target="media/image383.png"/><Relationship Id="rId457" Type="http://schemas.openxmlformats.org/officeDocument/2006/relationships/image" Target="media/image384.png"/><Relationship Id="rId458" Type="http://schemas.openxmlformats.org/officeDocument/2006/relationships/image" Target="media/image385.png"/><Relationship Id="rId459" Type="http://schemas.openxmlformats.org/officeDocument/2006/relationships/image" Target="media/image386.png"/><Relationship Id="rId460" Type="http://schemas.openxmlformats.org/officeDocument/2006/relationships/image" Target="media/image387.png"/><Relationship Id="rId461" Type="http://schemas.openxmlformats.org/officeDocument/2006/relationships/image" Target="media/image388.png"/><Relationship Id="rId462" Type="http://schemas.openxmlformats.org/officeDocument/2006/relationships/image" Target="media/image389.png"/><Relationship Id="rId463" Type="http://schemas.openxmlformats.org/officeDocument/2006/relationships/image" Target="media/image390.png"/><Relationship Id="rId464" Type="http://schemas.openxmlformats.org/officeDocument/2006/relationships/image" Target="media/image391.png"/><Relationship Id="rId465" Type="http://schemas.openxmlformats.org/officeDocument/2006/relationships/image" Target="media/image392.png"/><Relationship Id="rId466" Type="http://schemas.openxmlformats.org/officeDocument/2006/relationships/image" Target="media/image393.png"/><Relationship Id="rId467" Type="http://schemas.openxmlformats.org/officeDocument/2006/relationships/image" Target="media/image394.png"/><Relationship Id="rId468" Type="http://schemas.openxmlformats.org/officeDocument/2006/relationships/image" Target="media/image395.png"/><Relationship Id="rId469" Type="http://schemas.openxmlformats.org/officeDocument/2006/relationships/image" Target="media/image396.png"/><Relationship Id="rId470" Type="http://schemas.openxmlformats.org/officeDocument/2006/relationships/image" Target="media/image397.png"/><Relationship Id="rId471" Type="http://schemas.openxmlformats.org/officeDocument/2006/relationships/image" Target="media/image398.png"/><Relationship Id="rId472" Type="http://schemas.openxmlformats.org/officeDocument/2006/relationships/image" Target="media/image399.png"/><Relationship Id="rId473" Type="http://schemas.openxmlformats.org/officeDocument/2006/relationships/image" Target="media/image400.png"/><Relationship Id="rId474" Type="http://schemas.openxmlformats.org/officeDocument/2006/relationships/image" Target="media/image401.png"/><Relationship Id="rId475" Type="http://schemas.openxmlformats.org/officeDocument/2006/relationships/image" Target="media/image402.png"/><Relationship Id="rId476" Type="http://schemas.openxmlformats.org/officeDocument/2006/relationships/image" Target="media/image403.png"/><Relationship Id="rId477" Type="http://schemas.openxmlformats.org/officeDocument/2006/relationships/image" Target="media/image404.png"/><Relationship Id="rId478" Type="http://schemas.openxmlformats.org/officeDocument/2006/relationships/image" Target="media/image405.png"/><Relationship Id="rId479" Type="http://schemas.openxmlformats.org/officeDocument/2006/relationships/image" Target="media/image406.png"/><Relationship Id="rId480" Type="http://schemas.openxmlformats.org/officeDocument/2006/relationships/image" Target="media/image407.png"/><Relationship Id="rId481" Type="http://schemas.openxmlformats.org/officeDocument/2006/relationships/image" Target="media/image408.png"/><Relationship Id="rId482" Type="http://schemas.openxmlformats.org/officeDocument/2006/relationships/image" Target="media/image409.png"/><Relationship Id="rId483" Type="http://schemas.openxmlformats.org/officeDocument/2006/relationships/image" Target="media/image410.png"/><Relationship Id="rId484" Type="http://schemas.openxmlformats.org/officeDocument/2006/relationships/image" Target="media/image411.png"/><Relationship Id="rId485" Type="http://schemas.openxmlformats.org/officeDocument/2006/relationships/image" Target="media/image412.png"/><Relationship Id="rId486" Type="http://schemas.openxmlformats.org/officeDocument/2006/relationships/image" Target="media/image413.png"/><Relationship Id="rId487" Type="http://schemas.openxmlformats.org/officeDocument/2006/relationships/image" Target="media/image414.png"/><Relationship Id="rId488" Type="http://schemas.openxmlformats.org/officeDocument/2006/relationships/image" Target="media/image415.png"/><Relationship Id="rId489" Type="http://schemas.openxmlformats.org/officeDocument/2006/relationships/image" Target="media/image416.png"/><Relationship Id="rId490" Type="http://schemas.openxmlformats.org/officeDocument/2006/relationships/image" Target="media/image417.png"/><Relationship Id="rId491" Type="http://schemas.openxmlformats.org/officeDocument/2006/relationships/image" Target="media/image418.png"/><Relationship Id="rId492" Type="http://schemas.openxmlformats.org/officeDocument/2006/relationships/image" Target="media/image419.png"/><Relationship Id="rId493" Type="http://schemas.openxmlformats.org/officeDocument/2006/relationships/image" Target="media/image420.png"/><Relationship Id="rId494" Type="http://schemas.openxmlformats.org/officeDocument/2006/relationships/image" Target="media/image421.png"/><Relationship Id="rId495" Type="http://schemas.openxmlformats.org/officeDocument/2006/relationships/image" Target="media/image422.png"/><Relationship Id="rId496" Type="http://schemas.openxmlformats.org/officeDocument/2006/relationships/image" Target="media/image423.png"/><Relationship Id="rId497" Type="http://schemas.openxmlformats.org/officeDocument/2006/relationships/image" Target="media/image424.png"/><Relationship Id="rId498" Type="http://schemas.openxmlformats.org/officeDocument/2006/relationships/image" Target="media/image425.png"/><Relationship Id="rId499" Type="http://schemas.openxmlformats.org/officeDocument/2006/relationships/image" Target="media/image426.png"/><Relationship Id="rId500" Type="http://schemas.openxmlformats.org/officeDocument/2006/relationships/image" Target="media/image427.png"/><Relationship Id="rId501" Type="http://schemas.openxmlformats.org/officeDocument/2006/relationships/image" Target="media/image428.png"/><Relationship Id="rId502" Type="http://schemas.openxmlformats.org/officeDocument/2006/relationships/image" Target="media/image429.png"/><Relationship Id="rId503" Type="http://schemas.openxmlformats.org/officeDocument/2006/relationships/image" Target="media/image430.png"/><Relationship Id="rId504" Type="http://schemas.openxmlformats.org/officeDocument/2006/relationships/image" Target="media/image431.png"/><Relationship Id="rId505" Type="http://schemas.openxmlformats.org/officeDocument/2006/relationships/image" Target="media/image432.png"/><Relationship Id="rId506" Type="http://schemas.openxmlformats.org/officeDocument/2006/relationships/image" Target="media/image433.png"/><Relationship Id="rId507" Type="http://schemas.openxmlformats.org/officeDocument/2006/relationships/image" Target="media/image434.png"/><Relationship Id="rId508" Type="http://schemas.openxmlformats.org/officeDocument/2006/relationships/image" Target="media/image435.png"/><Relationship Id="rId509" Type="http://schemas.openxmlformats.org/officeDocument/2006/relationships/image" Target="media/image436.png"/><Relationship Id="rId510" Type="http://schemas.openxmlformats.org/officeDocument/2006/relationships/image" Target="media/image437.png"/><Relationship Id="rId511" Type="http://schemas.openxmlformats.org/officeDocument/2006/relationships/image" Target="media/image438.png"/><Relationship Id="rId512" Type="http://schemas.openxmlformats.org/officeDocument/2006/relationships/image" Target="media/image439.png"/><Relationship Id="rId513" Type="http://schemas.openxmlformats.org/officeDocument/2006/relationships/image" Target="media/image440.png"/><Relationship Id="rId514" Type="http://schemas.openxmlformats.org/officeDocument/2006/relationships/image" Target="media/image441.png"/><Relationship Id="rId515" Type="http://schemas.openxmlformats.org/officeDocument/2006/relationships/image" Target="media/image442.png"/><Relationship Id="rId516" Type="http://schemas.openxmlformats.org/officeDocument/2006/relationships/image" Target="media/image443.png"/><Relationship Id="rId517" Type="http://schemas.openxmlformats.org/officeDocument/2006/relationships/image" Target="media/image444.png"/><Relationship Id="rId518" Type="http://schemas.openxmlformats.org/officeDocument/2006/relationships/image" Target="media/image445.png"/><Relationship Id="rId519" Type="http://schemas.openxmlformats.org/officeDocument/2006/relationships/image" Target="media/image446.png"/><Relationship Id="rId520" Type="http://schemas.openxmlformats.org/officeDocument/2006/relationships/image" Target="media/image447.png"/><Relationship Id="rId521" Type="http://schemas.openxmlformats.org/officeDocument/2006/relationships/image" Target="media/image448.png"/><Relationship Id="rId522" Type="http://schemas.openxmlformats.org/officeDocument/2006/relationships/image" Target="media/image449.png"/><Relationship Id="rId523" Type="http://schemas.openxmlformats.org/officeDocument/2006/relationships/image" Target="media/image450.png"/><Relationship Id="rId524" Type="http://schemas.openxmlformats.org/officeDocument/2006/relationships/image" Target="media/image451.png"/><Relationship Id="rId525" Type="http://schemas.openxmlformats.org/officeDocument/2006/relationships/image" Target="media/image452.png"/><Relationship Id="rId526" Type="http://schemas.openxmlformats.org/officeDocument/2006/relationships/image" Target="media/image453.png"/><Relationship Id="rId527" Type="http://schemas.openxmlformats.org/officeDocument/2006/relationships/image" Target="media/image454.png"/><Relationship Id="rId528" Type="http://schemas.openxmlformats.org/officeDocument/2006/relationships/image" Target="media/image455.png"/><Relationship Id="rId529" Type="http://schemas.openxmlformats.org/officeDocument/2006/relationships/image" Target="media/image456.png"/><Relationship Id="rId530" Type="http://schemas.openxmlformats.org/officeDocument/2006/relationships/image" Target="media/image457.png"/><Relationship Id="rId531" Type="http://schemas.openxmlformats.org/officeDocument/2006/relationships/image" Target="media/image458.png"/><Relationship Id="rId532" Type="http://schemas.openxmlformats.org/officeDocument/2006/relationships/image" Target="media/image459.png"/><Relationship Id="rId533" Type="http://schemas.openxmlformats.org/officeDocument/2006/relationships/image" Target="media/image460.png"/><Relationship Id="rId534" Type="http://schemas.openxmlformats.org/officeDocument/2006/relationships/image" Target="media/image461.png"/><Relationship Id="rId535" Type="http://schemas.openxmlformats.org/officeDocument/2006/relationships/image" Target="media/image462.png"/><Relationship Id="rId536" Type="http://schemas.openxmlformats.org/officeDocument/2006/relationships/image" Target="media/image463.png"/><Relationship Id="rId537" Type="http://schemas.openxmlformats.org/officeDocument/2006/relationships/image" Target="media/image464.png"/><Relationship Id="rId538" Type="http://schemas.openxmlformats.org/officeDocument/2006/relationships/image" Target="media/image465.png"/><Relationship Id="rId539" Type="http://schemas.openxmlformats.org/officeDocument/2006/relationships/image" Target="media/image466.png"/><Relationship Id="rId540" Type="http://schemas.openxmlformats.org/officeDocument/2006/relationships/image" Target="media/image467.png"/><Relationship Id="rId541" Type="http://schemas.openxmlformats.org/officeDocument/2006/relationships/image" Target="media/image468.png"/><Relationship Id="rId542" Type="http://schemas.openxmlformats.org/officeDocument/2006/relationships/image" Target="media/image469.png"/><Relationship Id="rId543" Type="http://schemas.openxmlformats.org/officeDocument/2006/relationships/image" Target="media/image470.png"/><Relationship Id="rId544" Type="http://schemas.openxmlformats.org/officeDocument/2006/relationships/image" Target="media/image471.png"/><Relationship Id="rId545" Type="http://schemas.openxmlformats.org/officeDocument/2006/relationships/image" Target="media/image472.png"/><Relationship Id="rId546" Type="http://schemas.openxmlformats.org/officeDocument/2006/relationships/image" Target="media/image473.png"/><Relationship Id="rId547" Type="http://schemas.openxmlformats.org/officeDocument/2006/relationships/image" Target="media/image474.png"/><Relationship Id="rId548" Type="http://schemas.openxmlformats.org/officeDocument/2006/relationships/image" Target="media/image475.png"/><Relationship Id="rId549" Type="http://schemas.openxmlformats.org/officeDocument/2006/relationships/image" Target="media/image476.png"/><Relationship Id="rId550" Type="http://schemas.openxmlformats.org/officeDocument/2006/relationships/image" Target="media/image477.png"/><Relationship Id="rId551" Type="http://schemas.openxmlformats.org/officeDocument/2006/relationships/image" Target="media/image478.png"/><Relationship Id="rId552" Type="http://schemas.openxmlformats.org/officeDocument/2006/relationships/image" Target="media/image479.png"/><Relationship Id="rId553" Type="http://schemas.openxmlformats.org/officeDocument/2006/relationships/image" Target="media/image480.png"/><Relationship Id="rId554" Type="http://schemas.openxmlformats.org/officeDocument/2006/relationships/image" Target="media/image481.png"/><Relationship Id="rId555" Type="http://schemas.openxmlformats.org/officeDocument/2006/relationships/image" Target="media/image482.png"/><Relationship Id="rId556" Type="http://schemas.openxmlformats.org/officeDocument/2006/relationships/image" Target="media/image483.png"/><Relationship Id="rId557" Type="http://schemas.openxmlformats.org/officeDocument/2006/relationships/image" Target="media/image484.png"/><Relationship Id="rId558" Type="http://schemas.openxmlformats.org/officeDocument/2006/relationships/image" Target="media/image485.png"/><Relationship Id="rId559" Type="http://schemas.openxmlformats.org/officeDocument/2006/relationships/image" Target="media/image486.png"/><Relationship Id="rId560" Type="http://schemas.openxmlformats.org/officeDocument/2006/relationships/image" Target="media/image487.png"/><Relationship Id="rId561" Type="http://schemas.openxmlformats.org/officeDocument/2006/relationships/image" Target="media/image488.png"/><Relationship Id="rId562" Type="http://schemas.openxmlformats.org/officeDocument/2006/relationships/image" Target="media/image489.png"/><Relationship Id="rId563" Type="http://schemas.openxmlformats.org/officeDocument/2006/relationships/image" Target="media/image490.png"/><Relationship Id="rId564" Type="http://schemas.openxmlformats.org/officeDocument/2006/relationships/image" Target="media/image491.png"/><Relationship Id="rId565" Type="http://schemas.openxmlformats.org/officeDocument/2006/relationships/image" Target="media/image492.png"/><Relationship Id="rId566" Type="http://schemas.openxmlformats.org/officeDocument/2006/relationships/image" Target="media/image493.png"/><Relationship Id="rId567" Type="http://schemas.openxmlformats.org/officeDocument/2006/relationships/image" Target="media/image494.png"/><Relationship Id="rId568" Type="http://schemas.openxmlformats.org/officeDocument/2006/relationships/image" Target="media/image495.png"/><Relationship Id="rId569" Type="http://schemas.openxmlformats.org/officeDocument/2006/relationships/image" Target="media/image496.png"/><Relationship Id="rId570" Type="http://schemas.openxmlformats.org/officeDocument/2006/relationships/image" Target="media/image497.png"/><Relationship Id="rId571" Type="http://schemas.openxmlformats.org/officeDocument/2006/relationships/image" Target="media/image498.png"/><Relationship Id="rId572" Type="http://schemas.openxmlformats.org/officeDocument/2006/relationships/image" Target="media/image499.png"/><Relationship Id="rId573" Type="http://schemas.openxmlformats.org/officeDocument/2006/relationships/image" Target="media/image500.png"/><Relationship Id="rId574" Type="http://schemas.openxmlformats.org/officeDocument/2006/relationships/image" Target="media/image501.png"/><Relationship Id="rId575" Type="http://schemas.openxmlformats.org/officeDocument/2006/relationships/image" Target="media/image502.png"/><Relationship Id="rId576" Type="http://schemas.openxmlformats.org/officeDocument/2006/relationships/image" Target="media/image503.png"/><Relationship Id="rId577" Type="http://schemas.openxmlformats.org/officeDocument/2006/relationships/image" Target="media/image504.png"/><Relationship Id="rId578" Type="http://schemas.openxmlformats.org/officeDocument/2006/relationships/image" Target="media/image505.png"/><Relationship Id="rId579" Type="http://schemas.openxmlformats.org/officeDocument/2006/relationships/image" Target="media/image506.png"/><Relationship Id="rId580" Type="http://schemas.openxmlformats.org/officeDocument/2006/relationships/image" Target="media/image507.png"/><Relationship Id="rId581" Type="http://schemas.openxmlformats.org/officeDocument/2006/relationships/image" Target="media/image508.png"/><Relationship Id="rId582" Type="http://schemas.openxmlformats.org/officeDocument/2006/relationships/image" Target="media/image509.png"/><Relationship Id="rId583" Type="http://schemas.openxmlformats.org/officeDocument/2006/relationships/image" Target="media/image510.png"/><Relationship Id="rId584" Type="http://schemas.openxmlformats.org/officeDocument/2006/relationships/image" Target="media/image511.png"/><Relationship Id="rId585" Type="http://schemas.openxmlformats.org/officeDocument/2006/relationships/image" Target="media/image512.png"/><Relationship Id="rId586" Type="http://schemas.openxmlformats.org/officeDocument/2006/relationships/image" Target="media/image513.png"/><Relationship Id="rId587" Type="http://schemas.openxmlformats.org/officeDocument/2006/relationships/image" Target="media/image514.png"/><Relationship Id="rId588" Type="http://schemas.openxmlformats.org/officeDocument/2006/relationships/image" Target="media/image515.png"/><Relationship Id="rId589" Type="http://schemas.openxmlformats.org/officeDocument/2006/relationships/image" Target="media/image516.png"/><Relationship Id="rId590" Type="http://schemas.openxmlformats.org/officeDocument/2006/relationships/image" Target="media/image517.png"/><Relationship Id="rId591" Type="http://schemas.openxmlformats.org/officeDocument/2006/relationships/image" Target="media/image518.png"/><Relationship Id="rId592" Type="http://schemas.openxmlformats.org/officeDocument/2006/relationships/image" Target="media/image519.png"/><Relationship Id="rId593" Type="http://schemas.openxmlformats.org/officeDocument/2006/relationships/image" Target="media/image520.png"/><Relationship Id="rId594" Type="http://schemas.openxmlformats.org/officeDocument/2006/relationships/image" Target="media/image521.png"/><Relationship Id="rId595" Type="http://schemas.openxmlformats.org/officeDocument/2006/relationships/image" Target="media/image522.png"/><Relationship Id="rId596" Type="http://schemas.openxmlformats.org/officeDocument/2006/relationships/image" Target="media/image523.png"/><Relationship Id="rId597" Type="http://schemas.openxmlformats.org/officeDocument/2006/relationships/image" Target="media/image524.png"/><Relationship Id="rId598" Type="http://schemas.openxmlformats.org/officeDocument/2006/relationships/image" Target="media/image525.png"/><Relationship Id="rId599" Type="http://schemas.openxmlformats.org/officeDocument/2006/relationships/image" Target="media/image526.png"/><Relationship Id="rId600" Type="http://schemas.openxmlformats.org/officeDocument/2006/relationships/image" Target="media/image527.png"/><Relationship Id="rId601" Type="http://schemas.openxmlformats.org/officeDocument/2006/relationships/image" Target="media/image528.png"/><Relationship Id="rId602" Type="http://schemas.openxmlformats.org/officeDocument/2006/relationships/image" Target="media/image529.png"/><Relationship Id="rId603" Type="http://schemas.openxmlformats.org/officeDocument/2006/relationships/image" Target="media/image530.png"/><Relationship Id="rId604" Type="http://schemas.openxmlformats.org/officeDocument/2006/relationships/image" Target="media/image531.png"/><Relationship Id="rId605" Type="http://schemas.openxmlformats.org/officeDocument/2006/relationships/image" Target="media/image532.png"/><Relationship Id="rId606" Type="http://schemas.openxmlformats.org/officeDocument/2006/relationships/image" Target="media/image533.png"/><Relationship Id="rId607" Type="http://schemas.openxmlformats.org/officeDocument/2006/relationships/image" Target="media/image534.png"/><Relationship Id="rId608" Type="http://schemas.openxmlformats.org/officeDocument/2006/relationships/image" Target="media/image535.png"/><Relationship Id="rId609" Type="http://schemas.openxmlformats.org/officeDocument/2006/relationships/image" Target="media/image536.png"/><Relationship Id="rId610" Type="http://schemas.openxmlformats.org/officeDocument/2006/relationships/image" Target="media/image537.png"/><Relationship Id="rId611" Type="http://schemas.openxmlformats.org/officeDocument/2006/relationships/image" Target="media/image538.png"/><Relationship Id="rId612" Type="http://schemas.openxmlformats.org/officeDocument/2006/relationships/image" Target="media/image539.png"/><Relationship Id="rId613" Type="http://schemas.openxmlformats.org/officeDocument/2006/relationships/image" Target="media/image540.png"/><Relationship Id="rId614" Type="http://schemas.openxmlformats.org/officeDocument/2006/relationships/image" Target="media/image541.png"/><Relationship Id="rId615" Type="http://schemas.openxmlformats.org/officeDocument/2006/relationships/image" Target="media/image542.png"/><Relationship Id="rId616" Type="http://schemas.openxmlformats.org/officeDocument/2006/relationships/image" Target="media/image543.png"/><Relationship Id="rId617" Type="http://schemas.openxmlformats.org/officeDocument/2006/relationships/image" Target="media/image544.png"/><Relationship Id="rId618" Type="http://schemas.openxmlformats.org/officeDocument/2006/relationships/image" Target="media/image545.png"/><Relationship Id="rId619" Type="http://schemas.openxmlformats.org/officeDocument/2006/relationships/image" Target="media/image546.png"/><Relationship Id="rId620" Type="http://schemas.openxmlformats.org/officeDocument/2006/relationships/image" Target="media/image547.png"/><Relationship Id="rId621" Type="http://schemas.openxmlformats.org/officeDocument/2006/relationships/image" Target="media/image548.png"/><Relationship Id="rId622" Type="http://schemas.openxmlformats.org/officeDocument/2006/relationships/image" Target="media/image549.png"/><Relationship Id="rId623" Type="http://schemas.openxmlformats.org/officeDocument/2006/relationships/image" Target="media/image550.png"/><Relationship Id="rId624" Type="http://schemas.openxmlformats.org/officeDocument/2006/relationships/image" Target="media/image551.png"/><Relationship Id="rId625" Type="http://schemas.openxmlformats.org/officeDocument/2006/relationships/image" Target="media/image552.png"/><Relationship Id="rId626" Type="http://schemas.openxmlformats.org/officeDocument/2006/relationships/image" Target="media/image553.png"/><Relationship Id="rId627" Type="http://schemas.openxmlformats.org/officeDocument/2006/relationships/image" Target="media/image554.png"/><Relationship Id="rId628" Type="http://schemas.openxmlformats.org/officeDocument/2006/relationships/image" Target="media/image555.png"/><Relationship Id="rId629" Type="http://schemas.openxmlformats.org/officeDocument/2006/relationships/image" Target="media/image556.png"/><Relationship Id="rId630" Type="http://schemas.openxmlformats.org/officeDocument/2006/relationships/image" Target="media/image557.png"/><Relationship Id="rId631" Type="http://schemas.openxmlformats.org/officeDocument/2006/relationships/image" Target="media/image558.png"/><Relationship Id="rId632" Type="http://schemas.openxmlformats.org/officeDocument/2006/relationships/image" Target="media/image559.png"/><Relationship Id="rId633" Type="http://schemas.openxmlformats.org/officeDocument/2006/relationships/image" Target="media/image560.png"/><Relationship Id="rId634" Type="http://schemas.openxmlformats.org/officeDocument/2006/relationships/image" Target="media/image561.png"/><Relationship Id="rId635" Type="http://schemas.openxmlformats.org/officeDocument/2006/relationships/image" Target="media/image562.png"/><Relationship Id="rId636" Type="http://schemas.openxmlformats.org/officeDocument/2006/relationships/image" Target="media/image563.png"/><Relationship Id="rId637" Type="http://schemas.openxmlformats.org/officeDocument/2006/relationships/image" Target="media/image564.png"/><Relationship Id="rId638" Type="http://schemas.openxmlformats.org/officeDocument/2006/relationships/image" Target="media/image565.png"/><Relationship Id="rId639" Type="http://schemas.openxmlformats.org/officeDocument/2006/relationships/image" Target="media/image566.png"/><Relationship Id="rId640" Type="http://schemas.openxmlformats.org/officeDocument/2006/relationships/image" Target="media/image567.png"/><Relationship Id="rId641" Type="http://schemas.openxmlformats.org/officeDocument/2006/relationships/image" Target="media/image568.png"/><Relationship Id="rId642" Type="http://schemas.openxmlformats.org/officeDocument/2006/relationships/image" Target="media/image569.png"/><Relationship Id="rId643" Type="http://schemas.openxmlformats.org/officeDocument/2006/relationships/image" Target="media/image570.png"/><Relationship Id="rId644" Type="http://schemas.openxmlformats.org/officeDocument/2006/relationships/image" Target="media/image571.png"/><Relationship Id="rId645" Type="http://schemas.openxmlformats.org/officeDocument/2006/relationships/image" Target="media/image572.png"/><Relationship Id="rId646" Type="http://schemas.openxmlformats.org/officeDocument/2006/relationships/image" Target="media/image573.png"/><Relationship Id="rId647" Type="http://schemas.openxmlformats.org/officeDocument/2006/relationships/image" Target="media/image574.png"/><Relationship Id="rId648" Type="http://schemas.openxmlformats.org/officeDocument/2006/relationships/image" Target="media/image575.png"/><Relationship Id="rId649" Type="http://schemas.openxmlformats.org/officeDocument/2006/relationships/image" Target="media/image576.png"/><Relationship Id="rId650" Type="http://schemas.openxmlformats.org/officeDocument/2006/relationships/image" Target="media/image577.png"/><Relationship Id="rId651" Type="http://schemas.openxmlformats.org/officeDocument/2006/relationships/image" Target="media/image578.png"/><Relationship Id="rId652" Type="http://schemas.openxmlformats.org/officeDocument/2006/relationships/image" Target="media/image579.png"/><Relationship Id="rId653" Type="http://schemas.openxmlformats.org/officeDocument/2006/relationships/image" Target="media/image580.png"/><Relationship Id="rId654" Type="http://schemas.openxmlformats.org/officeDocument/2006/relationships/image" Target="media/image581.png"/><Relationship Id="rId655" Type="http://schemas.openxmlformats.org/officeDocument/2006/relationships/image" Target="media/image582.png"/><Relationship Id="rId656" Type="http://schemas.openxmlformats.org/officeDocument/2006/relationships/image" Target="media/image583.png"/><Relationship Id="rId657" Type="http://schemas.openxmlformats.org/officeDocument/2006/relationships/image" Target="media/image584.png"/><Relationship Id="rId658" Type="http://schemas.openxmlformats.org/officeDocument/2006/relationships/image" Target="media/image585.png"/><Relationship Id="rId659" Type="http://schemas.openxmlformats.org/officeDocument/2006/relationships/image" Target="media/image586.png"/><Relationship Id="rId660" Type="http://schemas.openxmlformats.org/officeDocument/2006/relationships/image" Target="media/image587.png"/><Relationship Id="rId661" Type="http://schemas.openxmlformats.org/officeDocument/2006/relationships/image" Target="media/image588.png"/><Relationship Id="rId662" Type="http://schemas.openxmlformats.org/officeDocument/2006/relationships/image" Target="media/image589.png"/><Relationship Id="rId663" Type="http://schemas.openxmlformats.org/officeDocument/2006/relationships/image" Target="media/image590.png"/><Relationship Id="rId664" Type="http://schemas.openxmlformats.org/officeDocument/2006/relationships/image" Target="media/image591.png"/><Relationship Id="rId665" Type="http://schemas.openxmlformats.org/officeDocument/2006/relationships/image" Target="media/image592.png"/><Relationship Id="rId666" Type="http://schemas.openxmlformats.org/officeDocument/2006/relationships/image" Target="media/image593.png"/><Relationship Id="rId667" Type="http://schemas.openxmlformats.org/officeDocument/2006/relationships/image" Target="media/image594.png"/><Relationship Id="rId668" Type="http://schemas.openxmlformats.org/officeDocument/2006/relationships/image" Target="media/image595.png"/><Relationship Id="rId669" Type="http://schemas.openxmlformats.org/officeDocument/2006/relationships/image" Target="media/image596.png"/><Relationship Id="rId670" Type="http://schemas.openxmlformats.org/officeDocument/2006/relationships/image" Target="media/image597.png"/><Relationship Id="rId671" Type="http://schemas.openxmlformats.org/officeDocument/2006/relationships/image" Target="media/image598.png"/><Relationship Id="rId672" Type="http://schemas.openxmlformats.org/officeDocument/2006/relationships/image" Target="media/image599.png"/><Relationship Id="rId673" Type="http://schemas.openxmlformats.org/officeDocument/2006/relationships/image" Target="media/image600.png"/><Relationship Id="rId674" Type="http://schemas.openxmlformats.org/officeDocument/2006/relationships/image" Target="media/image601.png"/><Relationship Id="rId675" Type="http://schemas.openxmlformats.org/officeDocument/2006/relationships/image" Target="media/image602.png"/><Relationship Id="rId676" Type="http://schemas.openxmlformats.org/officeDocument/2006/relationships/image" Target="media/image603.png"/><Relationship Id="rId677" Type="http://schemas.openxmlformats.org/officeDocument/2006/relationships/image" Target="media/image604.png"/><Relationship Id="rId678" Type="http://schemas.openxmlformats.org/officeDocument/2006/relationships/image" Target="media/image605.png"/><Relationship Id="rId679" Type="http://schemas.openxmlformats.org/officeDocument/2006/relationships/image" Target="media/image606.png"/><Relationship Id="rId680" Type="http://schemas.openxmlformats.org/officeDocument/2006/relationships/image" Target="media/image607.png"/><Relationship Id="rId681" Type="http://schemas.openxmlformats.org/officeDocument/2006/relationships/image" Target="media/image608.png"/><Relationship Id="rId682" Type="http://schemas.openxmlformats.org/officeDocument/2006/relationships/image" Target="media/image609.png"/><Relationship Id="rId683" Type="http://schemas.openxmlformats.org/officeDocument/2006/relationships/image" Target="media/image610.png"/><Relationship Id="rId684" Type="http://schemas.openxmlformats.org/officeDocument/2006/relationships/image" Target="media/image611.png"/><Relationship Id="rId685" Type="http://schemas.openxmlformats.org/officeDocument/2006/relationships/image" Target="media/image612.png"/><Relationship Id="rId686" Type="http://schemas.openxmlformats.org/officeDocument/2006/relationships/image" Target="media/image613.png"/><Relationship Id="rId687" Type="http://schemas.openxmlformats.org/officeDocument/2006/relationships/image" Target="media/image614.png"/><Relationship Id="rId688" Type="http://schemas.openxmlformats.org/officeDocument/2006/relationships/image" Target="media/image615.png"/><Relationship Id="rId689" Type="http://schemas.openxmlformats.org/officeDocument/2006/relationships/image" Target="media/image616.png"/><Relationship Id="rId690" Type="http://schemas.openxmlformats.org/officeDocument/2006/relationships/image" Target="media/image617.png"/><Relationship Id="rId691" Type="http://schemas.openxmlformats.org/officeDocument/2006/relationships/image" Target="media/image618.png"/><Relationship Id="rId692" Type="http://schemas.openxmlformats.org/officeDocument/2006/relationships/image" Target="media/image619.png"/><Relationship Id="rId693" Type="http://schemas.openxmlformats.org/officeDocument/2006/relationships/image" Target="media/image620.png"/><Relationship Id="rId694" Type="http://schemas.openxmlformats.org/officeDocument/2006/relationships/image" Target="media/image621.png"/><Relationship Id="rId695" Type="http://schemas.openxmlformats.org/officeDocument/2006/relationships/image" Target="media/image622.png"/><Relationship Id="rId696" Type="http://schemas.openxmlformats.org/officeDocument/2006/relationships/image" Target="media/image623.png"/><Relationship Id="rId697" Type="http://schemas.openxmlformats.org/officeDocument/2006/relationships/image" Target="media/image624.png"/><Relationship Id="rId698" Type="http://schemas.openxmlformats.org/officeDocument/2006/relationships/image" Target="media/image625.png"/><Relationship Id="rId699" Type="http://schemas.openxmlformats.org/officeDocument/2006/relationships/image" Target="media/image626.png"/><Relationship Id="rId700" Type="http://schemas.openxmlformats.org/officeDocument/2006/relationships/image" Target="media/image627.png"/><Relationship Id="rId701" Type="http://schemas.openxmlformats.org/officeDocument/2006/relationships/image" Target="media/image628.png"/><Relationship Id="rId702" Type="http://schemas.openxmlformats.org/officeDocument/2006/relationships/image" Target="media/image629.png"/><Relationship Id="rId703" Type="http://schemas.openxmlformats.org/officeDocument/2006/relationships/image" Target="media/image630.png"/><Relationship Id="rId704" Type="http://schemas.openxmlformats.org/officeDocument/2006/relationships/image" Target="media/image631.png"/><Relationship Id="rId705" Type="http://schemas.openxmlformats.org/officeDocument/2006/relationships/image" Target="media/image632.png"/><Relationship Id="rId706" Type="http://schemas.openxmlformats.org/officeDocument/2006/relationships/image" Target="media/image633.png"/><Relationship Id="rId707" Type="http://schemas.openxmlformats.org/officeDocument/2006/relationships/image" Target="media/image634.png"/><Relationship Id="rId708" Type="http://schemas.openxmlformats.org/officeDocument/2006/relationships/image" Target="media/image635.png"/><Relationship Id="rId709" Type="http://schemas.openxmlformats.org/officeDocument/2006/relationships/image" Target="media/image636.png"/><Relationship Id="rId710" Type="http://schemas.openxmlformats.org/officeDocument/2006/relationships/image" Target="media/image637.png"/><Relationship Id="rId711" Type="http://schemas.openxmlformats.org/officeDocument/2006/relationships/image" Target="media/image638.png"/><Relationship Id="rId712" Type="http://schemas.openxmlformats.org/officeDocument/2006/relationships/image" Target="media/image639.png"/><Relationship Id="rId713" Type="http://schemas.openxmlformats.org/officeDocument/2006/relationships/image" Target="media/image640.png"/><Relationship Id="rId714" Type="http://schemas.openxmlformats.org/officeDocument/2006/relationships/image" Target="media/image641.png"/><Relationship Id="rId715" Type="http://schemas.openxmlformats.org/officeDocument/2006/relationships/image" Target="media/image642.png"/><Relationship Id="rId716" Type="http://schemas.openxmlformats.org/officeDocument/2006/relationships/image" Target="media/image643.png"/><Relationship Id="rId717" Type="http://schemas.openxmlformats.org/officeDocument/2006/relationships/image" Target="media/image644.png"/><Relationship Id="rId718" Type="http://schemas.openxmlformats.org/officeDocument/2006/relationships/image" Target="media/image645.png"/><Relationship Id="rId719" Type="http://schemas.openxmlformats.org/officeDocument/2006/relationships/image" Target="media/image646.png"/><Relationship Id="rId720" Type="http://schemas.openxmlformats.org/officeDocument/2006/relationships/image" Target="media/image647.png"/><Relationship Id="rId721" Type="http://schemas.openxmlformats.org/officeDocument/2006/relationships/image" Target="media/image648.png"/><Relationship Id="rId722" Type="http://schemas.openxmlformats.org/officeDocument/2006/relationships/image" Target="media/image649.png"/><Relationship Id="rId723" Type="http://schemas.openxmlformats.org/officeDocument/2006/relationships/image" Target="media/image650.png"/><Relationship Id="rId724" Type="http://schemas.openxmlformats.org/officeDocument/2006/relationships/image" Target="media/image651.png"/><Relationship Id="rId725" Type="http://schemas.openxmlformats.org/officeDocument/2006/relationships/image" Target="media/image652.png"/><Relationship Id="rId726" Type="http://schemas.openxmlformats.org/officeDocument/2006/relationships/image" Target="media/image653.png"/><Relationship Id="rId727" Type="http://schemas.openxmlformats.org/officeDocument/2006/relationships/image" Target="media/image654.png"/><Relationship Id="rId728" Type="http://schemas.openxmlformats.org/officeDocument/2006/relationships/image" Target="media/image655.png"/><Relationship Id="rId729" Type="http://schemas.openxmlformats.org/officeDocument/2006/relationships/image" Target="media/image656.png"/><Relationship Id="rId730" Type="http://schemas.openxmlformats.org/officeDocument/2006/relationships/image" Target="media/image657.png"/><Relationship Id="rId731" Type="http://schemas.openxmlformats.org/officeDocument/2006/relationships/image" Target="media/image658.png"/><Relationship Id="rId732" Type="http://schemas.openxmlformats.org/officeDocument/2006/relationships/image" Target="media/image659.png"/><Relationship Id="rId733" Type="http://schemas.openxmlformats.org/officeDocument/2006/relationships/image" Target="media/image660.png"/><Relationship Id="rId734" Type="http://schemas.openxmlformats.org/officeDocument/2006/relationships/image" Target="media/image661.png"/><Relationship Id="rId735" Type="http://schemas.openxmlformats.org/officeDocument/2006/relationships/image" Target="media/image662.png"/><Relationship Id="rId736" Type="http://schemas.openxmlformats.org/officeDocument/2006/relationships/image" Target="media/image663.png"/><Relationship Id="rId737" Type="http://schemas.openxmlformats.org/officeDocument/2006/relationships/image" Target="media/image664.png"/><Relationship Id="rId738" Type="http://schemas.openxmlformats.org/officeDocument/2006/relationships/image" Target="media/image665.png"/><Relationship Id="rId739" Type="http://schemas.openxmlformats.org/officeDocument/2006/relationships/image" Target="media/image666.png"/><Relationship Id="rId740" Type="http://schemas.openxmlformats.org/officeDocument/2006/relationships/image" Target="media/image667.png"/><Relationship Id="rId741" Type="http://schemas.openxmlformats.org/officeDocument/2006/relationships/image" Target="media/image668.png"/><Relationship Id="rId742" Type="http://schemas.openxmlformats.org/officeDocument/2006/relationships/image" Target="media/image669.png"/><Relationship Id="rId743" Type="http://schemas.openxmlformats.org/officeDocument/2006/relationships/image" Target="media/image670.png"/><Relationship Id="rId744" Type="http://schemas.openxmlformats.org/officeDocument/2006/relationships/image" Target="media/image671.png"/><Relationship Id="rId745" Type="http://schemas.openxmlformats.org/officeDocument/2006/relationships/image" Target="media/image672.png"/><Relationship Id="rId746" Type="http://schemas.openxmlformats.org/officeDocument/2006/relationships/image" Target="media/image673.png"/><Relationship Id="rId747" Type="http://schemas.openxmlformats.org/officeDocument/2006/relationships/image" Target="media/image674.png"/><Relationship Id="rId748" Type="http://schemas.openxmlformats.org/officeDocument/2006/relationships/image" Target="media/image675.png"/><Relationship Id="rId749" Type="http://schemas.openxmlformats.org/officeDocument/2006/relationships/image" Target="media/image676.png"/><Relationship Id="rId750" Type="http://schemas.openxmlformats.org/officeDocument/2006/relationships/image" Target="media/image677.png"/><Relationship Id="rId751" Type="http://schemas.openxmlformats.org/officeDocument/2006/relationships/image" Target="media/image678.png"/><Relationship Id="rId752" Type="http://schemas.openxmlformats.org/officeDocument/2006/relationships/image" Target="media/image679.png"/><Relationship Id="rId753" Type="http://schemas.openxmlformats.org/officeDocument/2006/relationships/image" Target="media/image680.png"/><Relationship Id="rId754" Type="http://schemas.openxmlformats.org/officeDocument/2006/relationships/image" Target="media/image681.png"/><Relationship Id="rId755" Type="http://schemas.openxmlformats.org/officeDocument/2006/relationships/image" Target="media/image682.png"/><Relationship Id="rId756" Type="http://schemas.openxmlformats.org/officeDocument/2006/relationships/image" Target="media/image683.png"/><Relationship Id="rId757" Type="http://schemas.openxmlformats.org/officeDocument/2006/relationships/image" Target="media/image684.png"/><Relationship Id="rId758" Type="http://schemas.openxmlformats.org/officeDocument/2006/relationships/image" Target="media/image685.png"/><Relationship Id="rId759" Type="http://schemas.openxmlformats.org/officeDocument/2006/relationships/image" Target="media/image686.png"/><Relationship Id="rId760" Type="http://schemas.openxmlformats.org/officeDocument/2006/relationships/image" Target="media/image687.png"/><Relationship Id="rId761" Type="http://schemas.openxmlformats.org/officeDocument/2006/relationships/image" Target="media/image688.png"/><Relationship Id="rId762" Type="http://schemas.openxmlformats.org/officeDocument/2006/relationships/image" Target="media/image689.png"/><Relationship Id="rId763" Type="http://schemas.openxmlformats.org/officeDocument/2006/relationships/image" Target="media/image690.png"/><Relationship Id="rId138" Type="http://schemas.openxmlformats.org/officeDocument/2006/relationships/hyperlink" Target="https://www.sec.gov/Archives/edgar/data/797721/000119312521322283/d210128dex21.htm" TargetMode="External"/><Relationship Id="rId139" Type="http://schemas.openxmlformats.org/officeDocument/2006/relationships/hyperlink" Target="https://www.sec.gov/Archives/edgar/data/797721/000095017023023444/vsat-ex2_1a.htm" TargetMode="External"/><Relationship Id="rId140" Type="http://schemas.openxmlformats.org/officeDocument/2006/relationships/hyperlink" Target="https://www.sec.gov/Archives/edgar/data/797721/000119312522256649/d256660dex21.htm" TargetMode="External"/><Relationship Id="rId141" Type="http://schemas.openxmlformats.org/officeDocument/2006/relationships/hyperlink" Target="https://www.sec.gov/Archives/edgar/data/797721/000109581100004805/a66909ex3-1.txt" TargetMode="External"/><Relationship Id="rId142" Type="http://schemas.openxmlformats.org/officeDocument/2006/relationships/hyperlink" Target="https://www.sec.gov/Archives/edgar/data/0000797721/000119312523159891/d505957dex31.htm" TargetMode="External"/><Relationship Id="rId143" Type="http://schemas.openxmlformats.org/officeDocument/2006/relationships/hyperlink" Target="https://www.sec.gov/Archives/edgar/data/797721/000095017023062152/vsat-ex3_1.htm" TargetMode="External"/><Relationship Id="rId144" Type="http://schemas.openxmlformats.org/officeDocument/2006/relationships/hyperlink" Target="https://www.sec.gov/Archives/edgar/data/797721/000119312519088484/d727895dex41.htm" TargetMode="External"/><Relationship Id="rId145" Type="http://schemas.openxmlformats.org/officeDocument/2006/relationships/hyperlink" Target="https://www.sec.gov/Archives/edgar/data/797721/000119312520177667/d907562dex41.htm" TargetMode="External"/><Relationship Id="rId147" Type="http://schemas.openxmlformats.org/officeDocument/2006/relationships/hyperlink" Target="https://www.sec.gov/Archives/edgar/data/797721/000119312523245746/d543087dex41.htm" TargetMode="External"/><Relationship Id="rId148" Type="http://schemas.openxmlformats.org/officeDocument/2006/relationships/hyperlink" Target="https://www.sec.gov/Archives/edgar/data/797721/000119312524230357/d118183dex41.htm" TargetMode="External"/><Relationship Id="rId149" Type="http://schemas.openxmlformats.org/officeDocument/2006/relationships/hyperlink" Target="https://www.sec.gov/Archives/edgar/data/797721/000095017024066031/vsat-ex4_7.htm" TargetMode="External"/><Relationship Id="rId150" Type="http://schemas.openxmlformats.org/officeDocument/2006/relationships/hyperlink" Target="https://www.sec.gov/Archives/edgar/data/797721/000119312525125076/d946665dex101.htm" TargetMode="External"/><Relationship Id="rId151" Type="http://schemas.openxmlformats.org/officeDocument/2006/relationships/hyperlink" Target="https://www.sec.gov/Archives/edgar/data/797721/000119312525125076/d946665dex102.htm" TargetMode="External"/><Relationship Id="rId152" Type="http://schemas.openxmlformats.org/officeDocument/2006/relationships/hyperlink" Target="https://www.sec.gov/Archives/edgar/data/797721/000119312525125076/d946665dex103.htm" TargetMode="External"/><Relationship Id="rId153" Type="http://schemas.openxmlformats.org/officeDocument/2006/relationships/hyperlink" Target="https://www.sec.gov/Archives/edgar/data/797721/000119312525125076/d946665dex104.htm" TargetMode="External"/><Relationship Id="rId154" Type="http://schemas.openxmlformats.org/officeDocument/2006/relationships/hyperlink" Target="https://www.sec.gov/Archives/edgar/data/797721/000093639208000182/a38834exv99w1.htm" TargetMode="External"/><Relationship Id="rId155" Type="http://schemas.openxmlformats.org/officeDocument/2006/relationships/hyperlink" Target="https://www.sec.gov/Archives/edgar/data/0000797721/000119312523231561/d501089dex102.htm" TargetMode="External"/><Relationship Id="rId156" Type="http://schemas.openxmlformats.org/officeDocument/2006/relationships/hyperlink" Target="https://www.sec.gov/Archives/edgar/data/797721/000119312524215312/d883674dex101.htm" TargetMode="External"/><Relationship Id="rId157" Type="http://schemas.openxmlformats.org/officeDocument/2006/relationships/hyperlink" Target="https://www.sec.gov/Archives/edgar/data/797721/000119312515199042/d875350dex104.htm" TargetMode="External"/><Relationship Id="rId158" Type="http://schemas.openxmlformats.org/officeDocument/2006/relationships/hyperlink" Target="https://www.sec.gov/Archives/edgar/data/797721/000095017023062152/vsat-ex10_4.htm" TargetMode="External"/><Relationship Id="rId159" Type="http://schemas.openxmlformats.org/officeDocument/2006/relationships/hyperlink" Target="https://www.sec.gov/Archives/edgar/data/797721/000095017024013013/vsat-ex10_1.htm" TargetMode="External"/><Relationship Id="rId160" Type="http://schemas.openxmlformats.org/officeDocument/2006/relationships/hyperlink" Target="https://www.sec.gov/Archives/edgar/data/797721/000119312518036708/d493158dex101.htm" TargetMode="External"/><Relationship Id="rId161" Type="http://schemas.openxmlformats.org/officeDocument/2006/relationships/hyperlink" Target="https://www.sec.gov/Archives/edgar/data/797721/000095017024124119/vsat-ex10_2.htm" TargetMode="External"/><Relationship Id="rId163" Type="http://schemas.openxmlformats.org/officeDocument/2006/relationships/hyperlink" Target="https://www.sec.gov/Archives/edgar/data/797721/000095017023062152/vsat-ex10_5.htm" TargetMode="External"/><Relationship Id="rId167" Type="http://schemas.openxmlformats.org/officeDocument/2006/relationships/hyperlink" Target="https://www.sec.gov/Archives/edgar/data/797721/000095017024124119/vsat-ex10_3.htm" TargetMode="External"/><Relationship Id="rId170" Type="http://schemas.openxmlformats.org/officeDocument/2006/relationships/hyperlink" Target="https://www.sec.gov/Archives/edgar/data/797721/000095017024094591/vsat-ex10_1.htm" TargetMode="External"/><Relationship Id="rId174" Type="http://schemas.openxmlformats.org/officeDocument/2006/relationships/hyperlink" Target="https://www.sec.gov/Archives/edgar/data/797721/000095017024094591/vsat-ex10_2.htm" TargetMode="External"/><Relationship Id="rId178" Type="http://schemas.openxmlformats.org/officeDocument/2006/relationships/hyperlink" Target="https://www.sec.gov/Archives/edgar/data/797721/000095017024124119/vsat-ex10_4.htm" TargetMode="External"/><Relationship Id="rId181" Type="http://schemas.openxmlformats.org/officeDocument/2006/relationships/hyperlink" Target="https://www.sec.gov/Archives/edgar/data/797721/000095017024124119/vsat-ex10_5.htm" TargetMode="External"/><Relationship Id="rId185" Type="http://schemas.openxmlformats.org/officeDocument/2006/relationships/hyperlink" Target="https://www.sec.gov/Archives/edgar/data/797721/000095017024124119/vsat-ex10_6.htm" TargetMode="External"/><Relationship Id="rId189" Type="http://schemas.openxmlformats.org/officeDocument/2006/relationships/hyperlink" Target="https://www.sec.gov/Archives/edgar/data/797721/000119312521145463/d42352dex103.htm" TargetMode="External"/><Relationship Id="rId191" Type="http://schemas.openxmlformats.org/officeDocument/2006/relationships/hyperlink" Target="https://www.sec.gov/Archives/edgar/data/797721/000119312521145463/d42352dex104.htm" TargetMode="External"/><Relationship Id="rId193" Type="http://schemas.openxmlformats.org/officeDocument/2006/relationships/hyperlink" Target="https://www.sec.gov/Archives/edgar/data/797721/000119312521145463/d42352dex105.htm" TargetMode="External"/><Relationship Id="rId195" Type="http://schemas.openxmlformats.org/officeDocument/2006/relationships/hyperlink" Target="https://www.sec.gov/Archives/edgar/data/797721/000119312521145463/d42352dex106.htm" TargetMode="External"/><Relationship Id="rId197" Type="http://schemas.openxmlformats.org/officeDocument/2006/relationships/hyperlink" Target="https://www.sec.gov/Archives/edgar/data/797721/000095017024124119/vsat-ex10_7.htm" TargetMode="External"/><Relationship Id="rId200" Type="http://schemas.openxmlformats.org/officeDocument/2006/relationships/hyperlink" Target="https://www.sec.gov/Archives/edgar/data/797721/000095017024124119/vsat-ex10_8.htm" TargetMode="External"/><Relationship Id="rId203" Type="http://schemas.openxmlformats.org/officeDocument/2006/relationships/hyperlink" Target="https://www.sec.gov/Archives/edgar/data/797721/000095017024124119/vsat-ex10_9.htm" TargetMode="External"/><Relationship Id="rId206" Type="http://schemas.openxmlformats.org/officeDocument/2006/relationships/hyperlink" Target="https://www.sec.gov/Archives/edgar/data/797721/000095017024124119/vsat-ex10_10.htm" TargetMode="External"/><Relationship Id="rId210" Type="http://schemas.openxmlformats.org/officeDocument/2006/relationships/hyperlink" Target="https://www.sec.gov/Archives/edgar/data/797721/000095017023023444/vsat-ex10_11.htm" TargetMode="External"/><Relationship Id="rId220" Type="http://schemas.openxmlformats.org/officeDocument/2006/relationships/hyperlink" Target="https://www.sec.gov/Archives/edgar/data/797721/000119312513454965/d636795dex101.htm" TargetMode="External"/><Relationship Id="rId224" Type="http://schemas.openxmlformats.org/officeDocument/2006/relationships/hyperlink" Target="https://www.sec.gov/Archives/edgar/data/797721/000119312515089537/d887434dex102.htm" TargetMode="External"/><Relationship Id="rId229" Type="http://schemas.openxmlformats.org/officeDocument/2006/relationships/hyperlink" Target="https://www.sec.gov/Archives/edgar/data/797721/000119312516600648/d198247dex101.htm" TargetMode="External"/><Relationship Id="rId234" Type="http://schemas.openxmlformats.org/officeDocument/2006/relationships/hyperlink" Target="https://www.sec.gov/Archives/edgar/data/797721/000156459018014641/vsat-ex10103_745.htm" TargetMode="External"/><Relationship Id="rId238" Type="http://schemas.openxmlformats.org/officeDocument/2006/relationships/hyperlink" Target="https://www.sec.gov/Archives/edgar/data/797721/000119312519014040/d684351dex101.htm" TargetMode="External"/><Relationship Id="rId243" Type="http://schemas.openxmlformats.org/officeDocument/2006/relationships/hyperlink" Target="https://www.sec.gov/Archives/edgar/data/797721/000119312521343695/d220124dex101.htm" TargetMode="External"/><Relationship Id="rId248" Type="http://schemas.openxmlformats.org/officeDocument/2006/relationships/hyperlink" Target="https://www.sec.gov/Archives/edgar/data/797721/000156459022008789/d226637dex102.htm" TargetMode="External"/><Relationship Id="rId253" Type="http://schemas.openxmlformats.org/officeDocument/2006/relationships/hyperlink" Target="https://www.sec.gov/Archives/edgar/data/0000797721/000119312523221558/d540351dex101.htm" TargetMode="External"/><Relationship Id="rId259" Type="http://schemas.openxmlformats.org/officeDocument/2006/relationships/hyperlink" Target="https://www.sec.gov/Archives/edgar/data/0000797721/000119312523230658/d545903dex101.htm" TargetMode="External"/><Relationship Id="rId265" Type="http://schemas.openxmlformats.org/officeDocument/2006/relationships/hyperlink" Target="https://www.sec.gov/Archives/edgar/data/797721/000119312515089537/d887434dex101.htm" TargetMode="External"/><Relationship Id="rId272" Type="http://schemas.openxmlformats.org/officeDocument/2006/relationships/hyperlink" Target="https://www.sec.gov/Archives/edgar/data/797721/000119312515284965/d933025dex101.htm" TargetMode="External"/><Relationship Id="rId278" Type="http://schemas.openxmlformats.org/officeDocument/2006/relationships/hyperlink" Target="https://www.sec.gov/Archives/edgar/data/797721/000119312516516584/d152081dex101.htm" TargetMode="External"/><Relationship Id="rId284" Type="http://schemas.openxmlformats.org/officeDocument/2006/relationships/hyperlink" Target="https://www.sec.gov/Archives/edgar/data/797721/000119312516736730/d259569dex101.htm" TargetMode="External"/><Relationship Id="rId290" Type="http://schemas.openxmlformats.org/officeDocument/2006/relationships/hyperlink" Target="https://www.sec.gov/Archives/edgar/data/797721/000119312518223698/d548983dex101.htm" TargetMode="External"/><Relationship Id="rId296" Type="http://schemas.openxmlformats.org/officeDocument/2006/relationships/hyperlink" Target="https://www.sec.gov/Archives/edgar/data/797721/000119312519057936/d713677dex101.htm" TargetMode="External"/><Relationship Id="rId302" Type="http://schemas.openxmlformats.org/officeDocument/2006/relationships/hyperlink" Target="https://www.sec.gov/Archives/edgar/data/797721/000095017022015832/vsat-ex10_2.htm" TargetMode="External"/><Relationship Id="rId307" Type="http://schemas.openxmlformats.org/officeDocument/2006/relationships/hyperlink" Target="https://www.sec.gov/Archives/edgar/data/797721/000095017023062152/vsat-ex10_9.htm" TargetMode="External"/><Relationship Id="rId312" Type="http://schemas.openxmlformats.org/officeDocument/2006/relationships/hyperlink" Target="https://www.sec.gov/Archives/edgar/data/797721/000095017023062152/vsat-ex10_10.htm" TargetMode="External"/><Relationship Id="rId317" Type="http://schemas.openxmlformats.org/officeDocument/2006/relationships/hyperlink" Target="https://www.sec.gov/Archives/edgar/data/797721/000156459022008789/d226637dex101.htm" TargetMode="External"/><Relationship Id="rId322" Type="http://schemas.openxmlformats.org/officeDocument/2006/relationships/hyperlink" Target="https://www.sec.gov/Archives/edgar/data/0000797721/000119312523241320/d518920dex101.htm" TargetMode="External"/><Relationship Id="rId327" Type="http://schemas.openxmlformats.org/officeDocument/2006/relationships/hyperlink" Target="https://www.sec.gov/Archives/edgar/data/797721/000095017023040747/vsat-ex10_4.htm" TargetMode="External"/><Relationship Id="rId334" Type="http://schemas.openxmlformats.org/officeDocument/2006/relationships/hyperlink" Target="https://www.sec.gov/Archives/edgar/data/797721/000095017023040747/vsat-ex10_41.htm" TargetMode="External"/><Relationship Id="rId340" Type="http://schemas.openxmlformats.org/officeDocument/2006/relationships/hyperlink" Target="https://www.sec.gov/Archives/edgar/data/797721/000095017023040747/vsat-ex10_42.htm" TargetMode="External"/><Relationship Id="rId346" Type="http://schemas.openxmlformats.org/officeDocument/2006/relationships/hyperlink" Target="https://www.sec.gov/Archives/edgar/data/797721/000095017023040747/vsat-ex10_43.htm" TargetMode="External"/><Relationship Id="rId352" Type="http://schemas.openxmlformats.org/officeDocument/2006/relationships/hyperlink" Target="https://www.sec.gov/Archives/edgar/data/797721/000119312524080765/d803311dex101.htm" TargetMode="External"/><Relationship Id="rId360" Type="http://schemas.openxmlformats.org/officeDocument/2006/relationships/hyperlink" Target="https://www.sec.gov/Archives/edgar/data/797721/000095017024066031/vsat-ex19.htm" TargetMode="External"/><Relationship Id="rId374" Type="http://schemas.openxmlformats.org/officeDocument/2006/relationships/hyperlink" Target="https://www.sec.gov/Archives/edgar/data/797721/000095017024066031/vsat-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2025-05-27T05:13:35Z</dcterms:created>
  <dcterms:modified xsi:type="dcterms:W3CDTF">2025-05-27T05:13:35Z</dcterms:modified>
</cp:coreProperties>
</file>