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18"/>
          <w:szCs w:val="18"/>
          <w:b w:val="1"/>
          <w:bCs w:val="1"/>
          <w:color w:val="auto"/>
        </w:rPr>
        <w:t>UNITED STATES</w:t>
      </w:r>
    </w:p>
    <w:p>
      <w:pPr>
        <w:spacing w:after="0" w:line="10"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4"/>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217805</wp:posOffset>
            </wp:positionV>
            <wp:extent cx="14643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CURRENT REPORT</w:t>
      </w:r>
    </w:p>
    <w:p>
      <w:pPr>
        <w:spacing w:after="0" w:line="10"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Pursuant to Section 13 or 15(d) of</w:t>
      </w:r>
    </w:p>
    <w:p>
      <w:pPr>
        <w:jc w:val="center"/>
        <w:ind w:right="-4"/>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9" w:lineRule="exact"/>
        <w:rPr>
          <w:sz w:val="24"/>
          <w:szCs w:val="24"/>
          <w:color w:val="auto"/>
        </w:rPr>
      </w:pPr>
    </w:p>
    <w:p>
      <w:pPr>
        <w:jc w:val="center"/>
        <w:ind w:right="-4"/>
        <w:spacing w:after="0"/>
        <w:rPr>
          <w:sz w:val="20"/>
          <w:szCs w:val="20"/>
          <w:color w:val="auto"/>
        </w:rPr>
      </w:pPr>
      <w:r>
        <w:rPr>
          <w:rFonts w:ascii="Arial" w:cs="Arial" w:eastAsia="Arial" w:hAnsi="Arial"/>
          <w:sz w:val="18"/>
          <w:szCs w:val="18"/>
          <w:color w:val="auto"/>
        </w:rPr>
        <w:t>Date of Report (Date of Earliest Event Reported): November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149860</wp:posOffset>
            </wp:positionV>
            <wp:extent cx="1149350" cy="510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0" cy="510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4"/>
        <w:spacing w:after="0"/>
        <w:rPr>
          <w:sz w:val="20"/>
          <w:szCs w:val="20"/>
          <w:color w:val="auto"/>
        </w:rPr>
      </w:pPr>
      <w:r>
        <w:rPr>
          <w:rFonts w:ascii="Arial" w:cs="Arial" w:eastAsia="Arial" w:hAnsi="Arial"/>
          <w:sz w:val="32"/>
          <w:szCs w:val="32"/>
          <w:b w:val="1"/>
          <w:bCs w:val="1"/>
          <w:color w:val="auto"/>
        </w:rPr>
        <w:t>VIASAT, INC.</w:t>
      </w:r>
    </w:p>
    <w:p>
      <w:pPr>
        <w:spacing w:after="0" w:line="43" w:lineRule="exact"/>
        <w:rPr>
          <w:sz w:val="24"/>
          <w:szCs w:val="24"/>
          <w:color w:val="auto"/>
        </w:rPr>
      </w:pPr>
    </w:p>
    <w:p>
      <w:pPr>
        <w:jc w:val="center"/>
        <w:ind w:right="-4"/>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685" w:type="dxa"/>
        <w:tblCellMar>
          <w:top w:w="0" w:type="dxa"/>
          <w:left w:w="0" w:type="dxa"/>
          <w:bottom w:w="0" w:type="dxa"/>
          <w:right w:w="0" w:type="dxa"/>
        </w:tblCellMar>
      </w:tblPr>
      <w:tr>
        <w:trPr>
          <w:trHeight w:val="236"/>
        </w:trPr>
        <w:tc>
          <w:tcPr>
            <w:tcW w:w="660" w:type="dxa"/>
            <w:vAlign w:val="bottom"/>
          </w:tcPr>
          <w:p>
            <w:pPr>
              <w:spacing w:after="0"/>
              <w:rPr>
                <w:sz w:val="20"/>
                <w:szCs w:val="20"/>
                <w:color w:val="auto"/>
              </w:rPr>
            </w:pPr>
          </w:p>
        </w:tc>
        <w:tc>
          <w:tcPr>
            <w:tcW w:w="17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8"/>
              </w:rPr>
              <w:t>Delaware</w:t>
            </w:r>
          </w:p>
        </w:tc>
        <w:tc>
          <w:tcPr>
            <w:tcW w:w="3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000-21767</w:t>
            </w:r>
          </w:p>
        </w:tc>
        <w:tc>
          <w:tcPr>
            <w:tcW w:w="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gridSpan w:val="2"/>
          </w:tcPr>
          <w:p>
            <w:pPr>
              <w:jc w:val="center"/>
              <w:ind w:left="411"/>
              <w:spacing w:after="0"/>
              <w:rPr>
                <w:sz w:val="20"/>
                <w:szCs w:val="20"/>
                <w:color w:val="auto"/>
              </w:rPr>
            </w:pPr>
            <w:r>
              <w:rPr>
                <w:rFonts w:ascii="Arial" w:cs="Arial" w:eastAsia="Arial" w:hAnsi="Arial"/>
                <w:sz w:val="18"/>
                <w:szCs w:val="18"/>
                <w:b w:val="1"/>
                <w:bCs w:val="1"/>
                <w:color w:val="auto"/>
                <w:w w:val="99"/>
              </w:rPr>
              <w:t>33-0174996</w:t>
            </w:r>
          </w:p>
        </w:tc>
        <w:tc>
          <w:tcPr>
            <w:tcW w:w="18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20"/>
        </w:trPr>
        <w:tc>
          <w:tcPr>
            <w:tcW w:w="238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(State or Other Jurisdiction of</w:t>
            </w:r>
          </w:p>
        </w:tc>
        <w:tc>
          <w:tcPr>
            <w:tcW w:w="1260" w:type="dxa"/>
            <w:vAlign w:val="bottom"/>
          </w:tcPr>
          <w:p>
            <w:pPr>
              <w:spacing w:after="0"/>
              <w:rPr>
                <w:sz w:val="19"/>
                <w:szCs w:val="19"/>
                <w:color w:val="auto"/>
              </w:rPr>
            </w:pPr>
          </w:p>
        </w:tc>
        <w:tc>
          <w:tcPr>
            <w:tcW w:w="3840" w:type="dxa"/>
            <w:vAlign w:val="bottom"/>
            <w:gridSpan w:val="4"/>
          </w:tcPr>
          <w:p>
            <w:pPr>
              <w:jc w:val="center"/>
              <w:ind w:right="1320"/>
              <w:spacing w:after="0"/>
              <w:rPr>
                <w:sz w:val="20"/>
                <w:szCs w:val="20"/>
                <w:color w:val="auto"/>
              </w:rPr>
            </w:pPr>
            <w:r>
              <w:rPr>
                <w:rFonts w:ascii="Arial" w:cs="Arial" w:eastAsia="Arial" w:hAnsi="Arial"/>
                <w:sz w:val="18"/>
                <w:szCs w:val="18"/>
                <w:color w:val="auto"/>
                <w:w w:val="98"/>
              </w:rPr>
              <w:t>(Commission File No.)</w:t>
            </w:r>
          </w:p>
        </w:tc>
        <w:tc>
          <w:tcPr>
            <w:tcW w:w="1720" w:type="dxa"/>
            <w:vAlign w:val="bottom"/>
            <w:gridSpan w:val="3"/>
          </w:tcPr>
          <w:p>
            <w:pPr>
              <w:jc w:val="center"/>
              <w:ind w:left="231"/>
              <w:spacing w:after="0"/>
              <w:rPr>
                <w:sz w:val="20"/>
                <w:szCs w:val="20"/>
                <w:color w:val="auto"/>
              </w:rPr>
            </w:pPr>
            <w:r>
              <w:rPr>
                <w:rFonts w:ascii="Arial" w:cs="Arial" w:eastAsia="Arial" w:hAnsi="Arial"/>
                <w:sz w:val="18"/>
                <w:szCs w:val="18"/>
                <w:color w:val="auto"/>
                <w:w w:val="99"/>
              </w:rPr>
              <w:t>(I.R.S. Employer</w:t>
            </w:r>
          </w:p>
        </w:tc>
      </w:tr>
      <w:tr>
        <w:trPr>
          <w:trHeight w:val="214"/>
        </w:trPr>
        <w:tc>
          <w:tcPr>
            <w:tcW w:w="238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Incorporation)</w:t>
            </w: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gridSpan w:val="3"/>
          </w:tcPr>
          <w:p>
            <w:pPr>
              <w:jc w:val="center"/>
              <w:ind w:left="231"/>
              <w:spacing w:after="0"/>
              <w:rPr>
                <w:sz w:val="20"/>
                <w:szCs w:val="20"/>
                <w:color w:val="auto"/>
              </w:rPr>
            </w:pPr>
            <w:r>
              <w:rPr>
                <w:rFonts w:ascii="Arial" w:cs="Arial" w:eastAsia="Arial" w:hAnsi="Arial"/>
                <w:sz w:val="18"/>
                <w:szCs w:val="18"/>
                <w:color w:val="auto"/>
                <w:w w:val="99"/>
              </w:rPr>
              <w:t>Identification No.)</w:t>
            </w:r>
          </w:p>
        </w:tc>
      </w:tr>
      <w:tr>
        <w:trPr>
          <w:trHeight w:val="381"/>
        </w:trPr>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8"/>
              </w:rPr>
              <w:t>6155 El Camino Real</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4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w w:val="99"/>
              </w:rPr>
              <w:t>Carlsbad, California 92009</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4"/>
        </w:trPr>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gridSpan w:val="5"/>
          </w:tcPr>
          <w:p>
            <w:pPr>
              <w:jc w:val="center"/>
              <w:ind w:right="300"/>
              <w:spacing w:after="0"/>
              <w:rPr>
                <w:sz w:val="20"/>
                <w:szCs w:val="20"/>
                <w:color w:val="auto"/>
              </w:rPr>
            </w:pPr>
            <w:r>
              <w:rPr>
                <w:rFonts w:ascii="Arial" w:cs="Arial" w:eastAsia="Arial" w:hAnsi="Arial"/>
                <w:sz w:val="18"/>
                <w:szCs w:val="18"/>
                <w:color w:val="auto"/>
                <w:w w:val="99"/>
              </w:rPr>
              <w:t>(Address of Principal Executive Offices, Including Zip Code)</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50"/>
        </w:trPr>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8"/>
        </w:trPr>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40" w:type="dxa"/>
            <w:vAlign w:val="bottom"/>
            <w:gridSpan w:val="3"/>
          </w:tcPr>
          <w:p>
            <w:pPr>
              <w:jc w:val="center"/>
              <w:ind w:left="1691"/>
              <w:spacing w:after="0"/>
              <w:rPr>
                <w:sz w:val="20"/>
                <w:szCs w:val="20"/>
                <w:color w:val="auto"/>
              </w:rPr>
            </w:pPr>
            <w:r>
              <w:rPr>
                <w:rFonts w:ascii="Arial" w:cs="Arial" w:eastAsia="Arial" w:hAnsi="Arial"/>
                <w:sz w:val="18"/>
                <w:szCs w:val="18"/>
                <w:b w:val="1"/>
                <w:bCs w:val="1"/>
                <w:color w:val="auto"/>
                <w:w w:val="99"/>
              </w:rPr>
              <w:t>(760) 476-2200</w:t>
            </w: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4"/>
        </w:trPr>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00" w:type="dxa"/>
            <w:vAlign w:val="bottom"/>
            <w:gridSpan w:val="5"/>
          </w:tcPr>
          <w:p>
            <w:pPr>
              <w:jc w:val="center"/>
              <w:ind w:right="300"/>
              <w:spacing w:after="0"/>
              <w:rPr>
                <w:sz w:val="20"/>
                <w:szCs w:val="20"/>
                <w:color w:val="auto"/>
              </w:rPr>
            </w:pPr>
            <w:r>
              <w:rPr>
                <w:rFonts w:ascii="Arial" w:cs="Arial" w:eastAsia="Arial" w:hAnsi="Arial"/>
                <w:sz w:val="18"/>
                <w:szCs w:val="18"/>
                <w:color w:val="auto"/>
                <w:w w:val="98"/>
              </w:rPr>
              <w:t>(Registrant’s Telephone Number, Including Area Code)</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213995</wp:posOffset>
            </wp:positionV>
            <wp:extent cx="1464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5" w:right="120"/>
        <w:spacing w:after="0"/>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365" w:hanging="365"/>
        <w:spacing w:after="0"/>
        <w:tabs>
          <w:tab w:leader="none" w:pos="36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2" w:lineRule="exact"/>
        <w:rPr>
          <w:sz w:val="24"/>
          <w:szCs w:val="24"/>
          <w:color w:val="auto"/>
        </w:rPr>
      </w:pPr>
    </w:p>
    <w:p>
      <w:pPr>
        <w:ind w:left="365" w:hanging="365"/>
        <w:spacing w:after="0"/>
        <w:tabs>
          <w:tab w:leader="none" w:pos="36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2" w:lineRule="exact"/>
        <w:rPr>
          <w:sz w:val="24"/>
          <w:szCs w:val="24"/>
          <w:color w:val="auto"/>
        </w:rPr>
      </w:pPr>
    </w:p>
    <w:p>
      <w:pPr>
        <w:ind w:left="365" w:hanging="365"/>
        <w:spacing w:after="0"/>
        <w:tabs>
          <w:tab w:leader="none" w:pos="365"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1" w:lineRule="exact"/>
        <w:rPr>
          <w:rFonts w:ascii="MS PGothic" w:cs="MS PGothic" w:eastAsia="MS PGothic" w:hAnsi="MS PGothic"/>
          <w:sz w:val="18"/>
          <w:szCs w:val="18"/>
          <w:color w:val="auto"/>
        </w:rPr>
      </w:pPr>
    </w:p>
    <w:p>
      <w:pPr>
        <w:ind w:left="365" w:hanging="365"/>
        <w:spacing w:after="0"/>
        <w:tabs>
          <w:tab w:leader="none" w:pos="365"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3" w:lineRule="exact"/>
        <w:rPr>
          <w:sz w:val="24"/>
          <w:szCs w:val="24"/>
          <w:color w:val="auto"/>
        </w:rPr>
      </w:pPr>
    </w:p>
    <w:tbl>
      <w:tblPr>
        <w:tblLayout w:type="fixed"/>
        <w:tblInd w:w="5"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(Name of Each Exchange</w:t>
            </w:r>
          </w:p>
        </w:tc>
      </w:tr>
      <w:tr>
        <w:trPr>
          <w:trHeight w:val="215"/>
        </w:trPr>
        <w:tc>
          <w:tcPr>
            <w:tcW w:w="38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(Trading Symbol)</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on which Registered)</w:t>
            </w:r>
          </w:p>
        </w:tc>
      </w:tr>
      <w:tr>
        <w:trPr>
          <w:trHeight w:val="194"/>
        </w:trPr>
        <w:tc>
          <w:tcPr>
            <w:tcW w:w="3700" w:type="dxa"/>
            <w:vAlign w:val="bottom"/>
            <w:tcBorders>
              <w:top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Common Stock, par value $0.0001 per</w:t>
            </w:r>
          </w:p>
        </w:tc>
        <w:tc>
          <w:tcPr>
            <w:tcW w:w="120" w:type="dxa"/>
            <w:vAlign w:val="bottom"/>
          </w:tcPr>
          <w:p>
            <w:pPr>
              <w:spacing w:after="0"/>
              <w:rPr>
                <w:sz w:val="16"/>
                <w:szCs w:val="16"/>
                <w:color w:val="auto"/>
              </w:rPr>
            </w:pPr>
          </w:p>
        </w:tc>
        <w:tc>
          <w:tcPr>
            <w:tcW w:w="3500" w:type="dxa"/>
            <w:vAlign w:val="bottom"/>
            <w:tcBorders>
              <w:top w:val="single" w:sz="8" w:color="808080"/>
            </w:tcBorders>
          </w:tcPr>
          <w:p>
            <w:pPr>
              <w:jc w:val="center"/>
              <w:spacing w:after="0" w:line="195" w:lineRule="exact"/>
              <w:rPr>
                <w:sz w:val="20"/>
                <w:szCs w:val="20"/>
                <w:color w:val="auto"/>
              </w:rPr>
            </w:pPr>
            <w:r>
              <w:rPr>
                <w:rFonts w:ascii="Arial" w:cs="Arial" w:eastAsia="Arial" w:hAnsi="Arial"/>
                <w:sz w:val="18"/>
                <w:szCs w:val="18"/>
                <w:color w:val="auto"/>
                <w:w w:val="93"/>
              </w:rPr>
              <w:t>VSAT</w:t>
            </w:r>
          </w:p>
        </w:tc>
        <w:tc>
          <w:tcPr>
            <w:tcW w:w="120" w:type="dxa"/>
            <w:vAlign w:val="bottom"/>
          </w:tcPr>
          <w:p>
            <w:pPr>
              <w:spacing w:after="0"/>
              <w:rPr>
                <w:sz w:val="16"/>
                <w:szCs w:val="16"/>
                <w:color w:val="auto"/>
              </w:rPr>
            </w:pPr>
          </w:p>
        </w:tc>
        <w:tc>
          <w:tcPr>
            <w:tcW w:w="3500" w:type="dxa"/>
            <w:vAlign w:val="bottom"/>
            <w:tcBorders>
              <w:top w:val="single" w:sz="8" w:color="808080"/>
            </w:tcBorders>
          </w:tcPr>
          <w:p>
            <w:pPr>
              <w:jc w:val="center"/>
              <w:spacing w:after="0" w:line="195" w:lineRule="exact"/>
              <w:rPr>
                <w:sz w:val="20"/>
                <w:szCs w:val="20"/>
                <w:color w:val="auto"/>
              </w:rPr>
            </w:pPr>
            <w:r>
              <w:rPr>
                <w:rFonts w:ascii="Arial" w:cs="Arial" w:eastAsia="Arial" w:hAnsi="Arial"/>
                <w:sz w:val="18"/>
                <w:szCs w:val="18"/>
                <w:color w:val="auto"/>
                <w:w w:val="99"/>
              </w:rPr>
              <w:t>The Nasdaq Stock Market LLC</w:t>
            </w:r>
          </w:p>
        </w:tc>
      </w:tr>
      <w:tr>
        <w:trPr>
          <w:trHeight w:val="214"/>
        </w:trPr>
        <w:tc>
          <w:tcPr>
            <w:tcW w:w="3820" w:type="dxa"/>
            <w:vAlign w:val="bottom"/>
            <w:gridSpan w:val="2"/>
          </w:tcPr>
          <w:p>
            <w:pPr>
              <w:jc w:val="center"/>
              <w:ind w:right="120"/>
              <w:spacing w:after="0"/>
              <w:rPr>
                <w:sz w:val="20"/>
                <w:szCs w:val="20"/>
                <w:color w:val="auto"/>
              </w:rPr>
            </w:pPr>
            <w:r>
              <w:rPr>
                <w:rFonts w:ascii="Arial" w:cs="Arial" w:eastAsia="Arial" w:hAnsi="Arial"/>
                <w:sz w:val="18"/>
                <w:szCs w:val="18"/>
                <w:color w:val="auto"/>
              </w:rPr>
              <w:t>share</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r>
    </w:tbl>
    <w:p>
      <w:pPr>
        <w:spacing w:after="0" w:line="202" w:lineRule="exact"/>
        <w:rPr>
          <w:sz w:val="24"/>
          <w:szCs w:val="24"/>
          <w:color w:val="auto"/>
        </w:rPr>
      </w:pPr>
    </w:p>
    <w:p>
      <w:pPr>
        <w:ind w:left="5" w:right="64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7" w:lineRule="exact"/>
        <w:rPr>
          <w:sz w:val="24"/>
          <w:szCs w:val="24"/>
          <w:color w:val="auto"/>
        </w:rPr>
      </w:pPr>
    </w:p>
    <w:tbl>
      <w:tblPr>
        <w:tblLayout w:type="fixed"/>
        <w:tblInd w:w="5" w:type="dxa"/>
        <w:tblCellMar>
          <w:top w:w="0" w:type="dxa"/>
          <w:left w:w="0" w:type="dxa"/>
          <w:bottom w:w="0" w:type="dxa"/>
          <w:right w:w="0" w:type="dxa"/>
        </w:tblCellMar>
      </w:tblPr>
      <w:tr>
        <w:trPr>
          <w:trHeight w:val="280"/>
        </w:trPr>
        <w:tc>
          <w:tcPr>
            <w:tcW w:w="10220" w:type="dxa"/>
            <w:vAlign w:val="bottom"/>
          </w:tcPr>
          <w:p>
            <w:pPr>
              <w:ind w:left="7660"/>
              <w:spacing w:after="0"/>
              <w:rPr>
                <w:sz w:val="20"/>
                <w:szCs w:val="20"/>
                <w:color w:val="auto"/>
              </w:rPr>
            </w:pPr>
            <w:r>
              <w:rPr>
                <w:rFonts w:ascii="Arial" w:cs="Arial" w:eastAsia="Arial" w:hAnsi="Arial"/>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6"/>
        </w:trPr>
        <w:tc>
          <w:tcPr>
            <w:tcW w:w="10220" w:type="dxa"/>
            <w:vAlign w:val="bottom"/>
          </w:tcPr>
          <w:p>
            <w:pPr>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3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4"/>
        </w:trPr>
        <w:tc>
          <w:tcPr>
            <w:tcW w:w="10220" w:type="dxa"/>
            <w:vAlign w:val="bottom"/>
          </w:tcPr>
          <w:p>
            <w:pPr>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45"/>
          </w:cols>
          <w:pgMar w:left="475" w:top="224" w:right="47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November 8, 2021, Viasat, Inc. released its financial results for the second quarter of fiscal year 2022 in a letter to shareholders that is available on the investor relations section of its website. A copy of the press release announcing the release of financial results is furnished herewith as Exhibit 99.1 and a copy of the letter to shareholders is furnished herewith as Exhibit 99.2.</w:t>
      </w:r>
    </w:p>
    <w:p>
      <w:pPr>
        <w:spacing w:after="0" w:line="202"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information contained herein and in the accompanying exhibits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3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0" w:type="dxa"/>
            <w:vAlign w:val="bottom"/>
          </w:tcPr>
          <w:p>
            <w:pPr>
              <w:spacing w:after="0"/>
              <w:rPr>
                <w:sz w:val="20"/>
                <w:szCs w:val="20"/>
                <w:color w:val="auto"/>
              </w:rPr>
            </w:pPr>
            <w:r>
              <w:rPr>
                <w:rFonts w:ascii="Arial" w:cs="Arial" w:eastAsia="Arial" w:hAnsi="Arial"/>
                <w:sz w:val="18"/>
                <w:szCs w:val="18"/>
                <w:color w:val="auto"/>
              </w:rPr>
              <w:t>(d)</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Exhibits</w:t>
            </w:r>
          </w:p>
        </w:tc>
        <w:tc>
          <w:tcPr>
            <w:tcW w:w="7840" w:type="dxa"/>
            <w:vAlign w:val="bottom"/>
          </w:tcPr>
          <w:p>
            <w:pPr>
              <w:spacing w:after="0"/>
              <w:rPr>
                <w:sz w:val="18"/>
                <w:szCs w:val="18"/>
                <w:color w:val="auto"/>
              </w:rPr>
            </w:pPr>
          </w:p>
        </w:tc>
      </w:tr>
      <w:tr>
        <w:trPr>
          <w:trHeight w:val="430"/>
        </w:trPr>
        <w:tc>
          <w:tcPr>
            <w:tcW w:w="44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Exhibit</w:t>
            </w:r>
          </w:p>
        </w:tc>
        <w:tc>
          <w:tcPr>
            <w:tcW w:w="7840" w:type="dxa"/>
            <w:vAlign w:val="bottom"/>
          </w:tcPr>
          <w:p>
            <w:pPr>
              <w:spacing w:after="0"/>
              <w:rPr>
                <w:sz w:val="24"/>
                <w:szCs w:val="24"/>
                <w:color w:val="auto"/>
              </w:rPr>
            </w:pPr>
          </w:p>
        </w:tc>
      </w:tr>
      <w:tr>
        <w:trPr>
          <w:trHeight w:val="182"/>
        </w:trPr>
        <w:tc>
          <w:tcPr>
            <w:tcW w:w="440" w:type="dxa"/>
            <w:vAlign w:val="bottom"/>
          </w:tcPr>
          <w:p>
            <w:pPr>
              <w:spacing w:after="0"/>
              <w:rPr>
                <w:sz w:val="15"/>
                <w:szCs w:val="15"/>
                <w:color w:val="auto"/>
              </w:rPr>
            </w:pPr>
          </w:p>
        </w:tc>
        <w:tc>
          <w:tcPr>
            <w:tcW w:w="1360" w:type="dxa"/>
            <w:vAlign w:val="bottom"/>
            <w:gridSpan w:val="2"/>
          </w:tcPr>
          <w:p>
            <w:pPr>
              <w:ind w:left="140"/>
              <w:spacing w:after="0" w:line="155" w:lineRule="exact"/>
              <w:rPr>
                <w:sz w:val="20"/>
                <w:szCs w:val="20"/>
                <w:color w:val="auto"/>
              </w:rPr>
            </w:pPr>
            <w:r>
              <w:rPr>
                <w:rFonts w:ascii="Arial" w:cs="Arial" w:eastAsia="Arial" w:hAnsi="Arial"/>
                <w:sz w:val="17"/>
                <w:szCs w:val="17"/>
                <w:color w:val="auto"/>
              </w:rPr>
              <w:t>Number</w:t>
            </w:r>
          </w:p>
        </w:tc>
        <w:tc>
          <w:tcPr>
            <w:tcW w:w="7840" w:type="dxa"/>
            <w:vAlign w:val="bottom"/>
          </w:tcPr>
          <w:p>
            <w:pPr>
              <w:ind w:left="100"/>
              <w:spacing w:after="0" w:line="155" w:lineRule="exact"/>
              <w:rPr>
                <w:sz w:val="20"/>
                <w:szCs w:val="20"/>
                <w:color w:val="auto"/>
              </w:rPr>
            </w:pPr>
            <w:r>
              <w:rPr>
                <w:rFonts w:ascii="Arial" w:cs="Arial" w:eastAsia="Arial" w:hAnsi="Arial"/>
                <w:sz w:val="17"/>
                <w:szCs w:val="17"/>
                <w:color w:val="auto"/>
              </w:rPr>
              <w:t>Description of Exhibit</w:t>
            </w:r>
          </w:p>
        </w:tc>
      </w:tr>
      <w:tr>
        <w:trPr>
          <w:trHeight w:val="214"/>
        </w:trPr>
        <w:tc>
          <w:tcPr>
            <w:tcW w:w="440" w:type="dxa"/>
            <w:vAlign w:val="bottom"/>
          </w:tcPr>
          <w:p>
            <w:pPr>
              <w:spacing w:after="0"/>
              <w:rPr>
                <w:sz w:val="18"/>
                <w:szCs w:val="18"/>
                <w:color w:val="auto"/>
              </w:rPr>
            </w:pPr>
          </w:p>
        </w:tc>
        <w:tc>
          <w:tcPr>
            <w:tcW w:w="7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18"/>
                <w:szCs w:val="18"/>
                <w:color w:val="auto"/>
              </w:rPr>
            </w:pPr>
          </w:p>
        </w:tc>
        <w:tc>
          <w:tcPr>
            <w:tcW w:w="7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Press Release dated November 8, 2021 issued by Viasat, Inc.</w:t>
            </w:r>
          </w:p>
        </w:tc>
      </w:tr>
      <w:tr>
        <w:trPr>
          <w:trHeight w:val="201"/>
        </w:trPr>
        <w:tc>
          <w:tcPr>
            <w:tcW w:w="440" w:type="dxa"/>
            <w:vAlign w:val="bottom"/>
          </w:tcPr>
          <w:p>
            <w:pPr>
              <w:spacing w:after="0"/>
              <w:rPr>
                <w:sz w:val="17"/>
                <w:szCs w:val="17"/>
                <w:color w:val="auto"/>
              </w:rPr>
            </w:pPr>
          </w:p>
        </w:tc>
        <w:tc>
          <w:tcPr>
            <w:tcW w:w="780" w:type="dxa"/>
            <w:vAlign w:val="bottom"/>
          </w:tcPr>
          <w:p>
            <w:pPr>
              <w:ind w:left="140"/>
              <w:spacing w:after="0" w:line="201" w:lineRule="exact"/>
              <w:rPr>
                <w:sz w:val="20"/>
                <w:szCs w:val="20"/>
                <w:color w:val="auto"/>
              </w:rPr>
            </w:pPr>
            <w:r>
              <w:rPr>
                <w:rFonts w:ascii="Arial" w:cs="Arial" w:eastAsia="Arial" w:hAnsi="Arial"/>
                <w:sz w:val="18"/>
                <w:szCs w:val="18"/>
                <w:color w:val="auto"/>
              </w:rPr>
              <w:t>99.2</w:t>
            </w:r>
          </w:p>
        </w:tc>
        <w:tc>
          <w:tcPr>
            <w:tcW w:w="580" w:type="dxa"/>
            <w:vAlign w:val="bottom"/>
          </w:tcPr>
          <w:p>
            <w:pPr>
              <w:spacing w:after="0"/>
              <w:rPr>
                <w:sz w:val="17"/>
                <w:szCs w:val="17"/>
                <w:color w:val="auto"/>
              </w:rPr>
            </w:pPr>
          </w:p>
        </w:tc>
        <w:tc>
          <w:tcPr>
            <w:tcW w:w="7840" w:type="dxa"/>
            <w:vAlign w:val="bottom"/>
          </w:tcPr>
          <w:p>
            <w:pPr>
              <w:ind w:left="100"/>
              <w:spacing w:after="0" w:line="201" w:lineRule="exact"/>
              <w:rPr>
                <w:sz w:val="20"/>
                <w:szCs w:val="20"/>
                <w:color w:val="auto"/>
              </w:rPr>
            </w:pPr>
            <w:r>
              <w:rPr>
                <w:rFonts w:ascii="Arial" w:cs="Arial" w:eastAsia="Arial" w:hAnsi="Arial"/>
                <w:sz w:val="18"/>
                <w:szCs w:val="18"/>
                <w:color w:val="auto"/>
              </w:rPr>
              <w:t>Viasat, Inc. second quarter of fiscal year 2022 letter to shareholders dated November 8, 2021</w:t>
            </w:r>
          </w:p>
        </w:tc>
      </w:tr>
    </w:tbl>
    <w:p>
      <w:pPr>
        <w:ind w:left="5420" w:right="2800" w:hanging="4834"/>
        <w:spacing w:after="0" w:line="411" w:lineRule="auto"/>
        <w:tabs>
          <w:tab w:leader="none" w:pos="190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ectPr>
          <w:pgSz w:w="11900" w:h="16838" w:orient="portrait"/>
          <w:cols w:equalWidth="0" w:num="1">
            <w:col w:w="10940"/>
          </w:cols>
          <w:pgMar w:left="480" w:top="264"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Additional Information About the Transaction and Where You Can Find It</w:t>
      </w:r>
    </w:p>
    <w:p>
      <w:pPr>
        <w:spacing w:after="0" w:line="123"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 xml:space="preserve">This communication is being made in respect of the proposed business combination transaction between Viasat and Connect Topco Limited (“Inmarsat”) pursuant to the terms of that certain Share Purchase Agreement, dated as of November 8, 2021, by and among Viasat and the shareholders of Inmarsat. Viasat intends to file with the Securities and Exchange Commission (the “SEC”) a proxy statement and other relevant documents in respect of a stockholder meeting to obtain stockholder approval in connection with the transaction. The definitive proxy statement will be sent or given to the stockholders of Viasat and will contain important information about the transaction and related matters. </w:t>
      </w:r>
      <w:r>
        <w:rPr>
          <w:rFonts w:ascii="Arial" w:cs="Arial" w:eastAsia="Arial" w:hAnsi="Arial"/>
          <w:sz w:val="18"/>
          <w:szCs w:val="18"/>
          <w:b w:val="1"/>
          <w:bCs w:val="1"/>
          <w:color w:val="auto"/>
        </w:rPr>
        <w:t>INVESTORS AND STOCKHOLDERS ARE URGED TO READ THE DEFINITIVE PROXY</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b w:val="1"/>
          <w:bCs w:val="1"/>
          <w:color w:val="auto"/>
        </w:rPr>
        <w:t>STATEMENT AND OTHER RELEVANT MATERIALS CAREFULLY IN THEIR ENTIRETY WHEN THEY BECOME AVAILABLE BECAUSE THEY WILL CONTAIN IMPORTANT INFORMATION ABOUT VIASAT, INMARSAT AND THE PROPOSED TRANSACTION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and stockholders may obtain a free copy of these materials (when available) and other documents filed by Viasat with the SEC through the website maintained by the SEC at www.sec.gov. In addition, free copies of these materials will be made available free of charge through Viasat’s website at https://www.viasat.com.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Viasat, and its directors and executive officers may be deemed to be participants in the solicitation of proxies from the stockholders of Viasat in connection with the transaction. Information regarding the persons who may, under the rules of the SEC, be considered to be participants in the solicitation of Viasat’s stockholders in connection with the transaction will be set forth in Viasat’s definitive proxy statement for its stockholder meeting. Additional information regarding these individuals and any direct or indirect interests they may have in the transaction will be set forth in the definitive proxy statement when and if it is filed with the SEC in connection with the transaction.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480" w:top="264" w:right="57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SIGNATURES</w:t>
      </w:r>
    </w:p>
    <w:p>
      <w:pPr>
        <w:spacing w:after="0" w:line="231" w:lineRule="exact"/>
        <w:rPr>
          <w:sz w:val="20"/>
          <w:szCs w:val="20"/>
          <w:color w:val="auto"/>
        </w:rPr>
      </w:pPr>
    </w:p>
    <w:p>
      <w:pPr>
        <w:ind w:firstLine="437"/>
        <w:spacing w:after="0"/>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spacing w:after="0"/>
        <w:tabs>
          <w:tab w:leader="none" w:pos="600" w:val="left"/>
          <w:tab w:leader="none" w:pos="5460" w:val="left"/>
        </w:tabs>
        <w:rPr>
          <w:sz w:val="20"/>
          <w:szCs w:val="20"/>
          <w:color w:val="auto"/>
        </w:rPr>
      </w:pPr>
      <w:r>
        <w:rPr>
          <w:rFonts w:ascii="Arial" w:cs="Arial" w:eastAsia="Arial" w:hAnsi="Arial"/>
          <w:sz w:val="18"/>
          <w:szCs w:val="18"/>
          <w:color w:val="auto"/>
        </w:rPr>
        <w:t>Date:</w:t>
        <w:tab/>
        <w:t>November 8, 2021</w:t>
      </w:r>
      <w:r>
        <w:rPr>
          <w:sz w:val="20"/>
          <w:szCs w:val="20"/>
          <w:color w:val="auto"/>
        </w:rPr>
        <w:tab/>
      </w:r>
      <w:r>
        <w:rPr>
          <w:rFonts w:ascii="Arial" w:cs="Arial" w:eastAsia="Arial" w:hAnsi="Arial"/>
          <w:sz w:val="17"/>
          <w:szCs w:val="17"/>
          <w:color w:val="auto"/>
        </w:rPr>
        <w:t>Viasat, Inc.</w:t>
      </w:r>
    </w:p>
    <w:p>
      <w:pPr>
        <w:spacing w:after="0" w:line="310" w:lineRule="exact"/>
        <w:rPr>
          <w:sz w:val="20"/>
          <w:szCs w:val="20"/>
          <w:color w:val="auto"/>
        </w:rPr>
      </w:pPr>
    </w:p>
    <w:p>
      <w:pPr>
        <w:ind w:left="5480"/>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Brett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3750310</wp:posOffset>
            </wp:positionH>
            <wp:positionV relativeFrom="paragraph">
              <wp:posOffset>635</wp:posOffset>
            </wp:positionV>
            <wp:extent cx="3192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Brett Church</w:t>
      </w:r>
    </w:p>
    <w:p>
      <w:pPr>
        <w:ind w:left="5900"/>
        <w:spacing w:after="0"/>
        <w:rPr>
          <w:sz w:val="20"/>
          <w:szCs w:val="20"/>
          <w:color w:val="auto"/>
        </w:rPr>
      </w:pPr>
      <w:r>
        <w:rPr>
          <w:rFonts w:ascii="Arial" w:cs="Arial" w:eastAsia="Arial" w:hAnsi="Arial"/>
          <w:sz w:val="18"/>
          <w:szCs w:val="18"/>
          <w:color w:val="auto"/>
        </w:rPr>
        <w:t>Associate General Counsel</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480" w:top="264"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1225550" cy="45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25550" cy="45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Releases Second Quarter Fiscal Year 2022 Financial Results</w:t>
      </w:r>
    </w:p>
    <w:p>
      <w:pPr>
        <w:spacing w:after="0" w:line="209"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b w:val="1"/>
          <w:bCs w:val="1"/>
          <w:color w:val="auto"/>
        </w:rPr>
        <w:t>CARLSBAD, Calif., November 8, 2021</w:t>
      </w:r>
      <w:r>
        <w:rPr>
          <w:rFonts w:ascii="Arial" w:cs="Arial" w:eastAsia="Arial" w:hAnsi="Arial"/>
          <w:sz w:val="18"/>
          <w:szCs w:val="18"/>
          <w:color w:val="auto"/>
        </w:rPr>
        <w:t>—</w:t>
      </w:r>
      <w:r>
        <w:rPr>
          <w:rFonts w:ascii="Arial" w:cs="Arial" w:eastAsia="Arial" w:hAnsi="Arial"/>
          <w:sz w:val="18"/>
          <w:szCs w:val="18"/>
          <w:u w:val="single" w:color="auto"/>
          <w:color w:val="auto"/>
        </w:rPr>
        <w:t>Viasat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VSAT), a global communications company, today announced its second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quarter fiscal year 2022 financial results in a letter to shareholders, which is now posted to the </w:t>
      </w:r>
      <w:r>
        <w:rPr>
          <w:rFonts w:ascii="Arial" w:cs="Arial" w:eastAsia="Arial" w:hAnsi="Arial"/>
          <w:sz w:val="18"/>
          <w:szCs w:val="18"/>
          <w:u w:val="single" w:color="auto"/>
          <w:color w:val="auto"/>
        </w:rPr>
        <w:t>Investor Relations section of Viasat’s</w:t>
      </w:r>
      <w:r>
        <w:rPr>
          <w:rFonts w:ascii="Arial" w:cs="Arial" w:eastAsia="Arial" w:hAnsi="Arial"/>
          <w:sz w:val="18"/>
          <w:szCs w:val="18"/>
          <w:color w:val="auto"/>
        </w:rPr>
        <w:t xml:space="preserve"> </w:t>
      </w:r>
      <w:r>
        <w:rPr>
          <w:rFonts w:ascii="Arial" w:cs="Arial" w:eastAsia="Arial" w:hAnsi="Arial"/>
          <w:sz w:val="18"/>
          <w:szCs w:val="18"/>
          <w:u w:val="single" w:color="auto"/>
          <w:color w:val="auto"/>
        </w:rPr>
        <w:t>website</w:t>
      </w:r>
      <w:r>
        <w:rPr>
          <w:rFonts w:ascii="Arial" w:cs="Arial" w:eastAsia="Arial" w:hAnsi="Arial"/>
          <w:sz w:val="18"/>
          <w:szCs w:val="18"/>
          <w:color w:val="auto"/>
        </w:rPr>
        <w:t>.</w:t>
      </w:r>
    </w:p>
    <w:p>
      <w:pPr>
        <w:spacing w:after="0" w:line="19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 xml:space="preserve">In addition to releasing its second quarter fiscal year 2022 financial results today, Viasat also announced it entered into a definitive agreement to acquire Inmarsat. This release can be found on Viasat’s Investor Relations website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0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lieu of holding a conference call focused on second quarter fiscal year 2022 financial results, Viasat and Inmarsat will host a conference call and webcast for investors today, November 8, 2021 at 8:00 a.m. Eastern Time to discuss the transaction.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480" w:type="dxa"/>
            <w:vAlign w:val="bottom"/>
          </w:tcPr>
          <w:p>
            <w:pPr>
              <w:ind w:left="440"/>
              <w:spacing w:after="0" w:line="165" w:lineRule="exact"/>
              <w:rPr>
                <w:sz w:val="20"/>
                <w:szCs w:val="20"/>
                <w:color w:val="auto"/>
              </w:rPr>
            </w:pPr>
            <w:r>
              <w:rPr>
                <w:rFonts w:ascii="Arial" w:cs="Arial" w:eastAsia="Arial" w:hAnsi="Arial"/>
                <w:sz w:val="18"/>
                <w:szCs w:val="18"/>
                <w:b w:val="1"/>
                <w:bCs w:val="1"/>
                <w:color w:val="auto"/>
              </w:rPr>
              <w:t>Date:</w:t>
            </w:r>
          </w:p>
        </w:tc>
        <w:tc>
          <w:tcPr>
            <w:tcW w:w="8000" w:type="dxa"/>
            <w:vAlign w:val="bottom"/>
            <w:gridSpan w:val="4"/>
          </w:tcPr>
          <w:p>
            <w:pPr>
              <w:ind w:left="280"/>
              <w:spacing w:after="0" w:line="165" w:lineRule="exact"/>
              <w:rPr>
                <w:sz w:val="20"/>
                <w:szCs w:val="20"/>
                <w:color w:val="auto"/>
              </w:rPr>
            </w:pPr>
            <w:r>
              <w:rPr>
                <w:rFonts w:ascii="Arial" w:cs="Arial" w:eastAsia="Arial" w:hAnsi="Arial"/>
                <w:sz w:val="18"/>
                <w:szCs w:val="18"/>
                <w:color w:val="auto"/>
              </w:rPr>
              <w:t>November 8, 2021</w:t>
            </w:r>
          </w:p>
        </w:tc>
        <w:tc>
          <w:tcPr>
            <w:tcW w:w="0" w:type="dxa"/>
            <w:vAlign w:val="bottom"/>
          </w:tcPr>
          <w:p>
            <w:pPr>
              <w:spacing w:after="0"/>
              <w:rPr>
                <w:sz w:val="1"/>
                <w:szCs w:val="1"/>
                <w:color w:val="auto"/>
              </w:rPr>
            </w:pPr>
          </w:p>
        </w:tc>
      </w:tr>
      <w:tr>
        <w:trPr>
          <w:trHeight w:val="201"/>
        </w:trPr>
        <w:tc>
          <w:tcPr>
            <w:tcW w:w="2480" w:type="dxa"/>
            <w:vAlign w:val="bottom"/>
          </w:tcPr>
          <w:p>
            <w:pPr>
              <w:ind w:left="440"/>
              <w:spacing w:after="0" w:line="201" w:lineRule="exact"/>
              <w:rPr>
                <w:sz w:val="20"/>
                <w:szCs w:val="20"/>
                <w:color w:val="auto"/>
              </w:rPr>
            </w:pPr>
            <w:r>
              <w:rPr>
                <w:rFonts w:ascii="Arial" w:cs="Arial" w:eastAsia="Arial" w:hAnsi="Arial"/>
                <w:sz w:val="18"/>
                <w:szCs w:val="18"/>
                <w:b w:val="1"/>
                <w:bCs w:val="1"/>
                <w:color w:val="auto"/>
              </w:rPr>
              <w:t>Time:</w:t>
            </w:r>
          </w:p>
        </w:tc>
        <w:tc>
          <w:tcPr>
            <w:tcW w:w="8000" w:type="dxa"/>
            <w:vAlign w:val="bottom"/>
            <w:gridSpan w:val="4"/>
          </w:tcPr>
          <w:p>
            <w:pPr>
              <w:ind w:left="280"/>
              <w:spacing w:after="0" w:line="201" w:lineRule="exact"/>
              <w:rPr>
                <w:sz w:val="20"/>
                <w:szCs w:val="20"/>
                <w:color w:val="auto"/>
              </w:rPr>
            </w:pPr>
            <w:r>
              <w:rPr>
                <w:rFonts w:ascii="Arial" w:cs="Arial" w:eastAsia="Arial" w:hAnsi="Arial"/>
                <w:sz w:val="18"/>
                <w:szCs w:val="18"/>
                <w:color w:val="auto"/>
              </w:rPr>
              <w:t>8:00 a.m. Eastern Time</w:t>
            </w:r>
          </w:p>
        </w:tc>
        <w:tc>
          <w:tcPr>
            <w:tcW w:w="0" w:type="dxa"/>
            <w:vAlign w:val="bottom"/>
          </w:tcPr>
          <w:p>
            <w:pPr>
              <w:spacing w:after="0"/>
              <w:rPr>
                <w:sz w:val="1"/>
                <w:szCs w:val="1"/>
                <w:color w:val="auto"/>
              </w:rPr>
            </w:pPr>
          </w:p>
        </w:tc>
      </w:tr>
      <w:tr>
        <w:trPr>
          <w:trHeight w:val="223"/>
        </w:trPr>
        <w:tc>
          <w:tcPr>
            <w:tcW w:w="2480" w:type="dxa"/>
            <w:vAlign w:val="bottom"/>
          </w:tcPr>
          <w:p>
            <w:pPr>
              <w:ind w:left="440"/>
              <w:spacing w:after="0"/>
              <w:rPr>
                <w:sz w:val="20"/>
                <w:szCs w:val="20"/>
                <w:color w:val="auto"/>
              </w:rPr>
            </w:pPr>
            <w:r>
              <w:rPr>
                <w:rFonts w:ascii="Arial" w:cs="Arial" w:eastAsia="Arial" w:hAnsi="Arial"/>
                <w:sz w:val="18"/>
                <w:szCs w:val="18"/>
                <w:b w:val="1"/>
                <w:bCs w:val="1"/>
                <w:color w:val="auto"/>
              </w:rPr>
              <w:t>Live conference call:</w:t>
            </w:r>
          </w:p>
        </w:tc>
        <w:tc>
          <w:tcPr>
            <w:tcW w:w="8000" w:type="dxa"/>
            <w:vAlign w:val="bottom"/>
            <w:gridSpan w:val="4"/>
          </w:tcPr>
          <w:p>
            <w:pPr>
              <w:ind w:left="280"/>
              <w:spacing w:after="0"/>
              <w:rPr>
                <w:sz w:val="20"/>
                <w:szCs w:val="20"/>
                <w:color w:val="auto"/>
              </w:rPr>
            </w:pPr>
            <w:r>
              <w:rPr>
                <w:rFonts w:ascii="Arial" w:cs="Arial" w:eastAsia="Arial" w:hAnsi="Arial"/>
                <w:sz w:val="18"/>
                <w:szCs w:val="18"/>
                <w:color w:val="auto"/>
              </w:rPr>
              <w:t>To participate on the live conference call, please dial: (877) 640-9809 in the U.S. or (914)</w:t>
            </w:r>
          </w:p>
        </w:tc>
        <w:tc>
          <w:tcPr>
            <w:tcW w:w="0" w:type="dxa"/>
            <w:vAlign w:val="bottom"/>
          </w:tcPr>
          <w:p>
            <w:pPr>
              <w:spacing w:after="0"/>
              <w:rPr>
                <w:sz w:val="1"/>
                <w:szCs w:val="1"/>
                <w:color w:val="auto"/>
              </w:rPr>
            </w:pPr>
          </w:p>
        </w:tc>
      </w:tr>
      <w:tr>
        <w:trPr>
          <w:trHeight w:val="201"/>
        </w:trPr>
        <w:tc>
          <w:tcPr>
            <w:tcW w:w="24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Live webcast:</w:t>
            </w:r>
          </w:p>
        </w:tc>
        <w:tc>
          <w:tcPr>
            <w:tcW w:w="8000" w:type="dxa"/>
            <w:vAlign w:val="bottom"/>
            <w:gridSpan w:val="4"/>
          </w:tcPr>
          <w:p>
            <w:pPr>
              <w:ind w:left="280"/>
              <w:spacing w:after="0" w:line="201" w:lineRule="exact"/>
              <w:rPr>
                <w:sz w:val="20"/>
                <w:szCs w:val="20"/>
                <w:color w:val="auto"/>
              </w:rPr>
            </w:pPr>
            <w:r>
              <w:rPr>
                <w:rFonts w:ascii="Arial" w:cs="Arial" w:eastAsia="Arial" w:hAnsi="Arial"/>
                <w:sz w:val="18"/>
                <w:szCs w:val="18"/>
                <w:color w:val="auto"/>
              </w:rPr>
              <w:t>495-8528 internationally and reference the conference ID 5854938</w:t>
            </w:r>
          </w:p>
        </w:tc>
        <w:tc>
          <w:tcPr>
            <w:tcW w:w="0" w:type="dxa"/>
            <w:vAlign w:val="bottom"/>
          </w:tcPr>
          <w:p>
            <w:pPr>
              <w:spacing w:after="0"/>
              <w:rPr>
                <w:sz w:val="1"/>
                <w:szCs w:val="1"/>
                <w:color w:val="auto"/>
              </w:rPr>
            </w:pPr>
          </w:p>
        </w:tc>
      </w:tr>
      <w:tr>
        <w:trPr>
          <w:trHeight w:val="175"/>
        </w:trPr>
        <w:tc>
          <w:tcPr>
            <w:tcW w:w="2480" w:type="dxa"/>
            <w:vAlign w:val="bottom"/>
            <w:vMerge w:val="continue"/>
          </w:tcPr>
          <w:p>
            <w:pPr>
              <w:spacing w:after="0"/>
              <w:rPr>
                <w:sz w:val="15"/>
                <w:szCs w:val="15"/>
                <w:color w:val="auto"/>
              </w:rPr>
            </w:pPr>
          </w:p>
        </w:tc>
        <w:tc>
          <w:tcPr>
            <w:tcW w:w="8000" w:type="dxa"/>
            <w:vAlign w:val="bottom"/>
            <w:gridSpan w:val="4"/>
          </w:tcPr>
          <w:p>
            <w:pPr>
              <w:ind w:left="280"/>
              <w:spacing w:after="0" w:line="176" w:lineRule="exact"/>
              <w:rPr>
                <w:sz w:val="20"/>
                <w:szCs w:val="20"/>
                <w:color w:val="auto"/>
              </w:rPr>
            </w:pPr>
            <w:r>
              <w:rPr>
                <w:rFonts w:ascii="Arial" w:cs="Arial" w:eastAsia="Arial" w:hAnsi="Arial"/>
                <w:sz w:val="18"/>
                <w:szCs w:val="18"/>
                <w:color w:val="auto"/>
              </w:rPr>
              <w:t>Available on Viasat’s investor relations website at: investors.viasat.com</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replay of the conference call will be made available from 11:00 a.m. Eastern Time on November 8, 2021, until 11:00 a.m. Eastern Time on November 10, 2021. To access the replay, please dial: (855) 859-2056 in the U.S. and (404) 537-3406 internationally and enter the conference ID 5854938. The webcast will be archived and available on the Viasat investor relations website for approximately one month immediately following the conference call.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Viasat</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Viasat is a global communications company that believes everyone and everything in the world can be connected. For 35 years, Viasat has helped shape how consumers, businesses, governments and militaries around the world communicate. Today, the Company is developing the ultimate global communications network to power high-quality, secure, affordable, fast connections to impact people’s lives anywhere they are—on the ground, in the air or at sea. To learn more about Viasat, visit: </w:t>
      </w:r>
      <w:r>
        <w:rPr>
          <w:rFonts w:ascii="Arial" w:cs="Arial" w:eastAsia="Arial" w:hAnsi="Arial"/>
          <w:sz w:val="18"/>
          <w:szCs w:val="18"/>
          <w:u w:val="single" w:color="auto"/>
          <w:color w:val="auto"/>
        </w:rPr>
        <w:t>www.viasat.com</w:t>
      </w:r>
      <w:r>
        <w:rPr>
          <w:rFonts w:ascii="Arial" w:cs="Arial" w:eastAsia="Arial" w:hAnsi="Arial"/>
          <w:sz w:val="18"/>
          <w:szCs w:val="18"/>
          <w:color w:val="auto"/>
        </w:rPr>
        <w:t xml:space="preserve">, go to </w:t>
      </w:r>
      <w:r>
        <w:rPr>
          <w:rFonts w:ascii="Arial" w:cs="Arial" w:eastAsia="Arial" w:hAnsi="Arial"/>
          <w:sz w:val="18"/>
          <w:szCs w:val="18"/>
          <w:u w:val="single" w:color="auto"/>
          <w:color w:val="auto"/>
        </w:rPr>
        <w:t>Viasat’s Corporate Blog</w:t>
      </w:r>
      <w:r>
        <w:rPr>
          <w:rFonts w:ascii="Arial" w:cs="Arial" w:eastAsia="Arial" w:hAnsi="Arial"/>
          <w:sz w:val="18"/>
          <w:szCs w:val="18"/>
          <w:color w:val="auto"/>
        </w:rPr>
        <w:t xml:space="preserve">, or follow the Company on social media at: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Instagram</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Copyright </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2021 Viasat, Inc. All rights reserved. Viasat, the Viasat logo and the Viasat signal are registered trademarks of Viasat, Inc. All other product or company names mentioned are used for identification purposes only and may be trademarks of their respective owners.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Viasat, Inc. Contacts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Chris Phillips, Public Relations, +1 (760) 476-2322, </w:t>
      </w:r>
      <w:r>
        <w:rPr>
          <w:rFonts w:ascii="Arial" w:cs="Arial" w:eastAsia="Arial" w:hAnsi="Arial"/>
          <w:sz w:val="18"/>
          <w:szCs w:val="18"/>
          <w:u w:val="single" w:color="auto"/>
          <w:color w:val="auto"/>
        </w:rPr>
        <w:t>Christina.Phillips@viasat.com</w:t>
      </w:r>
    </w:p>
    <w:p>
      <w:pPr>
        <w:spacing w:after="0"/>
        <w:rPr>
          <w:sz w:val="20"/>
          <w:szCs w:val="20"/>
          <w:color w:val="auto"/>
        </w:rPr>
      </w:pPr>
      <w:r>
        <w:rPr>
          <w:rFonts w:ascii="Arial" w:cs="Arial" w:eastAsia="Arial" w:hAnsi="Arial"/>
          <w:sz w:val="18"/>
          <w:szCs w:val="18"/>
          <w:color w:val="auto"/>
        </w:rPr>
        <w:t xml:space="preserve">Paul Froelich/Peter Lopez, Investor Relations, +1 (760) 476-2633, </w:t>
      </w:r>
      <w:r>
        <w:rPr>
          <w:rFonts w:ascii="Arial" w:cs="Arial" w:eastAsia="Arial" w:hAnsi="Arial"/>
          <w:sz w:val="18"/>
          <w:szCs w:val="18"/>
          <w:u w:val="single" w:color="auto"/>
          <w:color w:val="auto"/>
        </w:rPr>
        <w:t>IR@viasat.com</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0940"/>
          </w:cols>
          <w:pgMar w:left="480" w:top="264" w:right="479" w:bottom="1440" w:gutter="0" w:footer="0" w:header="0"/>
        </w:sectPr>
      </w:pPr>
    </w:p>
    <w:bookmarkStart w:id="5" w:name="page6"/>
    <w:bookmarkEnd w:id="5"/>
    <w:p>
      <w:pPr>
        <w:ind w:left="8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171450</wp:posOffset>
            </wp:positionV>
            <wp:extent cx="5328920" cy="6894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8920" cy="6894830"/>
                    </a:xfrm>
                    <a:prstGeom prst="rect">
                      <a:avLst/>
                    </a:prstGeom>
                    <a:noFill/>
                  </pic:spPr>
                </pic:pic>
              </a:graphicData>
            </a:graphic>
          </wp:anchor>
        </w:drawing>
      </w:r>
    </w:p>
    <w:p>
      <w:pPr>
        <w:sectPr>
          <w:pgSz w:w="11900" w:h="16838" w:orient="portrait"/>
          <w:cols w:equalWidth="0" w:num="1">
            <w:col w:w="9980"/>
          </w:cols>
          <w:pgMar w:left="1440" w:top="264" w:right="47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6988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698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ind w:left="5"/>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Viasat Second Quarter Fiscal Year 2022 Results</w:t>
      </w:r>
    </w:p>
    <w:p>
      <w:pPr>
        <w:spacing w:after="0" w:line="200" w:lineRule="exact"/>
        <w:rPr>
          <w:sz w:val="20"/>
          <w:szCs w:val="20"/>
          <w:color w:val="auto"/>
        </w:rPr>
      </w:pPr>
    </w:p>
    <w:p>
      <w:pPr>
        <w:spacing w:after="0" w:line="209"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Financial Results</w:t>
      </w:r>
    </w:p>
    <w:p>
      <w:pPr>
        <w:spacing w:after="0" w:line="17" w:lineRule="exact"/>
        <w:rPr>
          <w:sz w:val="20"/>
          <w:szCs w:val="20"/>
          <w:color w:val="auto"/>
        </w:rPr>
      </w:pPr>
    </w:p>
    <w:tbl>
      <w:tblPr>
        <w:tblLayout w:type="fixed"/>
        <w:tblInd w:w="5" w:type="dxa"/>
        <w:tblCellMar>
          <w:top w:w="0" w:type="dxa"/>
          <w:left w:w="0" w:type="dxa"/>
          <w:bottom w:w="0" w:type="dxa"/>
          <w:right w:w="0" w:type="dxa"/>
        </w:tblCellMar>
      </w:tblPr>
      <w:tr>
        <w:trPr>
          <w:trHeight w:val="204"/>
        </w:trPr>
        <w:tc>
          <w:tcPr>
            <w:tcW w:w="60" w:type="dxa"/>
            <w:vAlign w:val="bottom"/>
            <w:tcBorders>
              <w:right w:val="single" w:sz="8" w:color="auto"/>
            </w:tcBorders>
          </w:tcPr>
          <w:p>
            <w:pPr>
              <w:spacing w:after="0"/>
              <w:rPr>
                <w:sz w:val="17"/>
                <w:szCs w:val="17"/>
                <w:color w:val="auto"/>
              </w:rPr>
            </w:pPr>
          </w:p>
        </w:tc>
        <w:tc>
          <w:tcPr>
            <w:tcW w:w="3180" w:type="dxa"/>
            <w:vAlign w:val="bottom"/>
            <w:tcBorders>
              <w:top w:val="single" w:sz="8" w:color="auto"/>
              <w:right w:val="single" w:sz="8" w:color="auto"/>
            </w:tcBorders>
            <w:shd w:val="clear" w:color="auto" w:fill="D9D9D9"/>
          </w:tcPr>
          <w:p>
            <w:pPr>
              <w:ind w:left="120"/>
              <w:spacing w:after="0" w:line="205" w:lineRule="exact"/>
              <w:rPr>
                <w:sz w:val="20"/>
                <w:szCs w:val="20"/>
                <w:color w:val="auto"/>
              </w:rPr>
            </w:pPr>
            <w:r>
              <w:rPr>
                <w:rFonts w:ascii="Arial" w:cs="Arial" w:eastAsia="Arial" w:hAnsi="Arial"/>
                <w:sz w:val="20"/>
                <w:szCs w:val="20"/>
                <w:color w:val="auto"/>
              </w:rPr>
              <w:t>(In millions,except per</w:t>
            </w:r>
          </w:p>
        </w:tc>
        <w:tc>
          <w:tcPr>
            <w:tcW w:w="880" w:type="dxa"/>
            <w:vAlign w:val="bottom"/>
            <w:tcBorders>
              <w:top w:val="single" w:sz="8" w:color="auto"/>
              <w:right w:val="single" w:sz="8" w:color="auto"/>
            </w:tcBorders>
            <w:shd w:val="clear" w:color="auto" w:fill="D9D9D9"/>
          </w:tcPr>
          <w:p>
            <w:pPr>
              <w:jc w:val="center"/>
              <w:spacing w:after="0" w:line="205" w:lineRule="exact"/>
              <w:rPr>
                <w:sz w:val="20"/>
                <w:szCs w:val="20"/>
                <w:color w:val="auto"/>
              </w:rPr>
            </w:pPr>
            <w:r>
              <w:rPr>
                <w:rFonts w:ascii="Arial" w:cs="Arial" w:eastAsia="Arial" w:hAnsi="Arial"/>
                <w:sz w:val="20"/>
                <w:szCs w:val="20"/>
                <w:b w:val="1"/>
                <w:bCs w:val="1"/>
                <w:color w:val="auto"/>
                <w:w w:val="97"/>
              </w:rPr>
              <w:t>Q2 FY22</w:t>
            </w:r>
          </w:p>
        </w:tc>
        <w:tc>
          <w:tcPr>
            <w:tcW w:w="880" w:type="dxa"/>
            <w:vAlign w:val="bottom"/>
            <w:tcBorders>
              <w:top w:val="single" w:sz="8" w:color="auto"/>
              <w:right w:val="single" w:sz="8" w:color="auto"/>
            </w:tcBorders>
            <w:shd w:val="clear" w:color="auto" w:fill="D9D9D9"/>
          </w:tcPr>
          <w:p>
            <w:pPr>
              <w:jc w:val="center"/>
              <w:spacing w:after="0" w:line="205" w:lineRule="exact"/>
              <w:rPr>
                <w:sz w:val="20"/>
                <w:szCs w:val="20"/>
                <w:color w:val="auto"/>
              </w:rPr>
            </w:pPr>
            <w:r>
              <w:rPr>
                <w:rFonts w:ascii="Arial" w:cs="Arial" w:eastAsia="Arial" w:hAnsi="Arial"/>
                <w:sz w:val="20"/>
                <w:szCs w:val="20"/>
                <w:b w:val="1"/>
                <w:bCs w:val="1"/>
                <w:color w:val="auto"/>
                <w:w w:val="97"/>
              </w:rPr>
              <w:t>Q2 FY21</w:t>
            </w:r>
          </w:p>
        </w:tc>
        <w:tc>
          <w:tcPr>
            <w:tcW w:w="1520" w:type="dxa"/>
            <w:vAlign w:val="bottom"/>
            <w:tcBorders>
              <w:top w:val="single" w:sz="8" w:color="auto"/>
              <w:right w:val="single" w:sz="8" w:color="auto"/>
            </w:tcBorders>
            <w:shd w:val="clear" w:color="auto" w:fill="D9D9D9"/>
          </w:tcPr>
          <w:p>
            <w:pPr>
              <w:jc w:val="center"/>
              <w:spacing w:after="0" w:line="205" w:lineRule="exact"/>
              <w:rPr>
                <w:sz w:val="20"/>
                <w:szCs w:val="20"/>
                <w:color w:val="auto"/>
              </w:rPr>
            </w:pPr>
            <w:r>
              <w:rPr>
                <w:rFonts w:ascii="Arial" w:cs="Arial" w:eastAsia="Arial" w:hAnsi="Arial"/>
                <w:sz w:val="20"/>
                <w:szCs w:val="20"/>
                <w:b w:val="1"/>
                <w:bCs w:val="1"/>
                <w:color w:val="auto"/>
                <w:w w:val="97"/>
              </w:rPr>
              <w:t>Year-Over-Year</w:t>
            </w:r>
          </w:p>
        </w:tc>
        <w:tc>
          <w:tcPr>
            <w:tcW w:w="1460" w:type="dxa"/>
            <w:vAlign w:val="bottom"/>
            <w:tcBorders>
              <w:top w:val="single" w:sz="8" w:color="auto"/>
              <w:right w:val="single" w:sz="8" w:color="auto"/>
            </w:tcBorders>
            <w:shd w:val="clear" w:color="auto" w:fill="D9D9D9"/>
          </w:tcPr>
          <w:p>
            <w:pPr>
              <w:ind w:left="40"/>
              <w:spacing w:after="0" w:line="205" w:lineRule="exact"/>
              <w:rPr>
                <w:sz w:val="20"/>
                <w:szCs w:val="20"/>
                <w:color w:val="auto"/>
              </w:rPr>
            </w:pPr>
            <w:r>
              <w:rPr>
                <w:rFonts w:ascii="Arial" w:cs="Arial" w:eastAsia="Arial" w:hAnsi="Arial"/>
                <w:sz w:val="20"/>
                <w:szCs w:val="20"/>
                <w:b w:val="1"/>
                <w:bCs w:val="1"/>
                <w:color w:val="auto"/>
              </w:rPr>
              <w:t>First 6 Months</w:t>
            </w:r>
          </w:p>
        </w:tc>
        <w:tc>
          <w:tcPr>
            <w:tcW w:w="1440" w:type="dxa"/>
            <w:vAlign w:val="bottom"/>
            <w:tcBorders>
              <w:top w:val="single" w:sz="8" w:color="auto"/>
              <w:right w:val="single" w:sz="8" w:color="auto"/>
            </w:tcBorders>
            <w:shd w:val="clear" w:color="auto" w:fill="D9D9D9"/>
          </w:tcPr>
          <w:p>
            <w:pPr>
              <w:ind w:left="40"/>
              <w:spacing w:after="0" w:line="205" w:lineRule="exact"/>
              <w:rPr>
                <w:sz w:val="20"/>
                <w:szCs w:val="20"/>
                <w:color w:val="auto"/>
              </w:rPr>
            </w:pPr>
            <w:r>
              <w:rPr>
                <w:rFonts w:ascii="Arial" w:cs="Arial" w:eastAsia="Arial" w:hAnsi="Arial"/>
                <w:sz w:val="20"/>
                <w:szCs w:val="20"/>
                <w:b w:val="1"/>
                <w:bCs w:val="1"/>
                <w:color w:val="auto"/>
                <w:w w:val="99"/>
              </w:rPr>
              <w:t>First 6 Months</w:t>
            </w:r>
          </w:p>
        </w:tc>
        <w:tc>
          <w:tcPr>
            <w:tcW w:w="1500" w:type="dxa"/>
            <w:vAlign w:val="bottom"/>
            <w:tcBorders>
              <w:top w:val="single" w:sz="8" w:color="auto"/>
              <w:right w:val="single" w:sz="8" w:color="auto"/>
            </w:tcBorders>
            <w:shd w:val="clear" w:color="auto" w:fill="D9D9D9"/>
          </w:tcPr>
          <w:p>
            <w:pPr>
              <w:jc w:val="center"/>
              <w:spacing w:after="0" w:line="205" w:lineRule="exact"/>
              <w:rPr>
                <w:sz w:val="20"/>
                <w:szCs w:val="20"/>
                <w:color w:val="auto"/>
              </w:rPr>
            </w:pPr>
            <w:r>
              <w:rPr>
                <w:rFonts w:ascii="Arial" w:cs="Arial" w:eastAsia="Arial" w:hAnsi="Arial"/>
                <w:sz w:val="20"/>
                <w:szCs w:val="20"/>
                <w:b w:val="1"/>
                <w:bCs w:val="1"/>
                <w:color w:val="auto"/>
                <w:w w:val="96"/>
              </w:rPr>
              <w:t>Year-Over-Year</w:t>
            </w:r>
          </w:p>
        </w:tc>
      </w:tr>
      <w:tr>
        <w:trPr>
          <w:trHeight w:val="231"/>
        </w:trPr>
        <w:tc>
          <w:tcPr>
            <w:tcW w:w="60" w:type="dxa"/>
            <w:vAlign w:val="bottom"/>
            <w:tcBorders>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0"/>
                <w:szCs w:val="20"/>
                <w:color w:val="auto"/>
              </w:rPr>
              <w:t>share data)</w:t>
            </w:r>
          </w:p>
        </w:tc>
        <w:tc>
          <w:tcPr>
            <w:tcW w:w="880" w:type="dxa"/>
            <w:vAlign w:val="bottom"/>
            <w:tcBorders>
              <w:bottom w:val="single" w:sz="8" w:color="auto"/>
              <w:right w:val="single" w:sz="8" w:color="auto"/>
            </w:tcBorders>
            <w:shd w:val="clear" w:color="auto" w:fill="D9D9D9"/>
          </w:tcPr>
          <w:p>
            <w:pPr>
              <w:spacing w:after="0"/>
              <w:rPr>
                <w:sz w:val="20"/>
                <w:szCs w:val="20"/>
                <w:color w:val="auto"/>
              </w:rPr>
            </w:pPr>
          </w:p>
        </w:tc>
        <w:tc>
          <w:tcPr>
            <w:tcW w:w="880" w:type="dxa"/>
            <w:vAlign w:val="bottom"/>
            <w:tcBorders>
              <w:bottom w:val="single" w:sz="8" w:color="auto"/>
              <w:right w:val="single" w:sz="8" w:color="auto"/>
            </w:tcBorders>
            <w:shd w:val="clear" w:color="auto" w:fill="D9D9D9"/>
          </w:tcPr>
          <w:p>
            <w:pPr>
              <w:spacing w:after="0"/>
              <w:rPr>
                <w:sz w:val="20"/>
                <w:szCs w:val="20"/>
                <w:color w:val="auto"/>
              </w:rPr>
            </w:pP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8"/>
              </w:rPr>
              <w:t>Change</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6"/>
              </w:rPr>
              <w:t>FY22</w:t>
            </w: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rPr>
              <w:t>FY21</w:t>
            </w:r>
          </w:p>
        </w:tc>
        <w:tc>
          <w:tcPr>
            <w:tcW w:w="15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8"/>
              </w:rPr>
              <w:t>Change</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Revenues</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$701.4</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$554.3</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27%</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$1,366.2</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$1,084.8</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26%</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Net income (loss)</w:t>
            </w:r>
            <w:r>
              <w:rPr>
                <w:rFonts w:ascii="Arial" w:cs="Arial" w:eastAsia="Arial" w:hAnsi="Arial"/>
                <w:sz w:val="16"/>
                <w:szCs w:val="16"/>
                <w:color w:val="auto"/>
              </w:rPr>
              <w:t>(1)</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$3.3</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$2.0</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68%</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$20.3</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($10.4)</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Non-GAAP net income</w:t>
            </w:r>
            <w:r>
              <w:rPr>
                <w:rFonts w:ascii="Arial" w:cs="Arial" w:eastAsia="Arial" w:hAnsi="Arial"/>
                <w:sz w:val="16"/>
                <w:szCs w:val="16"/>
                <w:color w:val="auto"/>
              </w:rPr>
              <w:t>(1)</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$25.4</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$20.5</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24%</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$58.7</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$25.3</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132%</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Adjusted EBITDA</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$155.1</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$130.3</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19%</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$314.0</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$235.0</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34%</w:t>
            </w:r>
          </w:p>
        </w:tc>
      </w:tr>
      <w:tr>
        <w:trPr>
          <w:trHeight w:val="204"/>
        </w:trPr>
        <w:tc>
          <w:tcPr>
            <w:tcW w:w="6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20"/>
              <w:spacing w:after="0" w:line="205" w:lineRule="exact"/>
              <w:rPr>
                <w:sz w:val="20"/>
                <w:szCs w:val="20"/>
                <w:color w:val="auto"/>
              </w:rPr>
            </w:pPr>
            <w:r>
              <w:rPr>
                <w:rFonts w:ascii="Arial" w:cs="Arial" w:eastAsia="Arial" w:hAnsi="Arial"/>
                <w:sz w:val="20"/>
                <w:szCs w:val="20"/>
                <w:color w:val="auto"/>
              </w:rPr>
              <w:t>Diluted per share net income</w:t>
            </w: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r>
      <w:tr>
        <w:trPr>
          <w:trHeight w:val="21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18" w:lineRule="exact"/>
              <w:rPr>
                <w:sz w:val="20"/>
                <w:szCs w:val="20"/>
                <w:color w:val="auto"/>
              </w:rPr>
            </w:pPr>
            <w:r>
              <w:rPr>
                <w:rFonts w:ascii="Arial" w:cs="Arial" w:eastAsia="Arial" w:hAnsi="Arial"/>
                <w:sz w:val="20"/>
                <w:szCs w:val="20"/>
                <w:color w:val="auto"/>
              </w:rPr>
              <w:t>(loss)</w:t>
            </w:r>
            <w:r>
              <w:rPr>
                <w:rFonts w:ascii="Arial" w:cs="Arial" w:eastAsia="Arial" w:hAnsi="Arial"/>
                <w:sz w:val="16"/>
                <w:szCs w:val="16"/>
                <w:color w:val="auto"/>
              </w:rPr>
              <w:t>(1)</w:t>
            </w:r>
          </w:p>
        </w:tc>
        <w:tc>
          <w:tcPr>
            <w:tcW w:w="8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$0.04</w:t>
            </w:r>
          </w:p>
        </w:tc>
        <w:tc>
          <w:tcPr>
            <w:tcW w:w="8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$0.03</w:t>
            </w:r>
          </w:p>
        </w:tc>
        <w:tc>
          <w:tcPr>
            <w:tcW w:w="152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4"/>
              </w:rPr>
              <w:t>33%</w:t>
            </w:r>
          </w:p>
        </w:tc>
        <w:tc>
          <w:tcPr>
            <w:tcW w:w="146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$0.27</w:t>
            </w:r>
          </w:p>
        </w:tc>
        <w:tc>
          <w:tcPr>
            <w:tcW w:w="144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7"/>
              </w:rPr>
              <w:t>($0.16)</w:t>
            </w:r>
          </w:p>
        </w:tc>
        <w:tc>
          <w:tcPr>
            <w:tcW w:w="150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rPr>
              <w:t>*</w:t>
            </w:r>
          </w:p>
        </w:tc>
      </w:tr>
      <w:tr>
        <w:trPr>
          <w:trHeight w:val="204"/>
        </w:trPr>
        <w:tc>
          <w:tcPr>
            <w:tcW w:w="6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20"/>
              <w:spacing w:after="0" w:line="205" w:lineRule="exact"/>
              <w:rPr>
                <w:sz w:val="20"/>
                <w:szCs w:val="20"/>
                <w:color w:val="auto"/>
              </w:rPr>
            </w:pPr>
            <w:r>
              <w:rPr>
                <w:rFonts w:ascii="Arial" w:cs="Arial" w:eastAsia="Arial" w:hAnsi="Arial"/>
                <w:sz w:val="20"/>
                <w:szCs w:val="20"/>
                <w:color w:val="auto"/>
              </w:rPr>
              <w:t>Non-GAAP diluted per share net</w:t>
            </w: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r>
      <w:tr>
        <w:trPr>
          <w:trHeight w:val="21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18" w:lineRule="exact"/>
              <w:rPr>
                <w:sz w:val="20"/>
                <w:szCs w:val="20"/>
                <w:color w:val="auto"/>
              </w:rPr>
            </w:pPr>
            <w:r>
              <w:rPr>
                <w:rFonts w:ascii="Arial" w:cs="Arial" w:eastAsia="Arial" w:hAnsi="Arial"/>
                <w:sz w:val="20"/>
                <w:szCs w:val="20"/>
                <w:color w:val="auto"/>
              </w:rPr>
              <w:t>income</w:t>
            </w:r>
            <w:r>
              <w:rPr>
                <w:rFonts w:ascii="Arial" w:cs="Arial" w:eastAsia="Arial" w:hAnsi="Arial"/>
                <w:sz w:val="16"/>
                <w:szCs w:val="16"/>
                <w:color w:val="auto"/>
              </w:rPr>
              <w:t>(1), (2)</w:t>
            </w:r>
          </w:p>
        </w:tc>
        <w:tc>
          <w:tcPr>
            <w:tcW w:w="8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$0.34</w:t>
            </w:r>
          </w:p>
        </w:tc>
        <w:tc>
          <w:tcPr>
            <w:tcW w:w="8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$0.31</w:t>
            </w:r>
          </w:p>
        </w:tc>
        <w:tc>
          <w:tcPr>
            <w:tcW w:w="152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4"/>
              </w:rPr>
              <w:t>10%</w:t>
            </w:r>
          </w:p>
        </w:tc>
        <w:tc>
          <w:tcPr>
            <w:tcW w:w="146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$0.79</w:t>
            </w:r>
          </w:p>
        </w:tc>
        <w:tc>
          <w:tcPr>
            <w:tcW w:w="144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5"/>
              </w:rPr>
              <w:t>$0.39</w:t>
            </w:r>
          </w:p>
        </w:tc>
        <w:tc>
          <w:tcPr>
            <w:tcW w:w="150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7"/>
              </w:rPr>
              <w:t>103%</w:t>
            </w:r>
          </w:p>
        </w:tc>
      </w:tr>
      <w:tr>
        <w:trPr>
          <w:trHeight w:val="204"/>
        </w:trPr>
        <w:tc>
          <w:tcPr>
            <w:tcW w:w="6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20"/>
              <w:spacing w:after="0" w:line="205" w:lineRule="exact"/>
              <w:rPr>
                <w:sz w:val="20"/>
                <w:szCs w:val="20"/>
                <w:color w:val="auto"/>
              </w:rPr>
            </w:pPr>
            <w:r>
              <w:rPr>
                <w:rFonts w:ascii="Arial" w:cs="Arial" w:eastAsia="Arial" w:hAnsi="Arial"/>
                <w:sz w:val="20"/>
                <w:szCs w:val="20"/>
                <w:color w:val="auto"/>
              </w:rPr>
              <w:t>Fully diluted weighted average</w:t>
            </w:r>
          </w:p>
        </w:tc>
        <w:tc>
          <w:tcPr>
            <w:tcW w:w="8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r>
      <w:tr>
        <w:trPr>
          <w:trHeight w:val="21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18" w:lineRule="exact"/>
              <w:rPr>
                <w:sz w:val="20"/>
                <w:szCs w:val="20"/>
                <w:color w:val="auto"/>
              </w:rPr>
            </w:pPr>
            <w:r>
              <w:rPr>
                <w:rFonts w:ascii="Arial" w:cs="Arial" w:eastAsia="Arial" w:hAnsi="Arial"/>
                <w:sz w:val="20"/>
                <w:szCs w:val="20"/>
                <w:color w:val="auto"/>
              </w:rPr>
              <w:t>shares</w:t>
            </w:r>
            <w:r>
              <w:rPr>
                <w:rFonts w:ascii="Arial" w:cs="Arial" w:eastAsia="Arial" w:hAnsi="Arial"/>
                <w:sz w:val="16"/>
                <w:szCs w:val="16"/>
                <w:color w:val="auto"/>
              </w:rPr>
              <w:t>(2)</w:t>
            </w:r>
          </w:p>
        </w:tc>
        <w:tc>
          <w:tcPr>
            <w:tcW w:w="8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7"/>
              </w:rPr>
              <w:t>74.9</w:t>
            </w:r>
          </w:p>
        </w:tc>
        <w:tc>
          <w:tcPr>
            <w:tcW w:w="88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7"/>
              </w:rPr>
              <w:t>67.0</w:t>
            </w:r>
          </w:p>
        </w:tc>
        <w:tc>
          <w:tcPr>
            <w:tcW w:w="152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4"/>
              </w:rPr>
              <w:t>12%</w:t>
            </w:r>
          </w:p>
        </w:tc>
        <w:tc>
          <w:tcPr>
            <w:tcW w:w="146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7"/>
              </w:rPr>
              <w:t>73.9</w:t>
            </w:r>
          </w:p>
        </w:tc>
        <w:tc>
          <w:tcPr>
            <w:tcW w:w="144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7"/>
              </w:rPr>
              <w:t>64.6</w:t>
            </w:r>
          </w:p>
        </w:tc>
        <w:tc>
          <w:tcPr>
            <w:tcW w:w="1500" w:type="dxa"/>
            <w:vAlign w:val="bottom"/>
            <w:tcBorders>
              <w:bottom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color w:val="auto"/>
                <w:w w:val="99"/>
              </w:rPr>
              <w:t>14%</w:t>
            </w:r>
          </w:p>
        </w:tc>
      </w:tr>
      <w:tr>
        <w:trPr>
          <w:trHeight w:val="154"/>
        </w:trPr>
        <w:tc>
          <w:tcPr>
            <w:tcW w:w="6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1520" w:type="dxa"/>
            <w:vAlign w:val="bottom"/>
            <w:tcBorders>
              <w:bottom w:val="single" w:sz="8" w:color="auto"/>
              <w:right w:val="single" w:sz="8" w:color="auto"/>
            </w:tcBorders>
            <w:shd w:val="clear" w:color="auto" w:fill="D9D9D9"/>
          </w:tcPr>
          <w:p>
            <w:pPr>
              <w:spacing w:after="0"/>
              <w:rPr>
                <w:sz w:val="13"/>
                <w:szCs w:val="13"/>
                <w:color w:val="auto"/>
              </w:rPr>
            </w:pPr>
          </w:p>
        </w:tc>
        <w:tc>
          <w:tcPr>
            <w:tcW w:w="1460" w:type="dxa"/>
            <w:vAlign w:val="bottom"/>
            <w:tcBorders>
              <w:bottom w:val="single" w:sz="8" w:color="auto"/>
              <w:right w:val="single" w:sz="8" w:color="auto"/>
            </w:tcBorders>
            <w:shd w:val="clear" w:color="auto" w:fill="D9D9D9"/>
          </w:tcPr>
          <w:p>
            <w:pPr>
              <w:spacing w:after="0"/>
              <w:rPr>
                <w:sz w:val="13"/>
                <w:szCs w:val="13"/>
                <w:color w:val="auto"/>
              </w:rPr>
            </w:pPr>
          </w:p>
        </w:tc>
        <w:tc>
          <w:tcPr>
            <w:tcW w:w="1440" w:type="dxa"/>
            <w:vAlign w:val="bottom"/>
            <w:tcBorders>
              <w:bottom w:val="single" w:sz="8" w:color="auto"/>
              <w:right w:val="single" w:sz="8" w:color="auto"/>
            </w:tcBorders>
            <w:shd w:val="clear" w:color="auto" w:fill="D9D9D9"/>
          </w:tcPr>
          <w:p>
            <w:pPr>
              <w:spacing w:after="0"/>
              <w:rPr>
                <w:sz w:val="13"/>
                <w:szCs w:val="13"/>
                <w:color w:val="auto"/>
              </w:rPr>
            </w:pPr>
          </w:p>
        </w:tc>
        <w:tc>
          <w:tcPr>
            <w:tcW w:w="1500" w:type="dxa"/>
            <w:vAlign w:val="bottom"/>
            <w:tcBorders>
              <w:bottom w:val="single" w:sz="8" w:color="auto"/>
              <w:right w:val="single" w:sz="8" w:color="auto"/>
            </w:tcBorders>
            <w:shd w:val="clear" w:color="auto" w:fill="D9D9D9"/>
          </w:tcPr>
          <w:p>
            <w:pPr>
              <w:spacing w:after="0"/>
              <w:rPr>
                <w:sz w:val="13"/>
                <w:szCs w:val="13"/>
                <w:color w:val="auto"/>
              </w:rPr>
            </w:pP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New contract awards</w:t>
            </w:r>
            <w:r>
              <w:rPr>
                <w:rFonts w:ascii="Arial" w:cs="Arial" w:eastAsia="Arial" w:hAnsi="Arial"/>
                <w:sz w:val="16"/>
                <w:szCs w:val="16"/>
                <w:color w:val="auto"/>
              </w:rPr>
              <w:t>(3)</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$831.7</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$730.6</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14%</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$1,426.7</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$1,467.5</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(3)%</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Sales backlog</w:t>
            </w:r>
            <w:r>
              <w:rPr>
                <w:rFonts w:ascii="Arial" w:cs="Arial" w:eastAsia="Arial" w:hAnsi="Arial"/>
                <w:sz w:val="16"/>
                <w:szCs w:val="16"/>
                <w:color w:val="auto"/>
              </w:rPr>
              <w:t>(4)</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$2,324.4</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$2,304.7</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6"/>
              </w:rPr>
              <w:t>1%</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$2,324.4</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$2,304.7</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6"/>
              </w:rPr>
              <w:t>1%</w:t>
            </w:r>
          </w:p>
        </w:tc>
      </w:tr>
      <w:tr>
        <w:trPr>
          <w:trHeight w:val="409"/>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5"/>
        </w:trPr>
        <w:tc>
          <w:tcPr>
            <w:tcW w:w="60" w:type="dxa"/>
            <w:vAlign w:val="bottom"/>
            <w:tcBorders>
              <w:right w:val="single" w:sz="8" w:color="auto"/>
            </w:tcBorders>
          </w:tcPr>
          <w:p>
            <w:pPr>
              <w:spacing w:after="0"/>
              <w:rPr>
                <w:sz w:val="23"/>
                <w:szCs w:val="23"/>
                <w:color w:val="auto"/>
              </w:rPr>
            </w:pPr>
          </w:p>
        </w:tc>
        <w:tc>
          <w:tcPr>
            <w:tcW w:w="3180" w:type="dxa"/>
            <w:vAlign w:val="bottom"/>
            <w:tcBorders>
              <w:top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0"/>
                <w:szCs w:val="20"/>
                <w:color w:val="auto"/>
              </w:rPr>
              <w:t>(In millions)</w:t>
            </w:r>
          </w:p>
        </w:tc>
        <w:tc>
          <w:tcPr>
            <w:tcW w:w="8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7"/>
              </w:rPr>
              <w:t>Q2 FY22</w:t>
            </w:r>
          </w:p>
        </w:tc>
        <w:tc>
          <w:tcPr>
            <w:tcW w:w="8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9"/>
              </w:rPr>
              <w:t>Q2 FY21</w:t>
            </w:r>
          </w:p>
        </w:tc>
        <w:tc>
          <w:tcPr>
            <w:tcW w:w="15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6"/>
              </w:rPr>
              <w:t>Year-Over-Year</w:t>
            </w:r>
          </w:p>
        </w:tc>
        <w:tc>
          <w:tcPr>
            <w:tcW w:w="146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20"/>
                <w:szCs w:val="20"/>
                <w:b w:val="1"/>
                <w:bCs w:val="1"/>
                <w:color w:val="auto"/>
                <w:w w:val="99"/>
              </w:rPr>
              <w:t>First 6 Months</w:t>
            </w:r>
          </w:p>
        </w:tc>
        <w:tc>
          <w:tcPr>
            <w:tcW w:w="144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20"/>
                <w:szCs w:val="20"/>
                <w:b w:val="1"/>
                <w:bCs w:val="1"/>
                <w:color w:val="auto"/>
                <w:w w:val="98"/>
              </w:rPr>
              <w:t>First 6 Months</w:t>
            </w:r>
          </w:p>
        </w:tc>
        <w:tc>
          <w:tcPr>
            <w:tcW w:w="15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7"/>
              </w:rPr>
              <w:t>Year-Over-Year</w:t>
            </w:r>
          </w:p>
        </w:tc>
      </w:tr>
      <w:tr>
        <w:trPr>
          <w:trHeight w:val="147"/>
        </w:trPr>
        <w:tc>
          <w:tcPr>
            <w:tcW w:w="60" w:type="dxa"/>
            <w:vAlign w:val="bottom"/>
            <w:tcBorders>
              <w:right w:val="single" w:sz="8" w:color="auto"/>
            </w:tcBorders>
          </w:tcPr>
          <w:p>
            <w:pPr>
              <w:spacing w:after="0"/>
              <w:rPr>
                <w:sz w:val="12"/>
                <w:szCs w:val="12"/>
                <w:color w:val="auto"/>
              </w:rPr>
            </w:pPr>
          </w:p>
        </w:tc>
        <w:tc>
          <w:tcPr>
            <w:tcW w:w="3180" w:type="dxa"/>
            <w:vAlign w:val="bottom"/>
            <w:tcBorders>
              <w:bottom w:val="single" w:sz="8" w:color="auto"/>
              <w:right w:val="single" w:sz="8" w:color="auto"/>
            </w:tcBorders>
            <w:shd w:val="clear" w:color="auto" w:fill="D9D9D9"/>
          </w:tcPr>
          <w:p>
            <w:pPr>
              <w:spacing w:after="0"/>
              <w:rPr>
                <w:sz w:val="12"/>
                <w:szCs w:val="12"/>
                <w:color w:val="auto"/>
              </w:rPr>
            </w:pPr>
          </w:p>
        </w:tc>
        <w:tc>
          <w:tcPr>
            <w:tcW w:w="880" w:type="dxa"/>
            <w:vAlign w:val="bottom"/>
            <w:tcBorders>
              <w:bottom w:val="single" w:sz="8" w:color="auto"/>
              <w:right w:val="single" w:sz="8" w:color="auto"/>
            </w:tcBorders>
            <w:shd w:val="clear" w:color="auto" w:fill="D9D9D9"/>
          </w:tcPr>
          <w:p>
            <w:pPr>
              <w:spacing w:after="0"/>
              <w:rPr>
                <w:sz w:val="12"/>
                <w:szCs w:val="12"/>
                <w:color w:val="auto"/>
              </w:rPr>
            </w:pPr>
          </w:p>
        </w:tc>
        <w:tc>
          <w:tcPr>
            <w:tcW w:w="880" w:type="dxa"/>
            <w:vAlign w:val="bottom"/>
            <w:tcBorders>
              <w:bottom w:val="single" w:sz="8" w:color="auto"/>
              <w:right w:val="single" w:sz="8" w:color="auto"/>
            </w:tcBorders>
            <w:shd w:val="clear" w:color="auto" w:fill="D9D9D9"/>
          </w:tcPr>
          <w:p>
            <w:pPr>
              <w:spacing w:after="0"/>
              <w:rPr>
                <w:sz w:val="12"/>
                <w:szCs w:val="12"/>
                <w:color w:val="auto"/>
              </w:rPr>
            </w:pPr>
          </w:p>
        </w:tc>
        <w:tc>
          <w:tcPr>
            <w:tcW w:w="1520" w:type="dxa"/>
            <w:vAlign w:val="bottom"/>
            <w:tcBorders>
              <w:bottom w:val="single" w:sz="8" w:color="auto"/>
              <w:right w:val="single" w:sz="8" w:color="auto"/>
            </w:tcBorders>
            <w:shd w:val="clear" w:color="auto" w:fill="D9D9D9"/>
          </w:tcPr>
          <w:p>
            <w:pPr>
              <w:jc w:val="center"/>
              <w:spacing w:after="0" w:line="148" w:lineRule="exact"/>
              <w:rPr>
                <w:sz w:val="20"/>
                <w:szCs w:val="20"/>
                <w:color w:val="auto"/>
              </w:rPr>
            </w:pPr>
            <w:r>
              <w:rPr>
                <w:rFonts w:ascii="Arial" w:cs="Arial" w:eastAsia="Arial" w:hAnsi="Arial"/>
                <w:sz w:val="17"/>
                <w:szCs w:val="17"/>
                <w:b w:val="1"/>
                <w:bCs w:val="1"/>
                <w:color w:val="auto"/>
              </w:rPr>
              <w:t>Change</w:t>
            </w:r>
          </w:p>
        </w:tc>
        <w:tc>
          <w:tcPr>
            <w:tcW w:w="1460" w:type="dxa"/>
            <w:vAlign w:val="bottom"/>
            <w:tcBorders>
              <w:bottom w:val="single" w:sz="8" w:color="auto"/>
              <w:right w:val="single" w:sz="8" w:color="auto"/>
            </w:tcBorders>
            <w:shd w:val="clear" w:color="auto" w:fill="D9D9D9"/>
          </w:tcPr>
          <w:p>
            <w:pPr>
              <w:jc w:val="center"/>
              <w:spacing w:after="0" w:line="148" w:lineRule="exact"/>
              <w:rPr>
                <w:sz w:val="20"/>
                <w:szCs w:val="20"/>
                <w:color w:val="auto"/>
              </w:rPr>
            </w:pPr>
            <w:r>
              <w:rPr>
                <w:rFonts w:ascii="Arial" w:cs="Arial" w:eastAsia="Arial" w:hAnsi="Arial"/>
                <w:sz w:val="17"/>
                <w:szCs w:val="17"/>
                <w:b w:val="1"/>
                <w:bCs w:val="1"/>
                <w:color w:val="auto"/>
              </w:rPr>
              <w:t>FY22</w:t>
            </w:r>
          </w:p>
        </w:tc>
        <w:tc>
          <w:tcPr>
            <w:tcW w:w="1440" w:type="dxa"/>
            <w:vAlign w:val="bottom"/>
            <w:tcBorders>
              <w:bottom w:val="single" w:sz="8" w:color="auto"/>
              <w:right w:val="single" w:sz="8" w:color="auto"/>
            </w:tcBorders>
            <w:shd w:val="clear" w:color="auto" w:fill="D9D9D9"/>
          </w:tcPr>
          <w:p>
            <w:pPr>
              <w:jc w:val="center"/>
              <w:spacing w:after="0" w:line="148" w:lineRule="exact"/>
              <w:rPr>
                <w:sz w:val="20"/>
                <w:szCs w:val="20"/>
                <w:color w:val="auto"/>
              </w:rPr>
            </w:pPr>
            <w:r>
              <w:rPr>
                <w:rFonts w:ascii="Arial" w:cs="Arial" w:eastAsia="Arial" w:hAnsi="Arial"/>
                <w:sz w:val="17"/>
                <w:szCs w:val="17"/>
                <w:b w:val="1"/>
                <w:bCs w:val="1"/>
                <w:color w:val="auto"/>
              </w:rPr>
              <w:t>FY21</w:t>
            </w:r>
          </w:p>
        </w:tc>
        <w:tc>
          <w:tcPr>
            <w:tcW w:w="1500" w:type="dxa"/>
            <w:vAlign w:val="bottom"/>
            <w:tcBorders>
              <w:bottom w:val="single" w:sz="8" w:color="auto"/>
              <w:right w:val="single" w:sz="8" w:color="auto"/>
            </w:tcBorders>
            <w:shd w:val="clear" w:color="auto" w:fill="D9D9D9"/>
          </w:tcPr>
          <w:p>
            <w:pPr>
              <w:jc w:val="center"/>
              <w:spacing w:after="0" w:line="148" w:lineRule="exact"/>
              <w:rPr>
                <w:sz w:val="20"/>
                <w:szCs w:val="20"/>
                <w:color w:val="auto"/>
              </w:rPr>
            </w:pPr>
            <w:r>
              <w:rPr>
                <w:rFonts w:ascii="Arial" w:cs="Arial" w:eastAsia="Arial" w:hAnsi="Arial"/>
                <w:sz w:val="17"/>
                <w:szCs w:val="17"/>
                <w:b w:val="1"/>
                <w:bCs w:val="1"/>
                <w:color w:val="auto"/>
              </w:rPr>
              <w:t>Change</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Satellite Services</w:t>
            </w: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New contract awards</w:t>
            </w:r>
            <w:r>
              <w:rPr>
                <w:rFonts w:ascii="Arial" w:cs="Arial" w:eastAsia="Arial" w:hAnsi="Arial"/>
                <w:sz w:val="16"/>
                <w:szCs w:val="16"/>
                <w:color w:val="auto"/>
              </w:rPr>
              <w:t>(3)</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$304.2</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$213.3</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43%</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$579.2</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$411.1</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41%</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Revenues</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$300.1</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$215.9</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39%</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$574.2</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$417.9</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37%</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Operating profit</w:t>
            </w:r>
            <w:r>
              <w:rPr>
                <w:rFonts w:ascii="Arial" w:cs="Arial" w:eastAsia="Arial" w:hAnsi="Arial"/>
                <w:sz w:val="16"/>
                <w:szCs w:val="16"/>
                <w:color w:val="auto"/>
              </w:rPr>
              <w:t>(5)</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$17.0</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$11.5</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48%</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$29.6</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$9.6</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207%</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Adjusted EBITDA</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$110.4</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$84.6</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31%</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$216.5</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$156.0</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39%</w:t>
            </w:r>
          </w:p>
        </w:tc>
      </w:tr>
      <w:tr>
        <w:trPr>
          <w:trHeight w:val="154"/>
        </w:trPr>
        <w:tc>
          <w:tcPr>
            <w:tcW w:w="6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1520" w:type="dxa"/>
            <w:vAlign w:val="bottom"/>
            <w:tcBorders>
              <w:bottom w:val="single" w:sz="8" w:color="auto"/>
              <w:right w:val="single" w:sz="8" w:color="auto"/>
            </w:tcBorders>
            <w:shd w:val="clear" w:color="auto" w:fill="D9D9D9"/>
          </w:tcPr>
          <w:p>
            <w:pPr>
              <w:spacing w:after="0"/>
              <w:rPr>
                <w:sz w:val="13"/>
                <w:szCs w:val="13"/>
                <w:color w:val="auto"/>
              </w:rPr>
            </w:pPr>
          </w:p>
        </w:tc>
        <w:tc>
          <w:tcPr>
            <w:tcW w:w="1460" w:type="dxa"/>
            <w:vAlign w:val="bottom"/>
            <w:tcBorders>
              <w:bottom w:val="single" w:sz="8" w:color="auto"/>
              <w:right w:val="single" w:sz="8" w:color="auto"/>
            </w:tcBorders>
            <w:shd w:val="clear" w:color="auto" w:fill="D9D9D9"/>
          </w:tcPr>
          <w:p>
            <w:pPr>
              <w:spacing w:after="0"/>
              <w:rPr>
                <w:sz w:val="13"/>
                <w:szCs w:val="13"/>
                <w:color w:val="auto"/>
              </w:rPr>
            </w:pPr>
          </w:p>
        </w:tc>
        <w:tc>
          <w:tcPr>
            <w:tcW w:w="1440" w:type="dxa"/>
            <w:vAlign w:val="bottom"/>
            <w:tcBorders>
              <w:bottom w:val="single" w:sz="8" w:color="auto"/>
              <w:right w:val="single" w:sz="8" w:color="auto"/>
            </w:tcBorders>
            <w:shd w:val="clear" w:color="auto" w:fill="D9D9D9"/>
          </w:tcPr>
          <w:p>
            <w:pPr>
              <w:spacing w:after="0"/>
              <w:rPr>
                <w:sz w:val="13"/>
                <w:szCs w:val="13"/>
                <w:color w:val="auto"/>
              </w:rPr>
            </w:pPr>
          </w:p>
        </w:tc>
        <w:tc>
          <w:tcPr>
            <w:tcW w:w="1500" w:type="dxa"/>
            <w:vAlign w:val="bottom"/>
            <w:tcBorders>
              <w:bottom w:val="single" w:sz="8" w:color="auto"/>
              <w:right w:val="single" w:sz="8" w:color="auto"/>
            </w:tcBorders>
            <w:shd w:val="clear" w:color="auto" w:fill="D9D9D9"/>
          </w:tcPr>
          <w:p>
            <w:pPr>
              <w:spacing w:after="0"/>
              <w:rPr>
                <w:sz w:val="13"/>
                <w:szCs w:val="13"/>
                <w:color w:val="auto"/>
              </w:rPr>
            </w:pP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Commercial Networks</w:t>
            </w: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New contract awards</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$107.1</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$63.9</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68%</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$177.1</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$268.9</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(34)%</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Revenues</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$134.8</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$78.9</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71%</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$253.4</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$146.0</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74%</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Operating loss</w:t>
            </w:r>
            <w:r>
              <w:rPr>
                <w:rFonts w:ascii="Arial" w:cs="Arial" w:eastAsia="Arial" w:hAnsi="Arial"/>
                <w:sz w:val="16"/>
                <w:szCs w:val="16"/>
                <w:color w:val="auto"/>
              </w:rPr>
              <w:t>(5)</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($45.3)</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($45.4)</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(0)%</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($83.0)</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($96.8)</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(14)%</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Adjusted EBITDA</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($24.5)</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($26.6)</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(8)%</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($43.2)</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7"/>
              </w:rPr>
              <w:t>($60.7)</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(29)%</w:t>
            </w:r>
          </w:p>
        </w:tc>
      </w:tr>
      <w:tr>
        <w:trPr>
          <w:trHeight w:val="154"/>
        </w:trPr>
        <w:tc>
          <w:tcPr>
            <w:tcW w:w="60" w:type="dxa"/>
            <w:vAlign w:val="bottom"/>
            <w:tcBorders>
              <w:right w:val="single" w:sz="8" w:color="auto"/>
            </w:tcBorders>
          </w:tcPr>
          <w:p>
            <w:pPr>
              <w:spacing w:after="0"/>
              <w:rPr>
                <w:sz w:val="13"/>
                <w:szCs w:val="13"/>
                <w:color w:val="auto"/>
              </w:rPr>
            </w:pPr>
          </w:p>
        </w:tc>
        <w:tc>
          <w:tcPr>
            <w:tcW w:w="31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880" w:type="dxa"/>
            <w:vAlign w:val="bottom"/>
            <w:tcBorders>
              <w:bottom w:val="single" w:sz="8" w:color="auto"/>
              <w:right w:val="single" w:sz="8" w:color="auto"/>
            </w:tcBorders>
            <w:shd w:val="clear" w:color="auto" w:fill="D9D9D9"/>
          </w:tcPr>
          <w:p>
            <w:pPr>
              <w:spacing w:after="0"/>
              <w:rPr>
                <w:sz w:val="13"/>
                <w:szCs w:val="13"/>
                <w:color w:val="auto"/>
              </w:rPr>
            </w:pPr>
          </w:p>
        </w:tc>
        <w:tc>
          <w:tcPr>
            <w:tcW w:w="1520" w:type="dxa"/>
            <w:vAlign w:val="bottom"/>
            <w:tcBorders>
              <w:bottom w:val="single" w:sz="8" w:color="auto"/>
              <w:right w:val="single" w:sz="8" w:color="auto"/>
            </w:tcBorders>
            <w:shd w:val="clear" w:color="auto" w:fill="D9D9D9"/>
          </w:tcPr>
          <w:p>
            <w:pPr>
              <w:spacing w:after="0"/>
              <w:rPr>
                <w:sz w:val="13"/>
                <w:szCs w:val="13"/>
                <w:color w:val="auto"/>
              </w:rPr>
            </w:pPr>
          </w:p>
        </w:tc>
        <w:tc>
          <w:tcPr>
            <w:tcW w:w="1460" w:type="dxa"/>
            <w:vAlign w:val="bottom"/>
            <w:tcBorders>
              <w:bottom w:val="single" w:sz="8" w:color="auto"/>
              <w:right w:val="single" w:sz="8" w:color="auto"/>
            </w:tcBorders>
            <w:shd w:val="clear" w:color="auto" w:fill="D9D9D9"/>
          </w:tcPr>
          <w:p>
            <w:pPr>
              <w:spacing w:after="0"/>
              <w:rPr>
                <w:sz w:val="13"/>
                <w:szCs w:val="13"/>
                <w:color w:val="auto"/>
              </w:rPr>
            </w:pPr>
          </w:p>
        </w:tc>
        <w:tc>
          <w:tcPr>
            <w:tcW w:w="1440" w:type="dxa"/>
            <w:vAlign w:val="bottom"/>
            <w:tcBorders>
              <w:bottom w:val="single" w:sz="8" w:color="auto"/>
              <w:right w:val="single" w:sz="8" w:color="auto"/>
            </w:tcBorders>
            <w:shd w:val="clear" w:color="auto" w:fill="D9D9D9"/>
          </w:tcPr>
          <w:p>
            <w:pPr>
              <w:spacing w:after="0"/>
              <w:rPr>
                <w:sz w:val="13"/>
                <w:szCs w:val="13"/>
                <w:color w:val="auto"/>
              </w:rPr>
            </w:pPr>
          </w:p>
        </w:tc>
        <w:tc>
          <w:tcPr>
            <w:tcW w:w="1500" w:type="dxa"/>
            <w:vAlign w:val="bottom"/>
            <w:tcBorders>
              <w:bottom w:val="single" w:sz="8" w:color="auto"/>
              <w:right w:val="single" w:sz="8" w:color="auto"/>
            </w:tcBorders>
            <w:shd w:val="clear" w:color="auto" w:fill="D9D9D9"/>
          </w:tcPr>
          <w:p>
            <w:pPr>
              <w:spacing w:after="0"/>
              <w:rPr>
                <w:sz w:val="13"/>
                <w:szCs w:val="13"/>
                <w:color w:val="auto"/>
              </w:rPr>
            </w:pP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Government Systems</w:t>
            </w: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New contract awards</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$420.4</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$453.4</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(7)%</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$670.4</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$787.5</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(15)%</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Revenues</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$266.4</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$259.5</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6"/>
              </w:rPr>
              <w:t>3%</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$538.6</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$520.9</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3%</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Operating profit</w:t>
            </w:r>
            <w:r>
              <w:rPr>
                <w:rFonts w:ascii="Arial" w:cs="Arial" w:eastAsia="Arial" w:hAnsi="Arial"/>
                <w:sz w:val="16"/>
                <w:szCs w:val="16"/>
                <w:color w:val="auto"/>
              </w:rPr>
              <w:t>(5)</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$44.0</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$47.9</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(8)%</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$91.4</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$97.4</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(6)%</w:t>
            </w:r>
          </w:p>
        </w:tc>
      </w:tr>
      <w:tr>
        <w:trPr>
          <w:trHeight w:val="208"/>
        </w:trPr>
        <w:tc>
          <w:tcPr>
            <w:tcW w:w="60" w:type="dxa"/>
            <w:vAlign w:val="bottom"/>
            <w:tcBorders>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ind w:left="320"/>
              <w:spacing w:after="0" w:line="207" w:lineRule="exact"/>
              <w:rPr>
                <w:sz w:val="20"/>
                <w:szCs w:val="20"/>
                <w:color w:val="auto"/>
              </w:rPr>
            </w:pPr>
            <w:r>
              <w:rPr>
                <w:rFonts w:ascii="Arial" w:cs="Arial" w:eastAsia="Arial" w:hAnsi="Arial"/>
                <w:sz w:val="20"/>
                <w:szCs w:val="20"/>
                <w:color w:val="auto"/>
              </w:rPr>
              <w:t>Adjusted EBITDA</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9"/>
              </w:rPr>
              <w:t>$69.1</w:t>
            </w:r>
          </w:p>
        </w:tc>
        <w:tc>
          <w:tcPr>
            <w:tcW w:w="88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5"/>
              </w:rPr>
              <w:t>$72.3</w:t>
            </w:r>
          </w:p>
        </w:tc>
        <w:tc>
          <w:tcPr>
            <w:tcW w:w="152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(4)%</w:t>
            </w:r>
          </w:p>
        </w:tc>
        <w:tc>
          <w:tcPr>
            <w:tcW w:w="146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$140.8</w:t>
            </w:r>
          </w:p>
        </w:tc>
        <w:tc>
          <w:tcPr>
            <w:tcW w:w="14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98"/>
              </w:rPr>
              <w:t>$139.8</w:t>
            </w:r>
          </w:p>
        </w:tc>
        <w:tc>
          <w:tcPr>
            <w:tcW w:w="15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1%</w:t>
            </w:r>
          </w:p>
        </w:tc>
      </w:tr>
    </w:tbl>
    <w:p>
      <w:pPr>
        <w:spacing w:after="0" w:line="177" w:lineRule="exact"/>
        <w:rPr>
          <w:sz w:val="20"/>
          <w:szCs w:val="20"/>
          <w:color w:val="auto"/>
        </w:rPr>
      </w:pPr>
    </w:p>
    <w:p>
      <w:pPr>
        <w:ind w:left="165" w:hanging="165"/>
        <w:spacing w:after="0"/>
        <w:tabs>
          <w:tab w:leader="none" w:pos="165"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Attributable to Viasat, Inc. common stockholders.</w:t>
      </w:r>
    </w:p>
    <w:p>
      <w:pPr>
        <w:ind w:left="165" w:right="160" w:hanging="165"/>
        <w:spacing w:after="0" w:line="228" w:lineRule="auto"/>
        <w:tabs>
          <w:tab w:leader="none" w:pos="165"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As the six months ended September 30, 2020 financial information resulted in a net loss, the weighted average number of shares used to calculate basic and diluted net loss per share is the same, as diluted shares would be anti-dilutive. However, as the non-GAAP financial information for the six months ended September 30, 2020 resulted in non-GAAP net income, 65.1 million diluted weighted average number of shares were used instead to calculate non-GAAP diluted net income per share.</w:t>
      </w:r>
    </w:p>
    <w:p>
      <w:pPr>
        <w:spacing w:after="0" w:line="1" w:lineRule="exact"/>
        <w:rPr>
          <w:rFonts w:ascii="Arial" w:cs="Arial" w:eastAsia="Arial" w:hAnsi="Arial"/>
          <w:sz w:val="20"/>
          <w:szCs w:val="20"/>
          <w:color w:val="auto"/>
          <w:vertAlign w:val="superscript"/>
        </w:rPr>
      </w:pPr>
    </w:p>
    <w:p>
      <w:pPr>
        <w:ind w:left="165" w:hanging="165"/>
        <w:spacing w:after="0" w:line="186" w:lineRule="auto"/>
        <w:tabs>
          <w:tab w:leader="none" w:pos="165" w:val="left"/>
        </w:tabs>
        <w:numPr>
          <w:ilvl w:val="0"/>
          <w:numId w:val="5"/>
        </w:numPr>
        <w:rPr>
          <w:rFonts w:ascii="Arial" w:cs="Arial" w:eastAsia="Arial" w:hAnsi="Arial"/>
          <w:sz w:val="18"/>
          <w:szCs w:val="18"/>
          <w:color w:val="auto"/>
          <w:vertAlign w:val="superscript"/>
        </w:rPr>
      </w:pPr>
      <w:r>
        <w:rPr>
          <w:rFonts w:ascii="Arial" w:cs="Arial" w:eastAsia="Arial" w:hAnsi="Arial"/>
          <w:sz w:val="11"/>
          <w:szCs w:val="11"/>
          <w:color w:val="auto"/>
        </w:rPr>
        <w:t>Awards exclude future revenue under recurring consumer commitment arrangements.</w:t>
      </w:r>
    </w:p>
    <w:p>
      <w:pPr>
        <w:ind w:left="165" w:right="120" w:hanging="165"/>
        <w:spacing w:after="0" w:line="228" w:lineRule="auto"/>
        <w:tabs>
          <w:tab w:leader="none" w:pos="165"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Amounts include certain backlog adjustments due to contract changes and amendments. Our backlog includes contracts with subscribers for fixed broadband services in our satellite services segment. Backlog does not include anticipated purchase orders and requests for the installation of in-flight connectivity systems or future recurring in-flight internet service revenues under our commercial in-flight internet agreements in our Commercial Networks and Satellite Services segments, respectively.</w:t>
      </w:r>
    </w:p>
    <w:p>
      <w:pPr>
        <w:spacing w:after="0" w:line="1" w:lineRule="exact"/>
        <w:rPr>
          <w:rFonts w:ascii="Arial" w:cs="Arial" w:eastAsia="Arial" w:hAnsi="Arial"/>
          <w:sz w:val="20"/>
          <w:szCs w:val="20"/>
          <w:color w:val="auto"/>
          <w:vertAlign w:val="superscript"/>
        </w:rPr>
      </w:pPr>
    </w:p>
    <w:p>
      <w:pPr>
        <w:ind w:left="165" w:hanging="165"/>
        <w:spacing w:after="0" w:line="186" w:lineRule="auto"/>
        <w:tabs>
          <w:tab w:leader="none" w:pos="165" w:val="left"/>
        </w:tabs>
        <w:numPr>
          <w:ilvl w:val="0"/>
          <w:numId w:val="5"/>
        </w:numPr>
        <w:rPr>
          <w:rFonts w:ascii="Arial" w:cs="Arial" w:eastAsia="Arial" w:hAnsi="Arial"/>
          <w:sz w:val="18"/>
          <w:szCs w:val="18"/>
          <w:color w:val="auto"/>
          <w:vertAlign w:val="superscript"/>
        </w:rPr>
      </w:pPr>
      <w:r>
        <w:rPr>
          <w:rFonts w:ascii="Arial" w:cs="Arial" w:eastAsia="Arial" w:hAnsi="Arial"/>
          <w:sz w:val="11"/>
          <w:szCs w:val="11"/>
          <w:color w:val="auto"/>
        </w:rPr>
        <w:t>Before corporate and amortization of acquired intangible assets.</w:t>
      </w:r>
    </w:p>
    <w:p>
      <w:pPr>
        <w:ind w:left="5"/>
        <w:spacing w:after="0"/>
        <w:rPr>
          <w:sz w:val="20"/>
          <w:szCs w:val="20"/>
          <w:color w:val="auto"/>
        </w:rPr>
      </w:pPr>
      <w:r>
        <w:rPr>
          <w:rFonts w:ascii="Arial" w:cs="Arial" w:eastAsia="Arial" w:hAnsi="Arial"/>
          <w:sz w:val="14"/>
          <w:szCs w:val="14"/>
          <w:color w:val="auto"/>
        </w:rPr>
        <w:t>* Percentage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102475" cy="170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2475" cy="170180"/>
                    </a:xfrm>
                    <a:prstGeom prst="rect">
                      <a:avLst/>
                    </a:prstGeom>
                    <a:noFill/>
                  </pic:spPr>
                </pic:pic>
              </a:graphicData>
            </a:graphic>
          </wp:anchor>
        </w:drawing>
      </w:r>
    </w:p>
    <w:p>
      <w:pPr>
        <w:spacing w:after="0" w:line="384" w:lineRule="exact"/>
        <w:rPr>
          <w:sz w:val="20"/>
          <w:szCs w:val="20"/>
          <w:color w:val="auto"/>
        </w:rPr>
      </w:pPr>
    </w:p>
    <w:tbl>
      <w:tblPr>
        <w:tblLayout w:type="fixed"/>
        <w:tblInd w:w="8145" w:type="dxa"/>
        <w:tblCellMar>
          <w:top w:w="0" w:type="dxa"/>
          <w:left w:w="0" w:type="dxa"/>
          <w:bottom w:w="0" w:type="dxa"/>
          <w:right w:w="0" w:type="dxa"/>
        </w:tblCellMar>
      </w:tblPr>
      <w:tr>
        <w:trPr>
          <w:trHeight w:val="149"/>
        </w:trPr>
        <w:tc>
          <w:tcPr>
            <w:tcW w:w="2460" w:type="dxa"/>
            <w:vAlign w:val="bottom"/>
          </w:tcPr>
          <w:p>
            <w:pPr>
              <w:spacing w:after="0"/>
              <w:rPr>
                <w:sz w:val="20"/>
                <w:szCs w:val="20"/>
                <w:color w:val="auto"/>
              </w:rPr>
            </w:pPr>
            <w:r>
              <w:rPr>
                <w:rFonts w:ascii="Arial" w:cs="Arial" w:eastAsia="Arial" w:hAnsi="Arial"/>
                <w:sz w:val="13"/>
                <w:szCs w:val="13"/>
                <w:color w:val="auto"/>
              </w:rPr>
              <w:t>Shareholder Letter | Q2 Fiscal Year 2022</w:t>
            </w:r>
          </w:p>
        </w:tc>
        <w:tc>
          <w:tcPr>
            <w:tcW w:w="340" w:type="dxa"/>
            <w:vAlign w:val="bottom"/>
          </w:tcPr>
          <w:p>
            <w:pPr>
              <w:jc w:val="right"/>
              <w:spacing w:after="0"/>
              <w:rPr>
                <w:sz w:val="20"/>
                <w:szCs w:val="20"/>
                <w:color w:val="auto"/>
              </w:rPr>
            </w:pPr>
            <w:r>
              <w:rPr>
                <w:rFonts w:ascii="Arial" w:cs="Arial" w:eastAsia="Arial" w:hAnsi="Arial"/>
                <w:sz w:val="13"/>
                <w:szCs w:val="13"/>
                <w:color w:val="auto"/>
              </w:rPr>
              <w:t>10</w:t>
            </w:r>
          </w:p>
        </w:tc>
      </w:tr>
    </w:tbl>
    <w:p>
      <w:pPr>
        <w:sectPr>
          <w:pgSz w:w="11900" w:h="16838" w:orient="portrait"/>
          <w:cols w:equalWidth="0" w:num="1">
            <w:col w:w="10945"/>
          </w:cols>
          <w:pgMar w:left="475" w:top="285" w:right="479" w:bottom="1440" w:gutter="0" w:footer="0" w:header="0"/>
        </w:sectPr>
      </w:pPr>
    </w:p>
    <w:bookmarkStart w:id="16" w:name="page17"/>
    <w:bookmarkEnd w:id="16"/>
    <w:p>
      <w:pPr>
        <w:ind w:left="5"/>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Viasat Second Quarter Fiscal Year 2022 Results (cont.)</w:t>
      </w:r>
    </w:p>
    <w:p>
      <w:pPr>
        <w:spacing w:after="0" w:line="137"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18"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(Unaudited)</w:t>
      </w:r>
    </w:p>
    <w:p>
      <w:pPr>
        <w:jc w:val="center"/>
        <w:ind w:right="-4"/>
        <w:spacing w:after="0"/>
        <w:rPr>
          <w:sz w:val="20"/>
          <w:szCs w:val="20"/>
          <w:color w:val="auto"/>
        </w:rPr>
      </w:pPr>
      <w:r>
        <w:rPr>
          <w:rFonts w:ascii="Arial" w:cs="Arial" w:eastAsia="Arial" w:hAnsi="Arial"/>
          <w:sz w:val="14"/>
          <w:szCs w:val="14"/>
          <w:b w:val="1"/>
          <w:bCs w:val="1"/>
          <w:color w:val="auto"/>
        </w:rPr>
        <w:t>(In thousands, except per share data)</w:t>
      </w:r>
    </w:p>
    <w:p>
      <w:pPr>
        <w:spacing w:after="0" w:line="223"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2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4"/>
          </w:tcPr>
          <w:p>
            <w:pPr>
              <w:jc w:val="right"/>
              <w:ind w:right="124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4"/>
          </w:tcPr>
          <w:p>
            <w:pPr>
              <w:jc w:val="right"/>
              <w:ind w:right="122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4"/>
        </w:trPr>
        <w:tc>
          <w:tcPr>
            <w:tcW w:w="2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69"/>
              <w:spacing w:after="0" w:line="154" w:lineRule="exact"/>
              <w:rPr>
                <w:sz w:val="20"/>
                <w:szCs w:val="20"/>
                <w:color w:val="auto"/>
              </w:rPr>
            </w:pPr>
            <w:r>
              <w:rPr>
                <w:rFonts w:ascii="Arial" w:cs="Arial" w:eastAsia="Arial" w:hAnsi="Arial"/>
                <w:sz w:val="14"/>
                <w:szCs w:val="14"/>
                <w:b w:val="1"/>
                <w:bCs w:val="1"/>
                <w:color w:val="auto"/>
              </w:rPr>
              <w:t>September 30, 2021</w:t>
            </w: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69"/>
              <w:spacing w:after="0" w:line="154" w:lineRule="exact"/>
              <w:rPr>
                <w:sz w:val="20"/>
                <w:szCs w:val="20"/>
                <w:color w:val="auto"/>
              </w:rPr>
            </w:pPr>
            <w:r>
              <w:rPr>
                <w:rFonts w:ascii="Arial" w:cs="Arial" w:eastAsia="Arial" w:hAnsi="Arial"/>
                <w:sz w:val="14"/>
                <w:szCs w:val="14"/>
                <w:b w:val="1"/>
                <w:bCs w:val="1"/>
                <w:color w:val="auto"/>
              </w:rPr>
              <w:t>September 30, 2020</w:t>
            </w:r>
          </w:p>
        </w:tc>
        <w:tc>
          <w:tcPr>
            <w:tcW w:w="380" w:type="dxa"/>
            <w:vAlign w:val="bottom"/>
          </w:tcPr>
          <w:p>
            <w:pPr>
              <w:spacing w:after="0"/>
              <w:rPr>
                <w:sz w:val="13"/>
                <w:szCs w:val="13"/>
                <w:color w:val="auto"/>
              </w:rPr>
            </w:pPr>
          </w:p>
        </w:tc>
        <w:tc>
          <w:tcPr>
            <w:tcW w:w="1580" w:type="dxa"/>
            <w:vAlign w:val="bottom"/>
            <w:tcBorders>
              <w:bottom w:val="single" w:sz="8" w:color="auto"/>
            </w:tcBorders>
            <w:gridSpan w:val="2"/>
          </w:tcPr>
          <w:p>
            <w:pPr>
              <w:jc w:val="right"/>
              <w:ind w:right="169"/>
              <w:spacing w:after="0" w:line="154" w:lineRule="exact"/>
              <w:rPr>
                <w:sz w:val="20"/>
                <w:szCs w:val="20"/>
                <w:color w:val="auto"/>
              </w:rPr>
            </w:pPr>
            <w:r>
              <w:rPr>
                <w:rFonts w:ascii="Arial" w:cs="Arial" w:eastAsia="Arial" w:hAnsi="Arial"/>
                <w:sz w:val="14"/>
                <w:szCs w:val="14"/>
                <w:b w:val="1"/>
                <w:bCs w:val="1"/>
                <w:color w:val="auto"/>
              </w:rPr>
              <w:t>September 30, 2021</w:t>
            </w: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53"/>
        </w:trPr>
        <w:tc>
          <w:tcPr>
            <w:tcW w:w="2700" w:type="dxa"/>
            <w:vAlign w:val="bottom"/>
          </w:tcPr>
          <w:p>
            <w:pPr>
              <w:spacing w:after="0"/>
              <w:rPr>
                <w:sz w:val="20"/>
                <w:szCs w:val="20"/>
                <w:color w:val="auto"/>
              </w:rPr>
            </w:pPr>
            <w:r>
              <w:rPr>
                <w:rFonts w:ascii="Arial" w:cs="Arial" w:eastAsia="Arial" w:hAnsi="Arial"/>
                <w:sz w:val="14"/>
                <w:szCs w:val="14"/>
                <w:color w:val="auto"/>
              </w:rPr>
              <w:t>Revenues: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Product revenues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308,666</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255,980</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601,930</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506,614</w:t>
            </w:r>
          </w:p>
        </w:tc>
        <w:tc>
          <w:tcPr>
            <w:tcW w:w="0" w:type="dxa"/>
            <w:vAlign w:val="bottom"/>
          </w:tcPr>
          <w:p>
            <w:pPr>
              <w:spacing w:after="0"/>
              <w:rPr>
                <w:sz w:val="1"/>
                <w:szCs w:val="1"/>
                <w:color w:val="auto"/>
              </w:rPr>
            </w:pPr>
          </w:p>
        </w:tc>
      </w:tr>
      <w:tr>
        <w:trPr>
          <w:trHeight w:val="156"/>
        </w:trPr>
        <w:tc>
          <w:tcPr>
            <w:tcW w:w="2700" w:type="dxa"/>
            <w:vAlign w:val="bottom"/>
          </w:tcPr>
          <w:p>
            <w:pPr>
              <w:spacing w:after="0" w:line="156" w:lineRule="exact"/>
              <w:rPr>
                <w:sz w:val="20"/>
                <w:szCs w:val="20"/>
                <w:color w:val="auto"/>
              </w:rPr>
            </w:pPr>
            <w:r>
              <w:rPr>
                <w:rFonts w:ascii="Arial" w:cs="Arial" w:eastAsia="Arial" w:hAnsi="Arial"/>
                <w:sz w:val="14"/>
                <w:szCs w:val="14"/>
                <w:color w:val="auto"/>
              </w:rPr>
              <w:t>Service revenues</w:t>
            </w: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9"/>
              <w:spacing w:after="0" w:line="156" w:lineRule="exact"/>
              <w:rPr>
                <w:sz w:val="20"/>
                <w:szCs w:val="20"/>
                <w:color w:val="auto"/>
              </w:rPr>
            </w:pPr>
            <w:r>
              <w:rPr>
                <w:rFonts w:ascii="Arial" w:cs="Arial" w:eastAsia="Arial" w:hAnsi="Arial"/>
                <w:sz w:val="14"/>
                <w:szCs w:val="14"/>
                <w:color w:val="auto"/>
              </w:rPr>
              <w:t>392,688</w:t>
            </w: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9"/>
              <w:spacing w:after="0" w:line="156" w:lineRule="exact"/>
              <w:rPr>
                <w:sz w:val="20"/>
                <w:szCs w:val="20"/>
                <w:color w:val="auto"/>
              </w:rPr>
            </w:pPr>
            <w:r>
              <w:rPr>
                <w:rFonts w:ascii="Arial" w:cs="Arial" w:eastAsia="Arial" w:hAnsi="Arial"/>
                <w:sz w:val="14"/>
                <w:szCs w:val="14"/>
                <w:color w:val="auto"/>
              </w:rPr>
              <w:t>298,298</w:t>
            </w: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4"/>
                <w:szCs w:val="14"/>
                <w:color w:val="auto"/>
              </w:rPr>
              <w:t>764,284</w:t>
            </w: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29"/>
              <w:spacing w:after="0" w:line="156" w:lineRule="exact"/>
              <w:rPr>
                <w:sz w:val="20"/>
                <w:szCs w:val="20"/>
                <w:color w:val="auto"/>
              </w:rPr>
            </w:pPr>
            <w:r>
              <w:rPr>
                <w:rFonts w:ascii="Arial" w:cs="Arial" w:eastAsia="Arial" w:hAnsi="Arial"/>
                <w:sz w:val="14"/>
                <w:szCs w:val="14"/>
                <w:color w:val="auto"/>
              </w:rPr>
              <w:t>578,152</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20"/>
                <w:szCs w:val="20"/>
                <w:color w:val="auto"/>
              </w:rPr>
            </w:pPr>
            <w:r>
              <w:rPr>
                <w:rFonts w:ascii="Arial" w:cs="Arial" w:eastAsia="Arial" w:hAnsi="Arial"/>
                <w:sz w:val="14"/>
                <w:szCs w:val="14"/>
                <w:color w:val="auto"/>
              </w:rPr>
              <w:t>Total revenues</w:t>
            </w:r>
          </w:p>
        </w:tc>
        <w:tc>
          <w:tcPr>
            <w:tcW w:w="180" w:type="dxa"/>
            <w:vAlign w:val="bottom"/>
          </w:tcPr>
          <w:p>
            <w:pPr>
              <w:spacing w:after="0"/>
              <w:rPr>
                <w:sz w:val="15"/>
                <w:szCs w:val="15"/>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701,354</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554,278</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1,366,214</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1,084,766</w:t>
            </w:r>
          </w:p>
        </w:tc>
        <w:tc>
          <w:tcPr>
            <w:tcW w:w="0" w:type="dxa"/>
            <w:vAlign w:val="bottom"/>
          </w:tcPr>
          <w:p>
            <w:pPr>
              <w:spacing w:after="0"/>
              <w:rPr>
                <w:sz w:val="1"/>
                <w:szCs w:val="1"/>
                <w:color w:val="auto"/>
              </w:rPr>
            </w:pPr>
          </w:p>
        </w:tc>
      </w:tr>
      <w:tr>
        <w:trPr>
          <w:trHeight w:val="325"/>
        </w:trPr>
        <w:tc>
          <w:tcPr>
            <w:tcW w:w="2700" w:type="dxa"/>
            <w:vAlign w:val="bottom"/>
          </w:tcPr>
          <w:p>
            <w:pPr>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Cost of product revenues</w:t>
            </w: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234,721</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191,890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454,068</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379,782</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Cost of service revenues</w:t>
            </w: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253,722</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195,423</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488,351</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393,100</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156,684</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125,451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310,884</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246,490</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Independent research and</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140"/>
              <w:spacing w:after="0"/>
              <w:rPr>
                <w:sz w:val="20"/>
                <w:szCs w:val="20"/>
                <w:color w:val="auto"/>
              </w:rPr>
            </w:pPr>
            <w:r>
              <w:rPr>
                <w:rFonts w:ascii="Arial" w:cs="Arial" w:eastAsia="Arial" w:hAnsi="Arial"/>
                <w:sz w:val="14"/>
                <w:szCs w:val="14"/>
                <w:color w:val="auto"/>
              </w:rPr>
              <w:t>development</w:t>
            </w: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40,530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27,531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74,993</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55,167</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Amortization of acquired intangible</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tcPr>
          <w:p>
            <w:pPr>
              <w:ind w:left="140"/>
              <w:spacing w:after="0" w:line="156" w:lineRule="exact"/>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9"/>
              <w:spacing w:after="0" w:line="156" w:lineRule="exact"/>
              <w:rPr>
                <w:sz w:val="20"/>
                <w:szCs w:val="20"/>
                <w:color w:val="auto"/>
              </w:rPr>
            </w:pPr>
            <w:r>
              <w:rPr>
                <w:rFonts w:ascii="Arial" w:cs="Arial" w:eastAsia="Arial" w:hAnsi="Arial"/>
                <w:sz w:val="14"/>
                <w:szCs w:val="14"/>
                <w:color w:val="auto"/>
              </w:rPr>
              <w:t>7,399</w:t>
            </w: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9"/>
              <w:spacing w:after="0" w:line="156" w:lineRule="exact"/>
              <w:rPr>
                <w:sz w:val="20"/>
                <w:szCs w:val="20"/>
                <w:color w:val="auto"/>
              </w:rPr>
            </w:pPr>
            <w:r>
              <w:rPr>
                <w:rFonts w:ascii="Arial" w:cs="Arial" w:eastAsia="Arial" w:hAnsi="Arial"/>
                <w:sz w:val="14"/>
                <w:szCs w:val="14"/>
                <w:color w:val="auto"/>
              </w:rPr>
              <w:t>1,300</w:t>
            </w: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4"/>
                <w:szCs w:val="14"/>
                <w:color w:val="auto"/>
              </w:rPr>
              <w:t>13,328</w:t>
            </w: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29"/>
              <w:spacing w:after="0" w:line="156" w:lineRule="exact"/>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80" w:type="dxa"/>
            <w:vAlign w:val="bottom"/>
          </w:tcPr>
          <w:p>
            <w:pPr>
              <w:spacing w:after="0"/>
              <w:rPr>
                <w:sz w:val="14"/>
                <w:szCs w:val="14"/>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8,298</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12,683</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24,590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7,369</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(6,022)</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(9,662)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(12,251)</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(18,954)</w:t>
            </w:r>
          </w:p>
        </w:tc>
        <w:tc>
          <w:tcPr>
            <w:tcW w:w="0" w:type="dxa"/>
            <w:vAlign w:val="bottom"/>
          </w:tcPr>
          <w:p>
            <w:pPr>
              <w:spacing w:after="0"/>
              <w:rPr>
                <w:sz w:val="1"/>
                <w:szCs w:val="1"/>
                <w:color w:val="auto"/>
              </w:rPr>
            </w:pPr>
          </w:p>
        </w:tc>
      </w:tr>
      <w:tr>
        <w:trPr>
          <w:trHeight w:val="156"/>
        </w:trPr>
        <w:tc>
          <w:tcPr>
            <w:tcW w:w="2700" w:type="dxa"/>
            <w:vAlign w:val="bottom"/>
          </w:tcPr>
          <w:p>
            <w:pPr>
              <w:spacing w:after="0" w:line="156" w:lineRule="exact"/>
              <w:rPr>
                <w:sz w:val="20"/>
                <w:szCs w:val="20"/>
                <w:color w:val="auto"/>
              </w:rPr>
            </w:pPr>
            <w:r>
              <w:rPr>
                <w:rFonts w:ascii="Arial" w:cs="Arial" w:eastAsia="Arial" w:hAnsi="Arial"/>
                <w:sz w:val="14"/>
                <w:szCs w:val="14"/>
                <w:color w:val="auto"/>
              </w:rPr>
              <w:t>Other income, net</w:t>
            </w: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29"/>
              <w:spacing w:after="0" w:line="156"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29"/>
              <w:spacing w:after="0" w:line="156"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4"/>
                <w:szCs w:val="14"/>
                <w:color w:val="auto"/>
              </w:rPr>
              <w:t>4,118</w:t>
            </w: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09"/>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180" w:type="dxa"/>
            <w:vAlign w:val="bottom"/>
          </w:tcPr>
          <w:p>
            <w:pPr>
              <w:spacing w:after="0"/>
              <w:rPr>
                <w:sz w:val="14"/>
                <w:szCs w:val="14"/>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2,276</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3,021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16,457</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(11,585)</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Benefit from income taxes</w:t>
            </w: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2,874</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687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6,961</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6,435</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Equity in (loss) income of</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tcPr>
          <w:p>
            <w:pPr>
              <w:ind w:left="140"/>
              <w:spacing w:after="0" w:line="156" w:lineRule="exact"/>
              <w:rPr>
                <w:sz w:val="20"/>
                <w:szCs w:val="20"/>
                <w:color w:val="auto"/>
              </w:rPr>
            </w:pPr>
            <w:r>
              <w:rPr>
                <w:rFonts w:ascii="Arial" w:cs="Arial" w:eastAsia="Arial" w:hAnsi="Arial"/>
                <w:sz w:val="14"/>
                <w:szCs w:val="14"/>
                <w:color w:val="auto"/>
              </w:rPr>
              <w:t>unconsolidated affiliate, net</w:t>
            </w: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29"/>
              <w:spacing w:after="0" w:line="156"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9"/>
              <w:spacing w:after="0" w:line="156" w:lineRule="exact"/>
              <w:rPr>
                <w:sz w:val="20"/>
                <w:szCs w:val="20"/>
                <w:color w:val="auto"/>
              </w:rPr>
            </w:pPr>
            <w:r>
              <w:rPr>
                <w:rFonts w:ascii="Arial" w:cs="Arial" w:eastAsia="Arial" w:hAnsi="Arial"/>
                <w:sz w:val="14"/>
                <w:szCs w:val="14"/>
                <w:color w:val="auto"/>
              </w:rPr>
              <w:t>(317)</w:t>
            </w: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4"/>
                <w:szCs w:val="14"/>
                <w:color w:val="auto"/>
              </w:rPr>
              <w:t>(256)</w:t>
            </w: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29"/>
              <w:spacing w:after="0" w:line="156"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Arial" w:cs="Arial" w:eastAsia="Arial" w:hAnsi="Arial"/>
                <w:sz w:val="14"/>
                <w:szCs w:val="14"/>
                <w:color w:val="auto"/>
              </w:rPr>
              <w:t>Net income (loss)</w:t>
            </w:r>
          </w:p>
        </w:tc>
        <w:tc>
          <w:tcPr>
            <w:tcW w:w="180" w:type="dxa"/>
            <w:vAlign w:val="bottom"/>
          </w:tcPr>
          <w:p>
            <w:pPr>
              <w:spacing w:after="0"/>
              <w:rPr>
                <w:sz w:val="14"/>
                <w:szCs w:val="14"/>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5,150</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3,391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23,162</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(5,136)</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Less: net income attributable to</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tcPr>
          <w:p>
            <w:pPr>
              <w:ind w:left="140"/>
              <w:spacing w:after="0" w:line="156" w:lineRule="exact"/>
              <w:rPr>
                <w:sz w:val="20"/>
                <w:szCs w:val="20"/>
                <w:color w:val="auto"/>
              </w:rPr>
            </w:pPr>
            <w:r>
              <w:rPr>
                <w:rFonts w:ascii="Arial" w:cs="Arial" w:eastAsia="Arial" w:hAnsi="Arial"/>
                <w:sz w:val="14"/>
                <w:szCs w:val="14"/>
                <w:color w:val="auto"/>
              </w:rPr>
              <w:t>noncontrolling interest, net of tax</w:t>
            </w: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9"/>
              <w:spacing w:after="0" w:line="156" w:lineRule="exact"/>
              <w:rPr>
                <w:sz w:val="20"/>
                <w:szCs w:val="20"/>
                <w:color w:val="auto"/>
              </w:rPr>
            </w:pPr>
            <w:r>
              <w:rPr>
                <w:rFonts w:ascii="Arial" w:cs="Arial" w:eastAsia="Arial" w:hAnsi="Arial"/>
                <w:sz w:val="14"/>
                <w:szCs w:val="14"/>
                <w:color w:val="auto"/>
              </w:rPr>
              <w:t>1,859</w:t>
            </w: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9"/>
              <w:spacing w:after="0" w:line="156" w:lineRule="exact"/>
              <w:rPr>
                <w:sz w:val="20"/>
                <w:szCs w:val="20"/>
                <w:color w:val="auto"/>
              </w:rPr>
            </w:pPr>
            <w:r>
              <w:rPr>
                <w:rFonts w:ascii="Arial" w:cs="Arial" w:eastAsia="Arial" w:hAnsi="Arial"/>
                <w:sz w:val="14"/>
                <w:szCs w:val="14"/>
                <w:color w:val="auto"/>
              </w:rPr>
              <w:t>1,428</w:t>
            </w: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4"/>
                <w:szCs w:val="14"/>
                <w:color w:val="auto"/>
              </w:rPr>
              <w:t>2,903</w:t>
            </w: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29"/>
              <w:spacing w:after="0" w:line="156" w:lineRule="exact"/>
              <w:rPr>
                <w:sz w:val="20"/>
                <w:szCs w:val="20"/>
                <w:color w:val="auto"/>
              </w:rPr>
            </w:pPr>
            <w:r>
              <w:rPr>
                <w:rFonts w:ascii="Arial" w:cs="Arial" w:eastAsia="Arial" w:hAnsi="Arial"/>
                <w:sz w:val="14"/>
                <w:szCs w:val="14"/>
                <w:color w:val="auto"/>
              </w:rPr>
              <w:t>5,290</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Arial" w:cs="Arial" w:eastAsia="Arial" w:hAnsi="Arial"/>
                <w:sz w:val="14"/>
                <w:szCs w:val="14"/>
                <w:color w:val="auto"/>
              </w:rPr>
              <w:t>Net income (loss) attributable to</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00" w:type="dxa"/>
            <w:vAlign w:val="bottom"/>
          </w:tcPr>
          <w:p>
            <w:pPr>
              <w:ind w:left="140"/>
              <w:spacing w:after="0" w:line="156" w:lineRule="exact"/>
              <w:rPr>
                <w:sz w:val="20"/>
                <w:szCs w:val="20"/>
                <w:color w:val="auto"/>
              </w:rPr>
            </w:pPr>
            <w:r>
              <w:rPr>
                <w:rFonts w:ascii="Arial" w:cs="Arial" w:eastAsia="Arial" w:hAnsi="Arial"/>
                <w:sz w:val="14"/>
                <w:szCs w:val="14"/>
                <w:color w:val="auto"/>
              </w:rPr>
              <w:t>Viasat, Inc.</w:t>
            </w:r>
          </w:p>
        </w:tc>
        <w:tc>
          <w:tcPr>
            <w:tcW w:w="1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49"/>
              <w:spacing w:after="0" w:line="156" w:lineRule="exact"/>
              <w:rPr>
                <w:sz w:val="20"/>
                <w:szCs w:val="20"/>
                <w:color w:val="auto"/>
              </w:rPr>
            </w:pPr>
            <w:r>
              <w:rPr>
                <w:rFonts w:ascii="Arial" w:cs="Arial" w:eastAsia="Arial" w:hAnsi="Arial"/>
                <w:sz w:val="14"/>
                <w:szCs w:val="14"/>
                <w:color w:val="auto"/>
              </w:rPr>
              <w:t>3,291</w:t>
            </w:r>
          </w:p>
        </w:tc>
        <w:tc>
          <w:tcPr>
            <w:tcW w:w="58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49"/>
              <w:spacing w:after="0" w:line="156" w:lineRule="exact"/>
              <w:rPr>
                <w:sz w:val="20"/>
                <w:szCs w:val="20"/>
                <w:color w:val="auto"/>
              </w:rPr>
            </w:pPr>
            <w:r>
              <w:rPr>
                <w:rFonts w:ascii="Arial" w:cs="Arial" w:eastAsia="Arial" w:hAnsi="Arial"/>
                <w:sz w:val="14"/>
                <w:szCs w:val="14"/>
                <w:color w:val="auto"/>
              </w:rPr>
              <w:t>1,963</w:t>
            </w:r>
          </w:p>
        </w:tc>
        <w:tc>
          <w:tcPr>
            <w:tcW w:w="5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460" w:type="dxa"/>
            <w:vAlign w:val="bottom"/>
          </w:tcPr>
          <w:p>
            <w:pPr>
              <w:jc w:val="right"/>
              <w:ind w:right="9"/>
              <w:spacing w:after="0" w:line="156" w:lineRule="exact"/>
              <w:rPr>
                <w:sz w:val="20"/>
                <w:szCs w:val="20"/>
                <w:color w:val="auto"/>
              </w:rPr>
            </w:pPr>
            <w:r>
              <w:rPr>
                <w:rFonts w:ascii="Arial" w:cs="Arial" w:eastAsia="Arial" w:hAnsi="Arial"/>
                <w:sz w:val="14"/>
                <w:szCs w:val="14"/>
                <w:color w:val="auto"/>
              </w:rPr>
              <w:t>20,259</w:t>
            </w:r>
          </w:p>
        </w:tc>
        <w:tc>
          <w:tcPr>
            <w:tcW w:w="60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29"/>
              <w:spacing w:after="0" w:line="156" w:lineRule="exact"/>
              <w:rPr>
                <w:sz w:val="20"/>
                <w:szCs w:val="20"/>
                <w:color w:val="auto"/>
              </w:rPr>
            </w:pPr>
            <w:r>
              <w:rPr>
                <w:rFonts w:ascii="Arial" w:cs="Arial" w:eastAsia="Arial" w:hAnsi="Arial"/>
                <w:sz w:val="14"/>
                <w:szCs w:val="14"/>
                <w:color w:val="auto"/>
              </w:rPr>
              <w:t>(10,426)</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4"/>
                <w:szCs w:val="14"/>
                <w:color w:val="auto"/>
              </w:rPr>
              <w:t>Diluted net income (loss)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70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140"/>
              <w:spacing w:after="0"/>
              <w:rPr>
                <w:sz w:val="20"/>
                <w:szCs w:val="20"/>
                <w:color w:val="auto"/>
              </w:rPr>
            </w:pPr>
            <w:r>
              <w:rPr>
                <w:rFonts w:ascii="Arial" w:cs="Arial" w:eastAsia="Arial" w:hAnsi="Arial"/>
                <w:sz w:val="14"/>
                <w:szCs w:val="14"/>
                <w:color w:val="auto"/>
              </w:rPr>
              <w:t>attributable to Viasat, Inc.</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tcPr>
          <w:p>
            <w:pPr>
              <w:ind w:left="140"/>
              <w:spacing w:after="0" w:line="156" w:lineRule="exact"/>
              <w:rPr>
                <w:sz w:val="20"/>
                <w:szCs w:val="20"/>
                <w:color w:val="auto"/>
              </w:rPr>
            </w:pPr>
            <w:r>
              <w:rPr>
                <w:rFonts w:ascii="Arial" w:cs="Arial" w:eastAsia="Arial" w:hAnsi="Arial"/>
                <w:sz w:val="14"/>
                <w:szCs w:val="14"/>
                <w:color w:val="auto"/>
              </w:rPr>
              <w:t>common stockholders</w:t>
            </w:r>
          </w:p>
        </w:tc>
        <w:tc>
          <w:tcPr>
            <w:tcW w:w="1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49"/>
              <w:spacing w:after="0" w:line="156" w:lineRule="exact"/>
              <w:rPr>
                <w:sz w:val="20"/>
                <w:szCs w:val="20"/>
                <w:color w:val="auto"/>
              </w:rPr>
            </w:pPr>
            <w:r>
              <w:rPr>
                <w:rFonts w:ascii="Arial" w:cs="Arial" w:eastAsia="Arial" w:hAnsi="Arial"/>
                <w:sz w:val="14"/>
                <w:szCs w:val="14"/>
                <w:color w:val="auto"/>
              </w:rPr>
              <w:t>0.04</w:t>
            </w:r>
          </w:p>
        </w:tc>
        <w:tc>
          <w:tcPr>
            <w:tcW w:w="58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49"/>
              <w:spacing w:after="0" w:line="156" w:lineRule="exact"/>
              <w:rPr>
                <w:sz w:val="20"/>
                <w:szCs w:val="20"/>
                <w:color w:val="auto"/>
              </w:rPr>
            </w:pPr>
            <w:r>
              <w:rPr>
                <w:rFonts w:ascii="Arial" w:cs="Arial" w:eastAsia="Arial" w:hAnsi="Arial"/>
                <w:sz w:val="14"/>
                <w:szCs w:val="14"/>
                <w:color w:val="auto"/>
              </w:rPr>
              <w:t>0.03</w:t>
            </w:r>
          </w:p>
        </w:tc>
        <w:tc>
          <w:tcPr>
            <w:tcW w:w="5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460" w:type="dxa"/>
            <w:vAlign w:val="bottom"/>
          </w:tcPr>
          <w:p>
            <w:pPr>
              <w:jc w:val="right"/>
              <w:ind w:right="9"/>
              <w:spacing w:after="0" w:line="156" w:lineRule="exact"/>
              <w:rPr>
                <w:sz w:val="20"/>
                <w:szCs w:val="20"/>
                <w:color w:val="auto"/>
              </w:rPr>
            </w:pPr>
            <w:r>
              <w:rPr>
                <w:rFonts w:ascii="Arial" w:cs="Arial" w:eastAsia="Arial" w:hAnsi="Arial"/>
                <w:sz w:val="14"/>
                <w:szCs w:val="14"/>
                <w:color w:val="auto"/>
              </w:rPr>
              <w:t>0.27</w:t>
            </w:r>
          </w:p>
        </w:tc>
        <w:tc>
          <w:tcPr>
            <w:tcW w:w="60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29"/>
              <w:spacing w:after="0" w:line="156" w:lineRule="exact"/>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4"/>
                <w:szCs w:val="14"/>
                <w:color w:val="auto"/>
              </w:rPr>
              <w:t>Diluted common equivalent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700" w:type="dxa"/>
            <w:vAlign w:val="bottom"/>
          </w:tcPr>
          <w:p>
            <w:pPr>
              <w:ind w:left="140"/>
              <w:spacing w:after="0"/>
              <w:rPr>
                <w:sz w:val="20"/>
                <w:szCs w:val="20"/>
                <w:color w:val="auto"/>
              </w:rPr>
            </w:pPr>
            <w:r>
              <w:rPr>
                <w:rFonts w:ascii="Arial" w:cs="Arial" w:eastAsia="Arial" w:hAnsi="Arial"/>
                <w:sz w:val="14"/>
                <w:szCs w:val="14"/>
                <w:color w:val="auto"/>
              </w:rPr>
              <w:t>shares</w:t>
            </w:r>
            <w:r>
              <w:rPr>
                <w:rFonts w:ascii="Arial" w:cs="Arial" w:eastAsia="Arial" w:hAnsi="Arial"/>
                <w:sz w:val="24"/>
                <w:szCs w:val="24"/>
                <w:color w:val="auto"/>
                <w:vertAlign w:val="superscript"/>
              </w:rPr>
              <w:t>(2)</w:t>
            </w:r>
          </w:p>
        </w:tc>
        <w:tc>
          <w:tcPr>
            <w:tcW w:w="180" w:type="dxa"/>
            <w:vAlign w:val="bottom"/>
          </w:tcPr>
          <w:p>
            <w:pPr>
              <w:spacing w:after="0"/>
              <w:rPr>
                <w:sz w:val="24"/>
                <w:szCs w:val="24"/>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74,872</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67,006</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73,862</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64,554</w:t>
            </w:r>
          </w:p>
        </w:tc>
        <w:tc>
          <w:tcPr>
            <w:tcW w:w="0" w:type="dxa"/>
            <w:vAlign w:val="bottom"/>
          </w:tcPr>
          <w:p>
            <w:pPr>
              <w:spacing w:after="0"/>
              <w:rPr>
                <w:sz w:val="1"/>
                <w:szCs w:val="1"/>
                <w:color w:val="auto"/>
              </w:rPr>
            </w:pPr>
          </w:p>
        </w:tc>
      </w:tr>
      <w:tr>
        <w:trPr>
          <w:trHeight w:val="175"/>
        </w:trPr>
        <w:tc>
          <w:tcPr>
            <w:tcW w:w="6740" w:type="dxa"/>
            <w:vAlign w:val="bottom"/>
            <w:gridSpan w:val="6"/>
          </w:tcPr>
          <w:p>
            <w:pPr>
              <w:spacing w:after="0"/>
              <w:rPr>
                <w:sz w:val="20"/>
                <w:szCs w:val="20"/>
                <w:color w:val="auto"/>
              </w:rPr>
            </w:pPr>
            <w:r>
              <w:rPr>
                <w:rFonts w:ascii="Arial" w:cs="Arial" w:eastAsia="Arial" w:hAnsi="Arial"/>
                <w:sz w:val="14"/>
                <w:szCs w:val="14"/>
                <w:b w:val="1"/>
                <w:bCs w:val="1"/>
                <w:color w:val="auto"/>
              </w:rPr>
              <w:t>AN ITEMIZED RECONCILIATION BETWEEN NET INCOME (LOSS) ATTRIBUTABLE TO VIASAT, INC.</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ON A GAAP BASIS AND NON-GAAP BASIS IS AS FOLLOWS:</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b w:val="1"/>
                <w:bCs w:val="1"/>
                <w:color w:val="auto"/>
              </w:rPr>
              <w:t>(In thousands, except per share</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70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4"/>
          </w:tcPr>
          <w:p>
            <w:pPr>
              <w:jc w:val="right"/>
              <w:ind w:right="124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4"/>
          </w:tcPr>
          <w:p>
            <w:pPr>
              <w:jc w:val="right"/>
              <w:ind w:right="122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4"/>
        </w:trPr>
        <w:tc>
          <w:tcPr>
            <w:tcW w:w="2700" w:type="dxa"/>
            <w:vAlign w:val="bottom"/>
            <w:vMerge w:val="restart"/>
          </w:tcPr>
          <w:p>
            <w:pPr>
              <w:spacing w:after="0"/>
              <w:rPr>
                <w:sz w:val="20"/>
                <w:szCs w:val="20"/>
                <w:color w:val="auto"/>
              </w:rPr>
            </w:pPr>
            <w:r>
              <w:rPr>
                <w:rFonts w:ascii="Arial" w:cs="Arial" w:eastAsia="Arial" w:hAnsi="Arial"/>
                <w:sz w:val="14"/>
                <w:szCs w:val="14"/>
                <w:color w:val="auto"/>
              </w:rPr>
              <w:t>GAAP net income (loss) attributable</w:t>
            </w: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69"/>
              <w:spacing w:after="0" w:line="154" w:lineRule="exact"/>
              <w:rPr>
                <w:sz w:val="20"/>
                <w:szCs w:val="20"/>
                <w:color w:val="auto"/>
              </w:rPr>
            </w:pPr>
            <w:r>
              <w:rPr>
                <w:rFonts w:ascii="Arial" w:cs="Arial" w:eastAsia="Arial" w:hAnsi="Arial"/>
                <w:sz w:val="14"/>
                <w:szCs w:val="14"/>
                <w:b w:val="1"/>
                <w:bCs w:val="1"/>
                <w:color w:val="auto"/>
              </w:rPr>
              <w:t>September 30, 2021</w:t>
            </w: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69"/>
              <w:spacing w:after="0" w:line="154" w:lineRule="exact"/>
              <w:rPr>
                <w:sz w:val="20"/>
                <w:szCs w:val="20"/>
                <w:color w:val="auto"/>
              </w:rPr>
            </w:pPr>
            <w:r>
              <w:rPr>
                <w:rFonts w:ascii="Arial" w:cs="Arial" w:eastAsia="Arial" w:hAnsi="Arial"/>
                <w:sz w:val="14"/>
                <w:szCs w:val="14"/>
                <w:b w:val="1"/>
                <w:bCs w:val="1"/>
                <w:color w:val="auto"/>
              </w:rPr>
              <w:t>September 30, 2020</w:t>
            </w: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9"/>
              <w:spacing w:after="0" w:line="154" w:lineRule="exact"/>
              <w:rPr>
                <w:sz w:val="20"/>
                <w:szCs w:val="20"/>
                <w:color w:val="auto"/>
              </w:rPr>
            </w:pPr>
            <w:r>
              <w:rPr>
                <w:rFonts w:ascii="Arial" w:cs="Arial" w:eastAsia="Arial" w:hAnsi="Arial"/>
                <w:sz w:val="14"/>
                <w:szCs w:val="14"/>
                <w:b w:val="1"/>
                <w:bCs w:val="1"/>
                <w:color w:val="auto"/>
              </w:rPr>
              <w:t>September 30, 2021</w:t>
            </w: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89"/>
              <w:spacing w:after="0" w:line="154" w:lineRule="exact"/>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46"/>
        </w:trPr>
        <w:tc>
          <w:tcPr>
            <w:tcW w:w="2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140"/>
              <w:spacing w:after="0"/>
              <w:rPr>
                <w:sz w:val="20"/>
                <w:szCs w:val="20"/>
                <w:color w:val="auto"/>
              </w:rPr>
            </w:pPr>
            <w:r>
              <w:rPr>
                <w:rFonts w:ascii="Arial" w:cs="Arial" w:eastAsia="Arial" w:hAnsi="Arial"/>
                <w:sz w:val="14"/>
                <w:szCs w:val="14"/>
                <w:color w:val="auto"/>
              </w:rPr>
              <w:t>to Viasat, Inc.</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3,291</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1,963</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20,259</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(10,426)</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Amortization of acquired intangible</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140"/>
              <w:spacing w:after="0"/>
              <w:rPr>
                <w:sz w:val="20"/>
                <w:szCs w:val="20"/>
                <w:color w:val="auto"/>
              </w:rPr>
            </w:pPr>
            <w:r>
              <w:rPr>
                <w:rFonts w:ascii="Arial" w:cs="Arial" w:eastAsia="Arial" w:hAnsi="Arial"/>
                <w:sz w:val="14"/>
                <w:szCs w:val="14"/>
                <w:color w:val="auto"/>
              </w:rPr>
              <w:t>assets</w:t>
            </w: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7,399</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1,300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13,328</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21,023</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22,386</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43,241</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43,328</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20"/>
                <w:szCs w:val="20"/>
                <w:color w:val="auto"/>
              </w:rPr>
            </w:pPr>
            <w:r>
              <w:rPr>
                <w:rFonts w:ascii="Arial" w:cs="Arial" w:eastAsia="Arial" w:hAnsi="Arial"/>
                <w:sz w:val="14"/>
                <w:szCs w:val="14"/>
                <w:color w:val="auto"/>
              </w:rPr>
              <w:t>Acquisition related expenses</w:t>
            </w:r>
          </w:p>
        </w:tc>
        <w:tc>
          <w:tcPr>
            <w:tcW w:w="180" w:type="dxa"/>
            <w:vAlign w:val="bottom"/>
          </w:tcPr>
          <w:p>
            <w:pPr>
              <w:spacing w:after="0"/>
              <w:rPr>
                <w:sz w:val="13"/>
                <w:szCs w:val="13"/>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488</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7,490</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700" w:type="dxa"/>
            <w:vAlign w:val="bottom"/>
          </w:tcPr>
          <w:p>
            <w:pPr>
              <w:spacing w:after="0" w:line="153" w:lineRule="exact"/>
              <w:rPr>
                <w:sz w:val="20"/>
                <w:szCs w:val="20"/>
                <w:color w:val="auto"/>
              </w:rPr>
            </w:pPr>
            <w:r>
              <w:rPr>
                <w:rFonts w:ascii="Arial" w:cs="Arial" w:eastAsia="Arial" w:hAnsi="Arial"/>
                <w:sz w:val="14"/>
                <w:szCs w:val="14"/>
                <w:color w:val="auto"/>
              </w:rPr>
              <w:t>Other income, net</w:t>
            </w:r>
          </w:p>
        </w:tc>
        <w:tc>
          <w:tcPr>
            <w:tcW w:w="180" w:type="dxa"/>
            <w:vAlign w:val="bottom"/>
          </w:tcPr>
          <w:p>
            <w:pPr>
              <w:spacing w:after="0"/>
              <w:rPr>
                <w:sz w:val="13"/>
                <w:szCs w:val="13"/>
                <w:color w:val="auto"/>
              </w:rPr>
            </w:pPr>
          </w:p>
        </w:tc>
        <w:tc>
          <w:tcPr>
            <w:tcW w:w="16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129"/>
              <w:spacing w:after="0" w:line="153"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9"/>
              <w:spacing w:after="0" w:line="153" w:lineRule="exact"/>
              <w:rPr>
                <w:sz w:val="20"/>
                <w:szCs w:val="20"/>
                <w:color w:val="auto"/>
              </w:rPr>
            </w:pPr>
            <w:r>
              <w:rPr>
                <w:rFonts w:ascii="Arial" w:cs="Arial" w:eastAsia="Arial" w:hAnsi="Arial"/>
                <w:sz w:val="14"/>
                <w:szCs w:val="14"/>
                <w:color w:val="auto"/>
              </w:rPr>
              <w:t>(4,118)</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right"/>
              <w:ind w:right="10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700" w:type="dxa"/>
            <w:vAlign w:val="bottom"/>
          </w:tcPr>
          <w:p>
            <w:pPr>
              <w:spacing w:after="0" w:line="163" w:lineRule="exact"/>
              <w:rPr>
                <w:sz w:val="20"/>
                <w:szCs w:val="20"/>
                <w:color w:val="auto"/>
              </w:rPr>
            </w:pPr>
            <w:r>
              <w:rPr>
                <w:rFonts w:ascii="Arial" w:cs="Arial" w:eastAsia="Arial" w:hAnsi="Arial"/>
                <w:sz w:val="11"/>
                <w:szCs w:val="11"/>
                <w:color w:val="auto"/>
              </w:rPr>
              <w:t>Income tax effect</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(6,784)</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(5,183)</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(21,512)</w:t>
            </w: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(10,504)</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Arial" w:cs="Arial" w:eastAsia="Arial" w:hAnsi="Arial"/>
                <w:sz w:val="14"/>
                <w:szCs w:val="14"/>
                <w:color w:val="auto"/>
              </w:rPr>
              <w:t>Non-GAAP net income attributable</w:t>
            </w: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00" w:type="dxa"/>
            <w:vAlign w:val="bottom"/>
          </w:tcPr>
          <w:p>
            <w:pPr>
              <w:ind w:left="140"/>
              <w:spacing w:after="0" w:line="156" w:lineRule="exact"/>
              <w:rPr>
                <w:sz w:val="20"/>
                <w:szCs w:val="20"/>
                <w:color w:val="auto"/>
              </w:rPr>
            </w:pPr>
            <w:r>
              <w:rPr>
                <w:rFonts w:ascii="Arial" w:cs="Arial" w:eastAsia="Arial" w:hAnsi="Arial"/>
                <w:sz w:val="14"/>
                <w:szCs w:val="14"/>
                <w:color w:val="auto"/>
              </w:rPr>
              <w:t>to Viasat, Inc.</w:t>
            </w:r>
          </w:p>
        </w:tc>
        <w:tc>
          <w:tcPr>
            <w:tcW w:w="1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49"/>
              <w:spacing w:after="0" w:line="156" w:lineRule="exact"/>
              <w:rPr>
                <w:sz w:val="20"/>
                <w:szCs w:val="20"/>
                <w:color w:val="auto"/>
              </w:rPr>
            </w:pPr>
            <w:r>
              <w:rPr>
                <w:rFonts w:ascii="Arial" w:cs="Arial" w:eastAsia="Arial" w:hAnsi="Arial"/>
                <w:sz w:val="14"/>
                <w:szCs w:val="14"/>
                <w:color w:val="auto"/>
              </w:rPr>
              <w:t>25,417</w:t>
            </w:r>
          </w:p>
        </w:tc>
        <w:tc>
          <w:tcPr>
            <w:tcW w:w="58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49"/>
              <w:spacing w:after="0" w:line="156" w:lineRule="exact"/>
              <w:rPr>
                <w:sz w:val="20"/>
                <w:szCs w:val="20"/>
                <w:color w:val="auto"/>
              </w:rPr>
            </w:pPr>
            <w:r>
              <w:rPr>
                <w:rFonts w:ascii="Arial" w:cs="Arial" w:eastAsia="Arial" w:hAnsi="Arial"/>
                <w:sz w:val="14"/>
                <w:szCs w:val="14"/>
                <w:color w:val="auto"/>
              </w:rPr>
              <w:t>20,466</w:t>
            </w:r>
          </w:p>
        </w:tc>
        <w:tc>
          <w:tcPr>
            <w:tcW w:w="5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460" w:type="dxa"/>
            <w:vAlign w:val="bottom"/>
          </w:tcPr>
          <w:p>
            <w:pPr>
              <w:jc w:val="right"/>
              <w:ind w:right="9"/>
              <w:spacing w:after="0" w:line="156" w:lineRule="exact"/>
              <w:rPr>
                <w:sz w:val="20"/>
                <w:szCs w:val="20"/>
                <w:color w:val="auto"/>
              </w:rPr>
            </w:pPr>
            <w:r>
              <w:rPr>
                <w:rFonts w:ascii="Arial" w:cs="Arial" w:eastAsia="Arial" w:hAnsi="Arial"/>
                <w:sz w:val="14"/>
                <w:szCs w:val="14"/>
                <w:color w:val="auto"/>
              </w:rPr>
              <w:t>58,688</w:t>
            </w:r>
          </w:p>
        </w:tc>
        <w:tc>
          <w:tcPr>
            <w:tcW w:w="60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29"/>
              <w:spacing w:after="0" w:line="156" w:lineRule="exact"/>
              <w:rPr>
                <w:sz w:val="20"/>
                <w:szCs w:val="20"/>
                <w:color w:val="auto"/>
              </w:rPr>
            </w:pPr>
            <w:r>
              <w:rPr>
                <w:rFonts w:ascii="Arial" w:cs="Arial" w:eastAsia="Arial" w:hAnsi="Arial"/>
                <w:sz w:val="14"/>
                <w:szCs w:val="14"/>
                <w:color w:val="auto"/>
              </w:rPr>
              <w:t>25,256</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4"/>
                <w:szCs w:val="14"/>
                <w:color w:val="auto"/>
              </w:rPr>
              <w:t>Non-GAAP diluted net income per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140"/>
              <w:spacing w:after="0"/>
              <w:rPr>
                <w:sz w:val="20"/>
                <w:szCs w:val="20"/>
                <w:color w:val="auto"/>
              </w:rPr>
            </w:pPr>
            <w:r>
              <w:rPr>
                <w:rFonts w:ascii="Arial" w:cs="Arial" w:eastAsia="Arial" w:hAnsi="Arial"/>
                <w:sz w:val="14"/>
                <w:szCs w:val="14"/>
                <w:color w:val="auto"/>
              </w:rPr>
              <w:t>share attributable to Viasat, Inc.</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tcPr>
          <w:p>
            <w:pPr>
              <w:ind w:left="140"/>
              <w:spacing w:after="0" w:line="156" w:lineRule="exact"/>
              <w:rPr>
                <w:sz w:val="20"/>
                <w:szCs w:val="20"/>
                <w:color w:val="auto"/>
              </w:rPr>
            </w:pPr>
            <w:r>
              <w:rPr>
                <w:rFonts w:ascii="Arial" w:cs="Arial" w:eastAsia="Arial" w:hAnsi="Arial"/>
                <w:sz w:val="14"/>
                <w:szCs w:val="14"/>
                <w:color w:val="auto"/>
              </w:rPr>
              <w:t>common stockholders</w:t>
            </w:r>
          </w:p>
        </w:tc>
        <w:tc>
          <w:tcPr>
            <w:tcW w:w="1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49"/>
              <w:spacing w:after="0" w:line="156" w:lineRule="exact"/>
              <w:rPr>
                <w:sz w:val="20"/>
                <w:szCs w:val="20"/>
                <w:color w:val="auto"/>
              </w:rPr>
            </w:pPr>
            <w:r>
              <w:rPr>
                <w:rFonts w:ascii="Arial" w:cs="Arial" w:eastAsia="Arial" w:hAnsi="Arial"/>
                <w:sz w:val="14"/>
                <w:szCs w:val="14"/>
                <w:color w:val="auto"/>
              </w:rPr>
              <w:t>0.34</w:t>
            </w:r>
          </w:p>
        </w:tc>
        <w:tc>
          <w:tcPr>
            <w:tcW w:w="58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49"/>
              <w:spacing w:after="0" w:line="156" w:lineRule="exact"/>
              <w:rPr>
                <w:sz w:val="20"/>
                <w:szCs w:val="20"/>
                <w:color w:val="auto"/>
              </w:rPr>
            </w:pPr>
            <w:r>
              <w:rPr>
                <w:rFonts w:ascii="Arial" w:cs="Arial" w:eastAsia="Arial" w:hAnsi="Arial"/>
                <w:sz w:val="14"/>
                <w:szCs w:val="14"/>
                <w:color w:val="auto"/>
              </w:rPr>
              <w:t>0.31</w:t>
            </w:r>
          </w:p>
        </w:tc>
        <w:tc>
          <w:tcPr>
            <w:tcW w:w="5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460" w:type="dxa"/>
            <w:vAlign w:val="bottom"/>
          </w:tcPr>
          <w:p>
            <w:pPr>
              <w:jc w:val="right"/>
              <w:ind w:right="9"/>
              <w:spacing w:after="0" w:line="156" w:lineRule="exact"/>
              <w:rPr>
                <w:sz w:val="20"/>
                <w:szCs w:val="20"/>
                <w:color w:val="auto"/>
              </w:rPr>
            </w:pPr>
            <w:r>
              <w:rPr>
                <w:rFonts w:ascii="Arial" w:cs="Arial" w:eastAsia="Arial" w:hAnsi="Arial"/>
                <w:sz w:val="14"/>
                <w:szCs w:val="14"/>
                <w:color w:val="auto"/>
              </w:rPr>
              <w:t>0.79</w:t>
            </w:r>
          </w:p>
        </w:tc>
        <w:tc>
          <w:tcPr>
            <w:tcW w:w="60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29"/>
              <w:spacing w:after="0" w:line="156"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4"/>
                <w:szCs w:val="14"/>
                <w:color w:val="auto"/>
              </w:rPr>
              <w:t>Diluted common equivalent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700" w:type="dxa"/>
            <w:vAlign w:val="bottom"/>
          </w:tcPr>
          <w:p>
            <w:pPr>
              <w:spacing w:after="0"/>
              <w:rPr>
                <w:sz w:val="20"/>
                <w:szCs w:val="20"/>
                <w:color w:val="auto"/>
              </w:rPr>
            </w:pPr>
            <w:r>
              <w:rPr>
                <w:rFonts w:ascii="Arial" w:cs="Arial" w:eastAsia="Arial" w:hAnsi="Arial"/>
                <w:sz w:val="14"/>
                <w:szCs w:val="14"/>
                <w:color w:val="auto"/>
              </w:rPr>
              <w:t>shares</w:t>
            </w:r>
            <w:r>
              <w:rPr>
                <w:rFonts w:ascii="Arial" w:cs="Arial" w:eastAsia="Arial" w:hAnsi="Arial"/>
                <w:sz w:val="24"/>
                <w:szCs w:val="24"/>
                <w:color w:val="auto"/>
                <w:vertAlign w:val="superscript"/>
              </w:rPr>
              <w:t>(2)</w:t>
            </w:r>
          </w:p>
        </w:tc>
        <w:tc>
          <w:tcPr>
            <w:tcW w:w="180" w:type="dxa"/>
            <w:vAlign w:val="bottom"/>
          </w:tcPr>
          <w:p>
            <w:pPr>
              <w:spacing w:after="0"/>
              <w:rPr>
                <w:sz w:val="24"/>
                <w:szCs w:val="24"/>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74,872</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67,006</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9"/>
              <w:spacing w:after="0"/>
              <w:rPr>
                <w:sz w:val="20"/>
                <w:szCs w:val="20"/>
                <w:color w:val="auto"/>
              </w:rPr>
            </w:pPr>
            <w:r>
              <w:rPr>
                <w:rFonts w:ascii="Arial" w:cs="Arial" w:eastAsia="Arial" w:hAnsi="Arial"/>
                <w:sz w:val="14"/>
                <w:szCs w:val="14"/>
                <w:color w:val="auto"/>
              </w:rPr>
              <w:t>73,862</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65,056</w:t>
            </w:r>
          </w:p>
        </w:tc>
        <w:tc>
          <w:tcPr>
            <w:tcW w:w="0" w:type="dxa"/>
            <w:vAlign w:val="bottom"/>
          </w:tcPr>
          <w:p>
            <w:pPr>
              <w:spacing w:after="0"/>
              <w:rPr>
                <w:sz w:val="1"/>
                <w:szCs w:val="1"/>
                <w:color w:val="auto"/>
              </w:rPr>
            </w:pPr>
          </w:p>
        </w:tc>
      </w:tr>
    </w:tbl>
    <w:p>
      <w:pPr>
        <w:ind w:left="205" w:hanging="205"/>
        <w:spacing w:after="0" w:line="225" w:lineRule="auto"/>
        <w:tabs>
          <w:tab w:leader="none" w:pos="205"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The income tax effect is calculated using the tax rate applicable for the non-GAAP adjustments.</w:t>
      </w:r>
    </w:p>
    <w:p>
      <w:pPr>
        <w:ind w:left="205" w:right="120" w:hanging="205"/>
        <w:spacing w:after="0" w:line="197" w:lineRule="auto"/>
        <w:tabs>
          <w:tab w:leader="none" w:pos="205" w:val="left"/>
        </w:tabs>
        <w:numPr>
          <w:ilvl w:val="0"/>
          <w:numId w:val="6"/>
        </w:numPr>
        <w:rPr>
          <w:rFonts w:ascii="Arial" w:cs="Arial" w:eastAsia="Arial" w:hAnsi="Arial"/>
          <w:sz w:val="24"/>
          <w:szCs w:val="24"/>
          <w:color w:val="auto"/>
          <w:vertAlign w:val="superscript"/>
        </w:rPr>
      </w:pPr>
      <w:r>
        <w:rPr>
          <w:rFonts w:ascii="Arial" w:cs="Arial" w:eastAsia="Arial" w:hAnsi="Arial"/>
          <w:sz w:val="14"/>
          <w:szCs w:val="14"/>
          <w:color w:val="auto"/>
        </w:rPr>
        <w:t>As the six months ended September 30, 2020 financial information resulted in a net loss, the weighted average number of shares used to calculate basic and diluted net loss per share is the same, as diluted shares would be anti-dilutive. However, as the non-GAAP financial information for the six months ended September 30, 2020 resulted in non-GAAP net income, diluted weighted average number of shares were used instead to calculate non-GAAP diluted net income per share.</w:t>
      </w:r>
    </w:p>
    <w:p>
      <w:pPr>
        <w:spacing w:after="0" w:line="215"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AN ITEMIZED RECONCILIATION BETWEEN NET INCOME (LOSS) ATTRIBUTABLE TO VIASAT, INC.</w:t>
      </w:r>
    </w:p>
    <w:p>
      <w:pPr>
        <w:spacing w:after="0" w:line="18"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AND ADJUSTED EBITDA IS AS FOLLOWS: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37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00" w:type="dxa"/>
            <w:vAlign w:val="bottom"/>
            <w:vMerge w:val="restart"/>
          </w:tcPr>
          <w:p>
            <w:pPr>
              <w:spacing w:after="0"/>
              <w:rPr>
                <w:sz w:val="20"/>
                <w:szCs w:val="20"/>
                <w:color w:val="auto"/>
              </w:rPr>
            </w:pPr>
            <w:r>
              <w:rPr>
                <w:rFonts w:ascii="Arial" w:cs="Arial" w:eastAsia="Arial" w:hAnsi="Arial"/>
                <w:sz w:val="14"/>
                <w:szCs w:val="14"/>
                <w:color w:val="auto"/>
              </w:rPr>
              <w:t>GAAP net income (loss) attributable to Viasat,</w:t>
            </w:r>
          </w:p>
        </w:tc>
        <w:tc>
          <w:tcPr>
            <w:tcW w:w="134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 2021</w:t>
            </w:r>
          </w:p>
        </w:tc>
        <w:tc>
          <w:tcPr>
            <w:tcW w:w="620" w:type="dxa"/>
            <w:vAlign w:val="bottom"/>
          </w:tcPr>
          <w:p>
            <w:pPr>
              <w:spacing w:after="0"/>
              <w:rPr>
                <w:sz w:val="13"/>
                <w:szCs w:val="13"/>
                <w:color w:val="auto"/>
              </w:rPr>
            </w:pPr>
          </w:p>
        </w:tc>
        <w:tc>
          <w:tcPr>
            <w:tcW w:w="134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w w:val="99"/>
              </w:rPr>
              <w:t>September 30, 2020</w:t>
            </w:r>
          </w:p>
        </w:tc>
        <w:tc>
          <w:tcPr>
            <w:tcW w:w="620" w:type="dxa"/>
            <w:vAlign w:val="bottom"/>
          </w:tcPr>
          <w:p>
            <w:pPr>
              <w:spacing w:after="0"/>
              <w:rPr>
                <w:sz w:val="13"/>
                <w:szCs w:val="13"/>
                <w:color w:val="auto"/>
              </w:rPr>
            </w:pPr>
          </w:p>
        </w:tc>
        <w:tc>
          <w:tcPr>
            <w:tcW w:w="134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 2021</w:t>
            </w:r>
          </w:p>
        </w:tc>
        <w:tc>
          <w:tcPr>
            <w:tcW w:w="640" w:type="dxa"/>
            <w:vAlign w:val="bottom"/>
          </w:tcPr>
          <w:p>
            <w:pPr>
              <w:spacing w:after="0"/>
              <w:rPr>
                <w:sz w:val="13"/>
                <w:szCs w:val="13"/>
                <w:color w:val="auto"/>
              </w:rPr>
            </w:pPr>
          </w:p>
        </w:tc>
        <w:tc>
          <w:tcPr>
            <w:tcW w:w="134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46"/>
        </w:trPr>
        <w:tc>
          <w:tcPr>
            <w:tcW w:w="37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00" w:type="dxa"/>
            <w:vAlign w:val="bottom"/>
          </w:tcPr>
          <w:p>
            <w:pPr>
              <w:ind w:left="140"/>
              <w:spacing w:after="0"/>
              <w:rPr>
                <w:sz w:val="20"/>
                <w:szCs w:val="20"/>
                <w:color w:val="auto"/>
              </w:rPr>
            </w:pPr>
            <w:r>
              <w:rPr>
                <w:rFonts w:ascii="Arial" w:cs="Arial" w:eastAsia="Arial" w:hAnsi="Arial"/>
                <w:sz w:val="14"/>
                <w:szCs w:val="14"/>
                <w:color w:val="auto"/>
              </w:rPr>
              <w:t>Inc.</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3,291</w:t>
            </w:r>
          </w:p>
        </w:tc>
        <w:tc>
          <w:tcPr>
            <w:tcW w:w="118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1,963</w:t>
            </w:r>
          </w:p>
        </w:tc>
        <w:tc>
          <w:tcPr>
            <w:tcW w:w="106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20,259</w:t>
            </w:r>
          </w:p>
        </w:tc>
        <w:tc>
          <w:tcPr>
            <w:tcW w:w="1140" w:type="dxa"/>
            <w:vAlign w:val="bottom"/>
            <w:gridSpan w:val="2"/>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(10,426)</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20"/>
                <w:szCs w:val="20"/>
                <w:color w:val="auto"/>
              </w:rPr>
            </w:pPr>
            <w:r>
              <w:rPr>
                <w:rFonts w:ascii="Arial" w:cs="Arial" w:eastAsia="Arial" w:hAnsi="Arial"/>
                <w:sz w:val="14"/>
                <w:szCs w:val="14"/>
                <w:color w:val="auto"/>
              </w:rPr>
              <w:t>Benefit from income taxes</w:t>
            </w:r>
          </w:p>
        </w:tc>
        <w:tc>
          <w:tcPr>
            <w:tcW w:w="420" w:type="dxa"/>
            <w:vAlign w:val="bottom"/>
          </w:tcPr>
          <w:p>
            <w:pPr>
              <w:spacing w:after="0"/>
              <w:rPr>
                <w:sz w:val="13"/>
                <w:szCs w:val="13"/>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(2,874)</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(687)</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(6,961)</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(6,435)</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20"/>
                <w:szCs w:val="20"/>
                <w:color w:val="auto"/>
              </w:rPr>
            </w:pPr>
            <w:r>
              <w:rPr>
                <w:rFonts w:ascii="Arial" w:cs="Arial" w:eastAsia="Arial" w:hAnsi="Arial"/>
                <w:sz w:val="14"/>
                <w:szCs w:val="14"/>
                <w:color w:val="auto"/>
              </w:rPr>
              <w:t>Interest expense, net</w:t>
            </w:r>
          </w:p>
        </w:tc>
        <w:tc>
          <w:tcPr>
            <w:tcW w:w="420" w:type="dxa"/>
            <w:vAlign w:val="bottom"/>
          </w:tcPr>
          <w:p>
            <w:pPr>
              <w:spacing w:after="0"/>
              <w:rPr>
                <w:sz w:val="13"/>
                <w:szCs w:val="13"/>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6,022</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9,662</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12,251</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18,954</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420" w:type="dxa"/>
            <w:vAlign w:val="bottom"/>
          </w:tcPr>
          <w:p>
            <w:pPr>
              <w:spacing w:after="0"/>
              <w:rPr>
                <w:sz w:val="13"/>
                <w:szCs w:val="13"/>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127,108</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97,012</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241,860</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189,614</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420" w:type="dxa"/>
            <w:vAlign w:val="bottom"/>
          </w:tcPr>
          <w:p>
            <w:pPr>
              <w:spacing w:after="0"/>
              <w:rPr>
                <w:sz w:val="13"/>
                <w:szCs w:val="13"/>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21,023</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22,386</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43,241</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43,328</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20"/>
                <w:szCs w:val="20"/>
                <w:color w:val="auto"/>
              </w:rPr>
            </w:pPr>
            <w:r>
              <w:rPr>
                <w:rFonts w:ascii="Arial" w:cs="Arial" w:eastAsia="Arial" w:hAnsi="Arial"/>
                <w:sz w:val="14"/>
                <w:szCs w:val="14"/>
                <w:color w:val="auto"/>
              </w:rPr>
              <w:t>Acquisition related expenses</w:t>
            </w:r>
          </w:p>
        </w:tc>
        <w:tc>
          <w:tcPr>
            <w:tcW w:w="420" w:type="dxa"/>
            <w:vAlign w:val="bottom"/>
          </w:tcPr>
          <w:p>
            <w:pPr>
              <w:spacing w:after="0"/>
              <w:rPr>
                <w:sz w:val="13"/>
                <w:szCs w:val="13"/>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488</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7,490</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00" w:type="dxa"/>
            <w:vAlign w:val="bottom"/>
          </w:tcPr>
          <w:p>
            <w:pPr>
              <w:spacing w:after="0" w:line="156" w:lineRule="exact"/>
              <w:rPr>
                <w:sz w:val="20"/>
                <w:szCs w:val="20"/>
                <w:color w:val="auto"/>
              </w:rPr>
            </w:pPr>
            <w:r>
              <w:rPr>
                <w:rFonts w:ascii="Arial" w:cs="Arial" w:eastAsia="Arial" w:hAnsi="Arial"/>
                <w:sz w:val="14"/>
                <w:szCs w:val="14"/>
                <w:color w:val="auto"/>
              </w:rPr>
              <w:t>Other income, net</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9"/>
              <w:spacing w:after="0" w:line="156" w:lineRule="exact"/>
              <w:rPr>
                <w:sz w:val="20"/>
                <w:szCs w:val="20"/>
                <w:color w:val="auto"/>
              </w:rPr>
            </w:pPr>
            <w:r>
              <w:rPr>
                <w:rFonts w:ascii="Arial" w:cs="Arial" w:eastAsia="Arial" w:hAnsi="Arial"/>
                <w:sz w:val="14"/>
                <w:szCs w:val="14"/>
                <w:color w:val="auto"/>
              </w:rPr>
              <w:t>(4,118)</w:t>
            </w:r>
          </w:p>
        </w:tc>
        <w:tc>
          <w:tcPr>
            <w:tcW w:w="6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9"/>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20"/>
                <w:szCs w:val="20"/>
                <w:color w:val="auto"/>
              </w:rPr>
            </w:pPr>
            <w:r>
              <w:rPr>
                <w:rFonts w:ascii="Arial" w:cs="Arial" w:eastAsia="Arial" w:hAnsi="Arial"/>
                <w:sz w:val="14"/>
                <w:szCs w:val="14"/>
                <w:color w:val="auto"/>
              </w:rPr>
              <w:t>Adjusted EBITDA</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155,058</w:t>
            </w:r>
          </w:p>
        </w:tc>
        <w:tc>
          <w:tcPr>
            <w:tcW w:w="118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130,336</w:t>
            </w:r>
          </w:p>
        </w:tc>
        <w:tc>
          <w:tcPr>
            <w:tcW w:w="1060" w:type="dxa"/>
            <w:vAlign w:val="bottom"/>
            <w:gridSpan w:val="2"/>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314,022</w:t>
            </w:r>
          </w:p>
        </w:tc>
        <w:tc>
          <w:tcPr>
            <w:tcW w:w="1140" w:type="dxa"/>
            <w:vAlign w:val="bottom"/>
            <w:gridSpan w:val="2"/>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235,035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02475" cy="170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2475" cy="170180"/>
                    </a:xfrm>
                    <a:prstGeom prst="rect">
                      <a:avLst/>
                    </a:prstGeom>
                    <a:noFill/>
                  </pic:spPr>
                </pic:pic>
              </a:graphicData>
            </a:graphic>
          </wp:anchor>
        </w:drawing>
      </w:r>
    </w:p>
    <w:p>
      <w:pPr>
        <w:sectPr>
          <w:pgSz w:w="11900" w:h="16838" w:orient="portrait"/>
          <w:cols w:equalWidth="0" w:num="1">
            <w:col w:w="10945"/>
          </w:cols>
          <w:pgMar w:left="475" w:top="285" w:right="47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8145"/>
        <w:spacing w:after="0"/>
        <w:tabs>
          <w:tab w:leader="none" w:pos="10785" w:val="left"/>
        </w:tabs>
        <w:rPr>
          <w:sz w:val="20"/>
          <w:szCs w:val="20"/>
          <w:color w:val="auto"/>
        </w:rPr>
      </w:pPr>
      <w:r>
        <w:rPr>
          <w:rFonts w:ascii="Arial" w:cs="Arial" w:eastAsia="Arial" w:hAnsi="Arial"/>
          <w:sz w:val="13"/>
          <w:szCs w:val="13"/>
          <w:color w:val="auto"/>
        </w:rPr>
        <w:t>Shareholder Letter | Q2 Fiscal Year 2022</w:t>
      </w:r>
      <w:r>
        <w:rPr>
          <w:sz w:val="20"/>
          <w:szCs w:val="20"/>
          <w:color w:val="auto"/>
        </w:rPr>
        <w:tab/>
      </w:r>
      <w:r>
        <w:rPr>
          <w:rFonts w:ascii="Arial" w:cs="Arial" w:eastAsia="Arial" w:hAnsi="Arial"/>
          <w:sz w:val="11"/>
          <w:szCs w:val="11"/>
          <w:color w:val="auto"/>
        </w:rPr>
        <w:t>11</w:t>
      </w:r>
    </w:p>
    <w:p>
      <w:pPr>
        <w:sectPr>
          <w:pgSz w:w="11900" w:h="16838" w:orient="portrait"/>
          <w:cols w:equalWidth="0" w:num="1">
            <w:col w:w="10945"/>
          </w:cols>
          <w:pgMar w:left="475" w:top="285" w:right="479" w:bottom="1440" w:gutter="0" w:footer="0" w:header="0"/>
          <w:type w:val="continuous"/>
        </w:sectPr>
      </w:pPr>
    </w:p>
    <w:bookmarkStart w:id="17" w:name="page18"/>
    <w:bookmarkEnd w:id="17"/>
    <w:p>
      <w:pPr>
        <w:ind w:left="5"/>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Viasat Second Quarter Fiscal Year 2022 Results (cont.)</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AN ITEMIZED RECONCILIATION BETWEEN NET INCOME (LOSS) ATTRIBUTABLE TO VIASAT, INC.</w:t>
      </w:r>
    </w:p>
    <w:p>
      <w:pPr>
        <w:spacing w:after="0" w:line="18"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CORPORATE AND AMORTIZATION OF ACQUIRED INTANGIBLE ASSETS AND ADJUSTED EBITDA IS AS FOLLOWS:</w:t>
      </w:r>
    </w:p>
    <w:p>
      <w:pPr>
        <w:ind w:left="5"/>
        <w:spacing w:after="0"/>
        <w:rPr>
          <w:sz w:val="20"/>
          <w:szCs w:val="20"/>
          <w:color w:val="auto"/>
        </w:rPr>
      </w:pPr>
      <w:r>
        <w:rPr>
          <w:rFonts w:ascii="Arial" w:cs="Arial" w:eastAsia="Arial" w:hAnsi="Arial"/>
          <w:sz w:val="14"/>
          <w:szCs w:val="14"/>
          <w:b w:val="1"/>
          <w:bCs w:val="1"/>
          <w:color w:val="auto"/>
        </w:rPr>
        <w:t>(In thousands)</w:t>
      </w:r>
    </w:p>
    <w:p>
      <w:pPr>
        <w:spacing w:after="0" w:line="223"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4"/>
                <w:szCs w:val="14"/>
                <w:b w:val="1"/>
                <w:bCs w:val="1"/>
                <w:color w:val="auto"/>
              </w:rPr>
              <w:t>Three months ended September 30, 2021</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Three months ended September 30, 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rPr>
              <w:t>Satellite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w w:val="99"/>
              </w:rPr>
              <w:t>Commercial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320"/>
              <w:spacing w:after="0" w:line="141" w:lineRule="exact"/>
              <w:rPr>
                <w:sz w:val="20"/>
                <w:szCs w:val="20"/>
                <w:color w:val="auto"/>
              </w:rPr>
            </w:pPr>
            <w:r>
              <w:rPr>
                <w:rFonts w:ascii="Arial" w:cs="Arial" w:eastAsia="Arial" w:hAnsi="Arial"/>
                <w:sz w:val="14"/>
                <w:szCs w:val="14"/>
                <w:b w:val="1"/>
                <w:bCs w:val="1"/>
                <w:color w:val="auto"/>
                <w:w w:val="99"/>
              </w:rPr>
              <w:t>Government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rPr>
              <w:t>Satellite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20"/>
              <w:spacing w:after="0" w:line="141" w:lineRule="exact"/>
              <w:rPr>
                <w:sz w:val="20"/>
                <w:szCs w:val="20"/>
                <w:color w:val="auto"/>
              </w:rPr>
            </w:pPr>
            <w:r>
              <w:rPr>
                <w:rFonts w:ascii="Arial" w:cs="Arial" w:eastAsia="Arial" w:hAnsi="Arial"/>
                <w:sz w:val="14"/>
                <w:szCs w:val="14"/>
                <w:b w:val="1"/>
                <w:bCs w:val="1"/>
                <w:color w:val="auto"/>
                <w:w w:val="99"/>
              </w:rPr>
              <w:t>Commercial</w:t>
            </w:r>
          </w:p>
        </w:tc>
        <w:tc>
          <w:tcPr>
            <w:tcW w:w="80" w:type="dxa"/>
            <w:vAlign w:val="bottom"/>
          </w:tcPr>
          <w:p>
            <w:pPr>
              <w:spacing w:after="0"/>
              <w:rPr>
                <w:sz w:val="12"/>
                <w:szCs w:val="12"/>
                <w:color w:val="auto"/>
              </w:rPr>
            </w:pPr>
          </w:p>
        </w:tc>
        <w:tc>
          <w:tcPr>
            <w:tcW w:w="1160" w:type="dxa"/>
            <w:vAlign w:val="bottom"/>
            <w:gridSpan w:val="2"/>
          </w:tcPr>
          <w:p>
            <w:pPr>
              <w:jc w:val="right"/>
              <w:ind w:right="320"/>
              <w:spacing w:after="0" w:line="141" w:lineRule="exact"/>
              <w:rPr>
                <w:sz w:val="20"/>
                <w:szCs w:val="20"/>
                <w:color w:val="auto"/>
              </w:rPr>
            </w:pPr>
            <w:r>
              <w:rPr>
                <w:rFonts w:ascii="Arial" w:cs="Arial" w:eastAsia="Arial" w:hAnsi="Arial"/>
                <w:sz w:val="14"/>
                <w:szCs w:val="14"/>
                <w:b w:val="1"/>
                <w:bCs w:val="1"/>
                <w:color w:val="auto"/>
                <w:w w:val="99"/>
              </w:rPr>
              <w:t>Government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60" w:type="dxa"/>
            <w:vAlign w:val="bottom"/>
            <w:vMerge w:val="restart"/>
          </w:tcPr>
          <w:p>
            <w:pPr>
              <w:spacing w:after="0"/>
              <w:rPr>
                <w:sz w:val="20"/>
                <w:szCs w:val="20"/>
                <w:color w:val="auto"/>
              </w:rPr>
            </w:pPr>
            <w:r>
              <w:rPr>
                <w:rFonts w:ascii="Arial" w:cs="Arial" w:eastAsia="Arial" w:hAnsi="Arial"/>
                <w:sz w:val="14"/>
                <w:szCs w:val="14"/>
                <w:color w:val="auto"/>
              </w:rPr>
              <w:t>Segment operating profit (loss)</w:t>
            </w: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Networks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Systems</w:t>
            </w:r>
          </w:p>
        </w:tc>
        <w:tc>
          <w:tcPr>
            <w:tcW w:w="8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Networks</w:t>
            </w:r>
          </w:p>
        </w:tc>
        <w:tc>
          <w:tcPr>
            <w:tcW w:w="8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Systems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46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60" w:type="dxa"/>
            <w:vAlign w:val="bottom"/>
          </w:tcPr>
          <w:p>
            <w:pPr>
              <w:ind w:left="140"/>
              <w:spacing w:after="0"/>
              <w:rPr>
                <w:sz w:val="20"/>
                <w:szCs w:val="20"/>
                <w:color w:val="auto"/>
              </w:rPr>
            </w:pPr>
            <w:r>
              <w:rPr>
                <w:rFonts w:ascii="Arial" w:cs="Arial" w:eastAsia="Arial" w:hAnsi="Arial"/>
                <w:sz w:val="14"/>
                <w:szCs w:val="14"/>
                <w:color w:val="auto"/>
              </w:rPr>
              <w:t>before corporate and amortization</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140"/>
              <w:spacing w:after="0" w:line="153" w:lineRule="exact"/>
              <w:rPr>
                <w:sz w:val="20"/>
                <w:szCs w:val="20"/>
                <w:color w:val="auto"/>
              </w:rPr>
            </w:pPr>
            <w:r>
              <w:rPr>
                <w:rFonts w:ascii="Arial" w:cs="Arial" w:eastAsia="Arial" w:hAnsi="Arial"/>
                <w:sz w:val="14"/>
                <w:szCs w:val="14"/>
                <w:color w:val="auto"/>
              </w:rPr>
              <w:t>of acquired intangible assets</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17,046</w:t>
            </w:r>
          </w:p>
        </w:tc>
        <w:tc>
          <w:tcPr>
            <w:tcW w:w="1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rPr>
              <w:t>(45,321)</w:t>
            </w:r>
          </w:p>
        </w:tc>
        <w:tc>
          <w:tcPr>
            <w:tcW w:w="1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43,972</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15,697</w:t>
            </w:r>
          </w:p>
        </w:tc>
        <w:tc>
          <w:tcPr>
            <w:tcW w:w="1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11,483</w:t>
            </w:r>
          </w:p>
        </w:tc>
        <w:tc>
          <w:tcPr>
            <w:tcW w:w="1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(45,363)</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47,863</w:t>
            </w:r>
          </w:p>
        </w:tc>
        <w:tc>
          <w:tcPr>
            <w:tcW w:w="1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13,983</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Arial" w:cs="Arial" w:eastAsia="Arial" w:hAnsi="Arial"/>
                <w:sz w:val="12"/>
                <w:szCs w:val="12"/>
                <w:color w:val="auto"/>
              </w:rPr>
              <w:t xml:space="preserve">Depreciation </w:t>
            </w:r>
            <w:r>
              <w:rPr>
                <w:rFonts w:ascii="Arial" w:cs="Arial" w:eastAsia="Arial" w:hAnsi="Arial"/>
                <w:sz w:val="19"/>
                <w:szCs w:val="19"/>
                <w:color w:val="auto"/>
                <w:vertAlign w:val="superscript"/>
              </w:rPr>
              <w:t>(3)</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77,477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11,400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15,944</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104,821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58,701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8,148</w:t>
            </w: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13,330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80,179</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60" w:type="dxa"/>
            <w:vAlign w:val="bottom"/>
          </w:tcPr>
          <w:p>
            <w:pPr>
              <w:ind w:left="140"/>
              <w:spacing w:after="0"/>
              <w:rPr>
                <w:sz w:val="20"/>
                <w:szCs w:val="20"/>
                <w:color w:val="auto"/>
              </w:rPr>
            </w:pPr>
            <w:r>
              <w:rPr>
                <w:rFonts w:ascii="Arial" w:cs="Arial" w:eastAsia="Arial" w:hAnsi="Arial"/>
                <w:sz w:val="14"/>
                <w:szCs w:val="14"/>
                <w:color w:val="auto"/>
              </w:rPr>
              <w:t>expense</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7,279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6,866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6,878</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21,023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6,519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8,030</w:t>
            </w:r>
          </w:p>
        </w:tc>
        <w:tc>
          <w:tcPr>
            <w:tcW w:w="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7,837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22,386</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Other amortization</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2,538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4,140</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14,888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8,205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2,590</w:t>
            </w:r>
          </w:p>
        </w:tc>
        <w:tc>
          <w:tcPr>
            <w:tcW w:w="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4,738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15,533</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Acquisition related expenses</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Equity in loss of unconsolidated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60" w:type="dxa"/>
            <w:vAlign w:val="bottom"/>
          </w:tcPr>
          <w:p>
            <w:pPr>
              <w:ind w:left="140"/>
              <w:spacing w:after="0"/>
              <w:rPr>
                <w:sz w:val="20"/>
                <w:szCs w:val="20"/>
                <w:color w:val="auto"/>
              </w:rPr>
            </w:pPr>
            <w:r>
              <w:rPr>
                <w:rFonts w:ascii="Arial" w:cs="Arial" w:eastAsia="Arial" w:hAnsi="Arial"/>
                <w:sz w:val="14"/>
                <w:szCs w:val="14"/>
                <w:color w:val="auto"/>
              </w:rPr>
              <w:t>affiliate, net</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56"/>
        </w:trPr>
        <w:tc>
          <w:tcPr>
            <w:tcW w:w="2460" w:type="dxa"/>
            <w:vAlign w:val="bottom"/>
          </w:tcPr>
          <w:p>
            <w:pPr>
              <w:spacing w:after="0" w:line="156" w:lineRule="exact"/>
              <w:rPr>
                <w:sz w:val="20"/>
                <w:szCs w:val="20"/>
                <w:color w:val="auto"/>
              </w:rPr>
            </w:pPr>
            <w:r>
              <w:rPr>
                <w:rFonts w:ascii="Arial" w:cs="Arial" w:eastAsia="Arial" w:hAnsi="Arial"/>
                <w:sz w:val="14"/>
                <w:szCs w:val="14"/>
                <w:color w:val="auto"/>
              </w:rPr>
              <w:t>Noncontrolling interest</w:t>
            </w:r>
          </w:p>
        </w:tc>
        <w:tc>
          <w:tcPr>
            <w:tcW w:w="80" w:type="dxa"/>
            <w:vAlign w:val="bottom"/>
          </w:tcPr>
          <w:p>
            <w:pPr>
              <w:spacing w:after="0"/>
              <w:rPr>
                <w:sz w:val="13"/>
                <w:szCs w:val="13"/>
                <w:color w:val="auto"/>
              </w:rPr>
            </w:pP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(1,799)</w:t>
            </w:r>
          </w:p>
        </w:tc>
        <w:tc>
          <w:tcPr>
            <w:tcW w:w="8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(1,859)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(1,428)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460" w:type="dxa"/>
            <w:vAlign w:val="bottom"/>
          </w:tcPr>
          <w:p>
            <w:pPr>
              <w:spacing w:after="0"/>
              <w:rPr>
                <w:sz w:val="20"/>
                <w:szCs w:val="20"/>
                <w:color w:val="auto"/>
              </w:rPr>
            </w:pPr>
            <w:r>
              <w:rPr>
                <w:rFonts w:ascii="Arial" w:cs="Arial" w:eastAsia="Arial" w:hAnsi="Arial"/>
                <w:sz w:val="14"/>
                <w:szCs w:val="14"/>
                <w:color w:val="auto"/>
              </w:rPr>
              <w:t>Adjusted EBITDA</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110,440</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(24,517)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69,135</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155,058</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84,591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(26,595)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72,340</w:t>
            </w:r>
          </w:p>
        </w:tc>
        <w:tc>
          <w:tcPr>
            <w:tcW w:w="1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130,336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4"/>
                <w:szCs w:val="14"/>
                <w:b w:val="1"/>
                <w:bCs w:val="1"/>
                <w:color w:val="auto"/>
              </w:rPr>
              <w:t>Six months ended September 30, 2021</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rPr>
              <w:t>Six months ended September 30, 2020</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rPr>
              <w:t>Satellite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w w:val="99"/>
              </w:rPr>
              <w:t>Commercial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320"/>
              <w:spacing w:after="0" w:line="141" w:lineRule="exact"/>
              <w:rPr>
                <w:sz w:val="20"/>
                <w:szCs w:val="20"/>
                <w:color w:val="auto"/>
              </w:rPr>
            </w:pPr>
            <w:r>
              <w:rPr>
                <w:rFonts w:ascii="Arial" w:cs="Arial" w:eastAsia="Arial" w:hAnsi="Arial"/>
                <w:sz w:val="14"/>
                <w:szCs w:val="14"/>
                <w:b w:val="1"/>
                <w:bCs w:val="1"/>
                <w:color w:val="auto"/>
                <w:w w:val="99"/>
              </w:rPr>
              <w:t>Government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Satellite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20"/>
              <w:spacing w:after="0" w:line="141" w:lineRule="exact"/>
              <w:rPr>
                <w:sz w:val="20"/>
                <w:szCs w:val="20"/>
                <w:color w:val="auto"/>
              </w:rPr>
            </w:pPr>
            <w:r>
              <w:rPr>
                <w:rFonts w:ascii="Arial" w:cs="Arial" w:eastAsia="Arial" w:hAnsi="Arial"/>
                <w:sz w:val="14"/>
                <w:szCs w:val="14"/>
                <w:b w:val="1"/>
                <w:bCs w:val="1"/>
                <w:color w:val="auto"/>
                <w:w w:val="99"/>
              </w:rPr>
              <w:t>Commercial</w:t>
            </w:r>
          </w:p>
        </w:tc>
        <w:tc>
          <w:tcPr>
            <w:tcW w:w="80" w:type="dxa"/>
            <w:vAlign w:val="bottom"/>
          </w:tcPr>
          <w:p>
            <w:pPr>
              <w:spacing w:after="0"/>
              <w:rPr>
                <w:sz w:val="12"/>
                <w:szCs w:val="12"/>
                <w:color w:val="auto"/>
              </w:rPr>
            </w:pPr>
          </w:p>
        </w:tc>
        <w:tc>
          <w:tcPr>
            <w:tcW w:w="1120" w:type="dxa"/>
            <w:vAlign w:val="bottom"/>
            <w:gridSpan w:val="2"/>
          </w:tcPr>
          <w:p>
            <w:pPr>
              <w:jc w:val="right"/>
              <w:ind w:right="280"/>
              <w:spacing w:after="0" w:line="141" w:lineRule="exact"/>
              <w:rPr>
                <w:sz w:val="20"/>
                <w:szCs w:val="20"/>
                <w:color w:val="auto"/>
              </w:rPr>
            </w:pPr>
            <w:r>
              <w:rPr>
                <w:rFonts w:ascii="Arial" w:cs="Arial" w:eastAsia="Arial" w:hAnsi="Arial"/>
                <w:sz w:val="14"/>
                <w:szCs w:val="14"/>
                <w:b w:val="1"/>
                <w:bCs w:val="1"/>
                <w:color w:val="auto"/>
                <w:w w:val="99"/>
              </w:rPr>
              <w:t>Government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60" w:type="dxa"/>
            <w:vAlign w:val="bottom"/>
            <w:vMerge w:val="restart"/>
          </w:tcPr>
          <w:p>
            <w:pPr>
              <w:spacing w:after="0"/>
              <w:rPr>
                <w:sz w:val="20"/>
                <w:szCs w:val="20"/>
                <w:color w:val="auto"/>
              </w:rPr>
            </w:pPr>
            <w:r>
              <w:rPr>
                <w:rFonts w:ascii="Arial" w:cs="Arial" w:eastAsia="Arial" w:hAnsi="Arial"/>
                <w:sz w:val="14"/>
                <w:szCs w:val="14"/>
                <w:color w:val="auto"/>
              </w:rPr>
              <w:t>Segment operating profit (loss)</w:t>
            </w: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Networks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Systems</w:t>
            </w:r>
          </w:p>
        </w:tc>
        <w:tc>
          <w:tcPr>
            <w:tcW w:w="8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Networks</w:t>
            </w:r>
          </w:p>
        </w:tc>
        <w:tc>
          <w:tcPr>
            <w:tcW w:w="8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Systems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46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60" w:type="dxa"/>
            <w:vAlign w:val="bottom"/>
          </w:tcPr>
          <w:p>
            <w:pPr>
              <w:ind w:left="140"/>
              <w:spacing w:after="0"/>
              <w:rPr>
                <w:sz w:val="20"/>
                <w:szCs w:val="20"/>
                <w:color w:val="auto"/>
              </w:rPr>
            </w:pPr>
            <w:r>
              <w:rPr>
                <w:rFonts w:ascii="Arial" w:cs="Arial" w:eastAsia="Arial" w:hAnsi="Arial"/>
                <w:sz w:val="14"/>
                <w:szCs w:val="14"/>
                <w:color w:val="auto"/>
              </w:rPr>
              <w:t>before corporate and amortization</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140"/>
              <w:spacing w:after="0" w:line="153" w:lineRule="exact"/>
              <w:rPr>
                <w:sz w:val="20"/>
                <w:szCs w:val="20"/>
                <w:color w:val="auto"/>
              </w:rPr>
            </w:pPr>
            <w:r>
              <w:rPr>
                <w:rFonts w:ascii="Arial" w:cs="Arial" w:eastAsia="Arial" w:hAnsi="Arial"/>
                <w:sz w:val="14"/>
                <w:szCs w:val="14"/>
                <w:color w:val="auto"/>
              </w:rPr>
              <w:t>of acquired intangible assets</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29,559</w:t>
            </w:r>
          </w:p>
        </w:tc>
        <w:tc>
          <w:tcPr>
            <w:tcW w:w="1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rPr>
              <w:t>(83,029)</w:t>
            </w:r>
          </w:p>
        </w:tc>
        <w:tc>
          <w:tcPr>
            <w:tcW w:w="1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91,388</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37,918</w:t>
            </w:r>
          </w:p>
        </w:tc>
        <w:tc>
          <w:tcPr>
            <w:tcW w:w="1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9,626</w:t>
            </w:r>
          </w:p>
        </w:tc>
        <w:tc>
          <w:tcPr>
            <w:tcW w:w="2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(96,757)</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97,358</w:t>
            </w: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10,227</w:t>
            </w:r>
          </w:p>
        </w:tc>
        <w:tc>
          <w:tcPr>
            <w:tcW w:w="0" w:type="dxa"/>
            <w:vAlign w:val="bottom"/>
          </w:tcPr>
          <w:p>
            <w:pPr>
              <w:spacing w:after="0"/>
              <w:rPr>
                <w:sz w:val="1"/>
                <w:szCs w:val="1"/>
                <w:color w:val="auto"/>
              </w:rPr>
            </w:pPr>
          </w:p>
        </w:tc>
      </w:tr>
      <w:tr>
        <w:trPr>
          <w:trHeight w:val="168"/>
        </w:trPr>
        <w:tc>
          <w:tcPr>
            <w:tcW w:w="2460" w:type="dxa"/>
            <w:vAlign w:val="bottom"/>
          </w:tcPr>
          <w:p>
            <w:pPr>
              <w:spacing w:after="0" w:line="168" w:lineRule="exact"/>
              <w:rPr>
                <w:sz w:val="20"/>
                <w:szCs w:val="20"/>
                <w:color w:val="auto"/>
              </w:rPr>
            </w:pPr>
            <w:r>
              <w:rPr>
                <w:rFonts w:ascii="Arial" w:cs="Arial" w:eastAsia="Arial" w:hAnsi="Arial"/>
                <w:sz w:val="12"/>
                <w:szCs w:val="12"/>
                <w:color w:val="auto"/>
              </w:rPr>
              <w:t xml:space="preserve">Depreciation </w:t>
            </w:r>
            <w:r>
              <w:rPr>
                <w:rFonts w:ascii="Arial" w:cs="Arial" w:eastAsia="Arial" w:hAnsi="Arial"/>
                <w:sz w:val="19"/>
                <w:szCs w:val="19"/>
                <w:color w:val="auto"/>
                <w:vertAlign w:val="superscript"/>
              </w:rPr>
              <w:t>(3)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147,724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20,942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30,304</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198,970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117,217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15,550</w:t>
            </w:r>
          </w:p>
        </w:tc>
        <w:tc>
          <w:tcPr>
            <w:tcW w:w="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25,172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157,939</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60" w:type="dxa"/>
            <w:vAlign w:val="bottom"/>
          </w:tcPr>
          <w:p>
            <w:pPr>
              <w:ind w:left="140"/>
              <w:spacing w:after="0"/>
              <w:rPr>
                <w:sz w:val="20"/>
                <w:szCs w:val="20"/>
                <w:color w:val="auto"/>
              </w:rPr>
            </w:pPr>
            <w:r>
              <w:rPr>
                <w:rFonts w:ascii="Arial" w:cs="Arial" w:eastAsia="Arial" w:hAnsi="Arial"/>
                <w:sz w:val="14"/>
                <w:szCs w:val="14"/>
                <w:color w:val="auto"/>
              </w:rPr>
              <w:t>expense</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15,620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13,809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13,812</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43,241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12,730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15,604</w:t>
            </w:r>
          </w:p>
        </w:tc>
        <w:tc>
          <w:tcPr>
            <w:tcW w:w="8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14,994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43,328</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Other amortization</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16,449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5,048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8,065</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29,562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16,365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4,859</w:t>
            </w:r>
          </w:p>
        </w:tc>
        <w:tc>
          <w:tcPr>
            <w:tcW w:w="8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7,593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28,817</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Acquisition related expenses</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7,490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7,490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Equity in (loss) income of</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60" w:type="dxa"/>
            <w:vAlign w:val="bottom"/>
          </w:tcPr>
          <w:p>
            <w:pPr>
              <w:ind w:left="140"/>
              <w:spacing w:after="0"/>
              <w:rPr>
                <w:sz w:val="20"/>
                <w:szCs w:val="20"/>
                <w:color w:val="auto"/>
              </w:rPr>
            </w:pPr>
            <w:r>
              <w:rPr>
                <w:rFonts w:ascii="Arial" w:cs="Arial" w:eastAsia="Arial" w:hAnsi="Arial"/>
                <w:sz w:val="14"/>
                <w:szCs w:val="14"/>
                <w:color w:val="auto"/>
              </w:rPr>
              <w:t>unconsolidated affiliate, net</w:t>
            </w: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2460" w:type="dxa"/>
            <w:vAlign w:val="bottom"/>
          </w:tcPr>
          <w:p>
            <w:pPr>
              <w:spacing w:after="0" w:line="156" w:lineRule="exact"/>
              <w:rPr>
                <w:sz w:val="20"/>
                <w:szCs w:val="20"/>
                <w:color w:val="auto"/>
              </w:rPr>
            </w:pPr>
            <w:r>
              <w:rPr>
                <w:rFonts w:ascii="Arial" w:cs="Arial" w:eastAsia="Arial" w:hAnsi="Arial"/>
                <w:sz w:val="14"/>
                <w:szCs w:val="14"/>
                <w:color w:val="auto"/>
              </w:rPr>
              <w:t>Noncontrolling interest</w:t>
            </w:r>
          </w:p>
        </w:tc>
        <w:tc>
          <w:tcPr>
            <w:tcW w:w="80" w:type="dxa"/>
            <w:vAlign w:val="bottom"/>
          </w:tcPr>
          <w:p>
            <w:pPr>
              <w:spacing w:after="0"/>
              <w:rPr>
                <w:sz w:val="13"/>
                <w:szCs w:val="13"/>
                <w:color w:val="auto"/>
              </w:rPr>
            </w:pP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(2,803)</w:t>
            </w:r>
          </w:p>
        </w:tc>
        <w:tc>
          <w:tcPr>
            <w:tcW w:w="8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(2,903)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(5,290)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(5,290)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460" w:type="dxa"/>
            <w:vAlign w:val="bottom"/>
          </w:tcPr>
          <w:p>
            <w:pPr>
              <w:spacing w:after="0"/>
              <w:rPr>
                <w:sz w:val="20"/>
                <w:szCs w:val="20"/>
                <w:color w:val="auto"/>
              </w:rPr>
            </w:pPr>
            <w:r>
              <w:rPr>
                <w:rFonts w:ascii="Arial" w:cs="Arial" w:eastAsia="Arial" w:hAnsi="Arial"/>
                <w:sz w:val="14"/>
                <w:szCs w:val="14"/>
                <w:color w:val="auto"/>
              </w:rPr>
              <w:t>Adjusted EBITDA</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216,486</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(43,230)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140,766</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314,022</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155,952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(60,744)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139,827</w:t>
            </w:r>
          </w:p>
        </w:tc>
        <w:tc>
          <w:tcPr>
            <w:tcW w:w="1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235,035</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25" w:right="180" w:hanging="325"/>
        <w:spacing w:after="0" w:line="182" w:lineRule="auto"/>
        <w:tabs>
          <w:tab w:leader="none" w:pos="325"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Depreciation expenses not specifically recorded in a particular segment have been allocated based on other indirect allocable costs, which management believes is a reasonable method.</w:t>
      </w:r>
    </w:p>
    <w:p>
      <w:pPr>
        <w:spacing w:after="0" w:line="187"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8"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(Unaudited)</w:t>
      </w:r>
    </w:p>
    <w:p>
      <w:pPr>
        <w:jc w:val="center"/>
        <w:ind w:right="-4"/>
        <w:spacing w:after="0"/>
        <w:rPr>
          <w:sz w:val="20"/>
          <w:szCs w:val="20"/>
          <w:color w:val="auto"/>
        </w:rPr>
      </w:pPr>
      <w:r>
        <w:rPr>
          <w:rFonts w:ascii="Arial" w:cs="Arial" w:eastAsia="Arial" w:hAnsi="Arial"/>
          <w:sz w:val="14"/>
          <w:szCs w:val="14"/>
          <w:b w:val="1"/>
          <w:bCs w:val="1"/>
          <w:color w:val="auto"/>
        </w:rPr>
        <w:t>(In thousands)</w:t>
      </w:r>
    </w:p>
    <w:p>
      <w:pPr>
        <w:spacing w:after="0" w:line="223"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ind w:left="20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4"/>
        </w:trPr>
        <w:tc>
          <w:tcPr>
            <w:tcW w:w="26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2580" w:type="dxa"/>
            <w:vAlign w:val="bottom"/>
          </w:tcPr>
          <w:p>
            <w:pPr>
              <w:ind w:left="140"/>
              <w:spacing w:after="0"/>
              <w:rPr>
                <w:sz w:val="20"/>
                <w:szCs w:val="20"/>
                <w:color w:val="auto"/>
              </w:rPr>
            </w:pPr>
            <w:r>
              <w:rPr>
                <w:rFonts w:ascii="Arial" w:cs="Arial" w:eastAsia="Arial" w:hAnsi="Arial"/>
                <w:sz w:val="14"/>
                <w:szCs w:val="14"/>
                <w:b w:val="1"/>
                <w:bCs w:val="1"/>
                <w:color w:val="auto"/>
              </w:rPr>
              <w:t>Liabilities and Equity</w:t>
            </w:r>
          </w:p>
        </w:tc>
        <w:tc>
          <w:tcPr>
            <w:tcW w:w="220" w:type="dxa"/>
            <w:vAlign w:val="bottom"/>
          </w:tcPr>
          <w:p>
            <w:pPr>
              <w:spacing w:after="0"/>
              <w:rPr>
                <w:sz w:val="15"/>
                <w:szCs w:val="15"/>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5"/>
                <w:szCs w:val="15"/>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320"/>
        </w:trPr>
        <w:tc>
          <w:tcPr>
            <w:tcW w:w="2680" w:type="dxa"/>
            <w:vAlign w:val="bottom"/>
          </w:tcPr>
          <w:p>
            <w:pPr>
              <w:spacing w:after="0"/>
              <w:rPr>
                <w:sz w:val="20"/>
                <w:szCs w:val="20"/>
                <w:color w:val="auto"/>
              </w:rPr>
            </w:pPr>
            <w:r>
              <w:rPr>
                <w:rFonts w:ascii="Arial" w:cs="Arial" w:eastAsia="Arial" w:hAnsi="Arial"/>
                <w:sz w:val="14"/>
                <w:szCs w:val="14"/>
                <w:color w:val="auto"/>
              </w:rPr>
              <w:t>Current assets:</w:t>
            </w: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6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217,654</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295,949</w:t>
            </w:r>
          </w:p>
        </w:tc>
        <w:tc>
          <w:tcPr>
            <w:tcW w:w="25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193,247</w:t>
            </w:r>
          </w:p>
        </w:tc>
        <w:tc>
          <w:tcPr>
            <w:tcW w:w="120" w:type="dxa"/>
            <w:vAlign w:val="bottom"/>
          </w:tcPr>
          <w:p>
            <w:pPr>
              <w:spacing w:after="0"/>
              <w:rPr>
                <w:sz w:val="13"/>
                <w:szCs w:val="13"/>
                <w:color w:val="auto"/>
              </w:rPr>
            </w:pP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145,134</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3"/>
                <w:szCs w:val="13"/>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369,222</w:t>
            </w:r>
          </w:p>
        </w:tc>
        <w:tc>
          <w:tcPr>
            <w:tcW w:w="20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238,652</w:t>
            </w:r>
          </w:p>
        </w:tc>
        <w:tc>
          <w:tcPr>
            <w:tcW w:w="2580" w:type="dxa"/>
            <w:vAlign w:val="bottom"/>
          </w:tcPr>
          <w:p>
            <w:pPr>
              <w:ind w:left="140"/>
              <w:spacing w:after="0"/>
              <w:rPr>
                <w:sz w:val="20"/>
                <w:szCs w:val="20"/>
                <w:color w:val="auto"/>
              </w:rPr>
            </w:pPr>
            <w:r>
              <w:rPr>
                <w:rFonts w:ascii="Arial" w:cs="Arial" w:eastAsia="Arial" w:hAnsi="Arial"/>
                <w:sz w:val="14"/>
                <w:szCs w:val="14"/>
                <w:color w:val="auto"/>
              </w:rPr>
              <w:t>Accrued and other liabilities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511,093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532,831</w:t>
            </w:r>
          </w:p>
        </w:tc>
        <w:tc>
          <w:tcPr>
            <w:tcW w:w="0" w:type="dxa"/>
            <w:vAlign w:val="bottom"/>
          </w:tcPr>
          <w:p>
            <w:pPr>
              <w:spacing w:after="0"/>
              <w:rPr>
                <w:sz w:val="1"/>
                <w:szCs w:val="1"/>
                <w:color w:val="auto"/>
              </w:rPr>
            </w:pPr>
          </w:p>
        </w:tc>
      </w:tr>
      <w:tr>
        <w:trPr>
          <w:trHeight w:val="156"/>
        </w:trPr>
        <w:tc>
          <w:tcPr>
            <w:tcW w:w="2680" w:type="dxa"/>
            <w:vAlign w:val="bottom"/>
          </w:tcPr>
          <w:p>
            <w:pPr>
              <w:spacing w:after="0" w:line="156" w:lineRule="exact"/>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3"/>
                <w:szCs w:val="13"/>
                <w:color w:val="auto"/>
              </w:rPr>
            </w:pPr>
          </w:p>
        </w:tc>
        <w:tc>
          <w:tcPr>
            <w:tcW w:w="134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348,342</w:t>
            </w:r>
          </w:p>
        </w:tc>
        <w:tc>
          <w:tcPr>
            <w:tcW w:w="200" w:type="dxa"/>
            <w:vAlign w:val="bottom"/>
          </w:tcPr>
          <w:p>
            <w:pPr>
              <w:spacing w:after="0"/>
              <w:rPr>
                <w:sz w:val="13"/>
                <w:szCs w:val="13"/>
                <w:color w:val="auto"/>
              </w:rPr>
            </w:pPr>
          </w:p>
        </w:tc>
        <w:tc>
          <w:tcPr>
            <w:tcW w:w="96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336,672</w:t>
            </w:r>
          </w:p>
        </w:tc>
        <w:tc>
          <w:tcPr>
            <w:tcW w:w="2580" w:type="dxa"/>
            <w:vAlign w:val="bottom"/>
          </w:tcPr>
          <w:p>
            <w:pPr>
              <w:ind w:left="140"/>
              <w:spacing w:after="0" w:line="156" w:lineRule="exact"/>
              <w:rPr>
                <w:sz w:val="20"/>
                <w:szCs w:val="20"/>
                <w:color w:val="auto"/>
              </w:rPr>
            </w:pPr>
            <w:r>
              <w:rPr>
                <w:rFonts w:ascii="Arial" w:cs="Arial" w:eastAsia="Arial" w:hAnsi="Arial"/>
                <w:sz w:val="14"/>
                <w:szCs w:val="14"/>
                <w:color w:val="auto"/>
              </w:rPr>
              <w:t>Current portion of long-term debt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jc w:val="right"/>
              <w:ind w:right="140"/>
              <w:spacing w:after="0" w:line="156" w:lineRule="exact"/>
              <w:rPr>
                <w:sz w:val="20"/>
                <w:szCs w:val="20"/>
                <w:color w:val="auto"/>
              </w:rPr>
            </w:pPr>
            <w:r>
              <w:rPr>
                <w:rFonts w:ascii="Arial" w:cs="Arial" w:eastAsia="Arial" w:hAnsi="Arial"/>
                <w:sz w:val="14"/>
                <w:szCs w:val="14"/>
                <w:color w:val="auto"/>
              </w:rPr>
              <w:t>29,965</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30,472</w:t>
            </w:r>
          </w:p>
        </w:tc>
        <w:tc>
          <w:tcPr>
            <w:tcW w:w="0" w:type="dxa"/>
            <w:vAlign w:val="bottom"/>
          </w:tcPr>
          <w:p>
            <w:pPr>
              <w:spacing w:after="0"/>
              <w:rPr>
                <w:sz w:val="1"/>
                <w:szCs w:val="1"/>
                <w:color w:val="auto"/>
              </w:rPr>
            </w:pPr>
          </w:p>
        </w:tc>
      </w:tr>
      <w:tr>
        <w:trPr>
          <w:trHeight w:val="172"/>
        </w:trPr>
        <w:tc>
          <w:tcPr>
            <w:tcW w:w="2680" w:type="dxa"/>
            <w:vAlign w:val="bottom"/>
          </w:tcPr>
          <w:p>
            <w:pPr>
              <w:spacing w:after="0"/>
              <w:rPr>
                <w:sz w:val="20"/>
                <w:szCs w:val="20"/>
                <w:color w:val="auto"/>
              </w:rPr>
            </w:pPr>
            <w:r>
              <w:rPr>
                <w:rFonts w:ascii="Arial" w:cs="Arial" w:eastAsia="Arial" w:hAnsi="Arial"/>
                <w:sz w:val="14"/>
                <w:szCs w:val="14"/>
                <w:color w:val="auto"/>
              </w:rPr>
              <w:t>Prepaid expenses and other current</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80" w:type="dxa"/>
            <w:vAlign w:val="bottom"/>
          </w:tcPr>
          <w:p>
            <w:pPr>
              <w:ind w:left="140"/>
              <w:spacing w:after="0" w:line="156" w:lineRule="exact"/>
              <w:rPr>
                <w:sz w:val="20"/>
                <w:szCs w:val="20"/>
                <w:color w:val="auto"/>
              </w:rPr>
            </w:pPr>
            <w:r>
              <w:rPr>
                <w:rFonts w:ascii="Arial" w:cs="Arial" w:eastAsia="Arial" w:hAnsi="Arial"/>
                <w:sz w:val="14"/>
                <w:szCs w:val="14"/>
                <w:color w:val="auto"/>
              </w:rPr>
              <w:t>assets</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131,169</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119,960</w:t>
            </w:r>
          </w:p>
        </w:tc>
        <w:tc>
          <w:tcPr>
            <w:tcW w:w="140" w:type="dxa"/>
            <w:vAlign w:val="bottom"/>
          </w:tcPr>
          <w:p>
            <w:pPr>
              <w:spacing w:after="0"/>
              <w:rPr>
                <w:sz w:val="13"/>
                <w:szCs w:val="13"/>
                <w:color w:val="auto"/>
              </w:rPr>
            </w:pPr>
          </w:p>
        </w:tc>
        <w:tc>
          <w:tcPr>
            <w:tcW w:w="2580" w:type="dxa"/>
            <w:vAlign w:val="bottom"/>
          </w:tcPr>
          <w:p>
            <w:pPr>
              <w:ind w:left="140"/>
              <w:spacing w:after="0" w:line="156" w:lineRule="exact"/>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734,305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0"/>
              <w:spacing w:after="0" w:line="156" w:lineRule="exact"/>
              <w:rPr>
                <w:sz w:val="20"/>
                <w:szCs w:val="20"/>
                <w:color w:val="auto"/>
              </w:rPr>
            </w:pPr>
            <w:r>
              <w:rPr>
                <w:rFonts w:ascii="Arial" w:cs="Arial" w:eastAsia="Arial" w:hAnsi="Arial"/>
                <w:sz w:val="14"/>
                <w:szCs w:val="14"/>
                <w:color w:val="auto"/>
              </w:rPr>
              <w:t>708,437</w:t>
            </w:r>
          </w:p>
        </w:tc>
        <w:tc>
          <w:tcPr>
            <w:tcW w:w="0" w:type="dxa"/>
            <w:vAlign w:val="bottom"/>
          </w:tcPr>
          <w:p>
            <w:pPr>
              <w:spacing w:after="0"/>
              <w:rPr>
                <w:sz w:val="1"/>
                <w:szCs w:val="1"/>
                <w:color w:val="auto"/>
              </w:rPr>
            </w:pPr>
          </w:p>
        </w:tc>
      </w:tr>
      <w:tr>
        <w:trPr>
          <w:trHeight w:val="183"/>
        </w:trPr>
        <w:tc>
          <w:tcPr>
            <w:tcW w:w="2680" w:type="dxa"/>
            <w:vAlign w:val="bottom"/>
          </w:tcPr>
          <w:p>
            <w:pPr>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1,066,387</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991,233</w:t>
            </w:r>
          </w:p>
        </w:tc>
        <w:tc>
          <w:tcPr>
            <w:tcW w:w="2580" w:type="dxa"/>
            <w:vAlign w:val="bottom"/>
            <w:vMerge w:val="restart"/>
          </w:tcPr>
          <w:p>
            <w:pPr>
              <w:ind w:left="140"/>
              <w:spacing w:after="0"/>
              <w:rPr>
                <w:sz w:val="20"/>
                <w:szCs w:val="20"/>
                <w:color w:val="auto"/>
              </w:rPr>
            </w:pPr>
            <w:r>
              <w:rPr>
                <w:rFonts w:ascii="Arial" w:cs="Arial" w:eastAsia="Arial" w:hAnsi="Arial"/>
                <w:sz w:val="14"/>
                <w:szCs w:val="14"/>
                <w:color w:val="auto"/>
              </w:rPr>
              <w:t>Senior notes</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1,684,744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1,683,264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Other long-term debt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425,829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119,420</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Non-current operating lease liabilities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310,565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313,762</w:t>
            </w:r>
          </w:p>
        </w:tc>
        <w:tc>
          <w:tcPr>
            <w:tcW w:w="0" w:type="dxa"/>
            <w:vAlign w:val="bottom"/>
          </w:tcPr>
          <w:p>
            <w:pPr>
              <w:spacing w:after="0"/>
              <w:rPr>
                <w:sz w:val="1"/>
                <w:szCs w:val="1"/>
                <w:color w:val="auto"/>
              </w:rPr>
            </w:pPr>
          </w:p>
        </w:tc>
      </w:tr>
      <w:tr>
        <w:trPr>
          <w:trHeight w:val="156"/>
        </w:trPr>
        <w:tc>
          <w:tcPr>
            <w:tcW w:w="2680" w:type="dxa"/>
            <w:vAlign w:val="bottom"/>
          </w:tcPr>
          <w:p>
            <w:pPr>
              <w:spacing w:after="0" w:line="156" w:lineRule="exact"/>
              <w:rPr>
                <w:sz w:val="20"/>
                <w:szCs w:val="20"/>
                <w:color w:val="auto"/>
              </w:rPr>
            </w:pPr>
            <w:r>
              <w:rPr>
                <w:rFonts w:ascii="Arial" w:cs="Arial" w:eastAsia="Arial" w:hAnsi="Arial"/>
                <w:sz w:val="14"/>
                <w:szCs w:val="14"/>
                <w:color w:val="auto"/>
              </w:rPr>
              <w:t>Property, equipment and satellites, net</w:t>
            </w:r>
          </w:p>
        </w:tc>
        <w:tc>
          <w:tcPr>
            <w:tcW w:w="28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3,465,367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3,050,483</w:t>
            </w:r>
          </w:p>
        </w:tc>
        <w:tc>
          <w:tcPr>
            <w:tcW w:w="2580" w:type="dxa"/>
            <w:vAlign w:val="bottom"/>
          </w:tcPr>
          <w:p>
            <w:pPr>
              <w:ind w:left="140"/>
              <w:spacing w:after="0" w:line="156" w:lineRule="exact"/>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163,947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0"/>
              <w:spacing w:after="0" w:line="156" w:lineRule="exact"/>
              <w:rPr>
                <w:sz w:val="20"/>
                <w:szCs w:val="20"/>
                <w:color w:val="auto"/>
              </w:rPr>
            </w:pPr>
            <w:r>
              <w:rPr>
                <w:rFonts w:ascii="Arial" w:cs="Arial" w:eastAsia="Arial" w:hAnsi="Arial"/>
                <w:sz w:val="14"/>
                <w:szCs w:val="14"/>
                <w:color w:val="auto"/>
              </w:rPr>
              <w:t>137,350</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340,165</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340,456</w:t>
            </w:r>
          </w:p>
        </w:tc>
        <w:tc>
          <w:tcPr>
            <w:tcW w:w="2580" w:type="dxa"/>
            <w:vAlign w:val="bottom"/>
          </w:tcPr>
          <w:p>
            <w:pPr>
              <w:ind w:left="14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3,319,390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2,962,233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20"/>
                <w:szCs w:val="20"/>
                <w:color w:val="auto"/>
              </w:rPr>
            </w:pPr>
            <w:r>
              <w:rPr>
                <w:rFonts w:ascii="Arial" w:cs="Arial" w:eastAsia="Arial" w:hAnsi="Arial"/>
                <w:sz w:val="14"/>
                <w:szCs w:val="14"/>
                <w:color w:val="auto"/>
              </w:rPr>
              <w:t>Other acquired intangible assets, net</w:t>
            </w:r>
          </w:p>
        </w:tc>
        <w:tc>
          <w:tcPr>
            <w:tcW w:w="28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243,331</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9,568</w:t>
            </w:r>
          </w:p>
        </w:tc>
        <w:tc>
          <w:tcPr>
            <w:tcW w:w="2580" w:type="dxa"/>
            <w:vAlign w:val="bottom"/>
          </w:tcPr>
          <w:p>
            <w:pPr>
              <w:ind w:left="140"/>
              <w:spacing w:after="0"/>
              <w:rPr>
                <w:sz w:val="20"/>
                <w:szCs w:val="20"/>
                <w:color w:val="auto"/>
              </w:rPr>
            </w:pPr>
            <w:r>
              <w:rPr>
                <w:rFonts w:ascii="Arial" w:cs="Arial" w:eastAsia="Arial" w:hAnsi="Arial"/>
                <w:sz w:val="14"/>
                <w:szCs w:val="14"/>
                <w:color w:val="auto"/>
              </w:rPr>
              <w:t>Total Viasat, Inc. stockholders’ equity</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2,634,813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2,351,469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80" w:type="dxa"/>
            <w:vAlign w:val="bottom"/>
          </w:tcPr>
          <w:p>
            <w:pPr>
              <w:spacing w:after="0" w:line="156" w:lineRule="exact"/>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3"/>
                <w:szCs w:val="13"/>
                <w:color w:val="auto"/>
              </w:rPr>
            </w:pPr>
          </w:p>
        </w:tc>
        <w:tc>
          <w:tcPr>
            <w:tcW w:w="134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191,125</w:t>
            </w:r>
          </w:p>
        </w:tc>
        <w:tc>
          <w:tcPr>
            <w:tcW w:w="200" w:type="dxa"/>
            <w:vAlign w:val="bottom"/>
          </w:tcPr>
          <w:p>
            <w:pPr>
              <w:spacing w:after="0"/>
              <w:rPr>
                <w:sz w:val="13"/>
                <w:szCs w:val="13"/>
                <w:color w:val="auto"/>
              </w:rPr>
            </w:pPr>
          </w:p>
        </w:tc>
        <w:tc>
          <w:tcPr>
            <w:tcW w:w="960" w:type="dxa"/>
            <w:vAlign w:val="bottom"/>
            <w:gridSpan w:val="2"/>
          </w:tcPr>
          <w:p>
            <w:pPr>
              <w:jc w:val="right"/>
              <w:ind w:right="140"/>
              <w:spacing w:after="0" w:line="156" w:lineRule="exact"/>
              <w:rPr>
                <w:sz w:val="20"/>
                <w:szCs w:val="20"/>
                <w:color w:val="auto"/>
              </w:rPr>
            </w:pPr>
            <w:r>
              <w:rPr>
                <w:rFonts w:ascii="Arial" w:cs="Arial" w:eastAsia="Arial" w:hAnsi="Arial"/>
                <w:sz w:val="14"/>
                <w:szCs w:val="14"/>
                <w:color w:val="auto"/>
              </w:rPr>
              <w:t>122,300</w:t>
            </w:r>
          </w:p>
        </w:tc>
        <w:tc>
          <w:tcPr>
            <w:tcW w:w="2580" w:type="dxa"/>
            <w:vAlign w:val="bottom"/>
          </w:tcPr>
          <w:p>
            <w:pPr>
              <w:ind w:left="140"/>
              <w:spacing w:after="0" w:line="156" w:lineRule="exact"/>
              <w:rPr>
                <w:sz w:val="20"/>
                <w:szCs w:val="20"/>
                <w:color w:val="auto"/>
              </w:rPr>
            </w:pPr>
            <w:r>
              <w:rPr>
                <w:rFonts w:ascii="Arial" w:cs="Arial" w:eastAsia="Arial" w:hAnsi="Arial"/>
                <w:sz w:val="14"/>
                <w:szCs w:val="14"/>
                <w:color w:val="auto"/>
              </w:rPr>
              <w:t>Noncontrolling interest in subsidiary</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jc w:val="right"/>
              <w:ind w:right="140"/>
              <w:spacing w:after="0" w:line="156" w:lineRule="exact"/>
              <w:rPr>
                <w:sz w:val="20"/>
                <w:szCs w:val="20"/>
                <w:color w:val="auto"/>
              </w:rPr>
            </w:pPr>
            <w:r>
              <w:rPr>
                <w:rFonts w:ascii="Arial" w:cs="Arial" w:eastAsia="Arial" w:hAnsi="Arial"/>
                <w:sz w:val="14"/>
                <w:szCs w:val="14"/>
                <w:color w:val="auto"/>
              </w:rPr>
              <w:t>38,657</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35,765</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686,485</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835,427</w:t>
            </w:r>
          </w:p>
        </w:tc>
        <w:tc>
          <w:tcPr>
            <w:tcW w:w="14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Total equity</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2,673,470</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2,387,234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rPr>
                <w:sz w:val="20"/>
                <w:szCs w:val="20"/>
                <w:color w:val="auto"/>
              </w:rPr>
            </w:pPr>
            <w:r>
              <w:rPr>
                <w:rFonts w:ascii="Arial" w:cs="Arial" w:eastAsia="Arial" w:hAnsi="Arial"/>
                <w:sz w:val="14"/>
                <w:szCs w:val="14"/>
                <w:color w:val="auto"/>
              </w:rPr>
              <w:t>Total assets</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5,992,860</w:t>
            </w:r>
          </w:p>
        </w:tc>
        <w:tc>
          <w:tcPr>
            <w:tcW w:w="28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5,349,467</w:t>
            </w:r>
          </w:p>
        </w:tc>
        <w:tc>
          <w:tcPr>
            <w:tcW w:w="14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Total liabilities and equity</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5,992,860</w:t>
            </w:r>
          </w:p>
        </w:tc>
        <w:tc>
          <w:tcPr>
            <w:tcW w:w="12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5,349,467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380" w:type="dxa"/>
            <w:vAlign w:val="bottom"/>
            <w:gridSpan w:val="8"/>
          </w:tcPr>
          <w:p>
            <w:pPr>
              <w:ind w:left="100"/>
              <w:spacing w:after="0"/>
              <w:rPr>
                <w:sz w:val="20"/>
                <w:szCs w:val="20"/>
                <w:color w:val="auto"/>
              </w:rPr>
            </w:pPr>
            <w:r>
              <w:rPr>
                <w:rFonts w:ascii="Arial" w:cs="Arial" w:eastAsia="Arial" w:hAnsi="Arial"/>
                <w:sz w:val="13"/>
                <w:szCs w:val="13"/>
                <w:color w:val="auto"/>
                <w:w w:val="95"/>
              </w:rPr>
              <w:t>Shareholder Letter | Q2 Fiscal Year 2022</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02475" cy="170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2475" cy="170180"/>
                    </a:xfrm>
                    <a:prstGeom prst="rect">
                      <a:avLst/>
                    </a:prstGeom>
                    <a:noFill/>
                  </pic:spPr>
                </pic:pic>
              </a:graphicData>
            </a:graphic>
          </wp:anchor>
        </w:drawing>
      </w:r>
    </w:p>
    <w:p>
      <w:pPr>
        <w:sectPr>
          <w:pgSz w:w="11900" w:h="16838" w:orient="portrait"/>
          <w:cols w:equalWidth="0" w:num="1">
            <w:col w:w="10945"/>
          </w:cols>
          <w:pgMar w:left="475" w:top="285" w:right="479" w:bottom="1440" w:gutter="0" w:footer="0" w:header="0"/>
        </w:sectPr>
      </w:pPr>
    </w:p>
    <w:bookmarkStart w:id="18" w:name="page19"/>
    <w:bookmarkEnd w:id="18"/>
    <w:p>
      <w:pPr>
        <w:ind w:left="5"/>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Viasat Financial Reconciliation Prior Periods</w:t>
      </w:r>
    </w:p>
    <w:p>
      <w:pPr>
        <w:spacing w:after="0" w:line="128"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AN ITEMIZED RECONCILIATION BETWEEN NET INCOME ATTRIBUTABLE TO VIASAT, INC.</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ON A GAAP BASIS AND NON-GAAP BASIS IS AS FOLLOWS:</w:t>
      </w:r>
    </w:p>
    <w:p>
      <w:pPr>
        <w:ind w:left="5"/>
        <w:spacing w:after="0"/>
        <w:rPr>
          <w:sz w:val="20"/>
          <w:szCs w:val="20"/>
          <w:color w:val="auto"/>
        </w:rPr>
      </w:pPr>
      <w:r>
        <w:rPr>
          <w:rFonts w:ascii="Arial" w:cs="Arial" w:eastAsia="Arial" w:hAnsi="Arial"/>
          <w:sz w:val="14"/>
          <w:szCs w:val="14"/>
          <w:b w:val="1"/>
          <w:bCs w:val="1"/>
          <w:color w:val="auto"/>
        </w:rPr>
        <w:t>(In thousands)</w:t>
      </w:r>
    </w:p>
    <w:p>
      <w:pPr>
        <w:spacing w:after="0" w:line="223"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6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6440" w:type="dxa"/>
            <w:vAlign w:val="bottom"/>
            <w:vMerge w:val="restart"/>
          </w:tcPr>
          <w:p>
            <w:pPr>
              <w:spacing w:after="0"/>
              <w:rPr>
                <w:sz w:val="20"/>
                <w:szCs w:val="20"/>
                <w:color w:val="auto"/>
              </w:rPr>
            </w:pPr>
            <w:r>
              <w:rPr>
                <w:rFonts w:ascii="Arial" w:cs="Arial" w:eastAsia="Arial" w:hAnsi="Arial"/>
                <w:sz w:val="18"/>
                <w:szCs w:val="18"/>
                <w:color w:val="auto"/>
              </w:rPr>
              <w:t>GAAP net income attributable to Viasat, Inc.</w:t>
            </w:r>
          </w:p>
        </w:tc>
        <w:tc>
          <w:tcPr>
            <w:tcW w:w="124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3"/>
                <w:szCs w:val="13"/>
                <w:color w:val="auto"/>
              </w:rPr>
            </w:pPr>
          </w:p>
        </w:tc>
        <w:tc>
          <w:tcPr>
            <w:tcW w:w="158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March 31, 2021</w:t>
            </w:r>
          </w:p>
        </w:tc>
        <w:tc>
          <w:tcPr>
            <w:tcW w:w="1300" w:type="dxa"/>
            <w:vAlign w:val="bottom"/>
            <w:gridSpan w:val="2"/>
          </w:tcPr>
          <w:p>
            <w:pPr>
              <w:spacing w:after="0" w:line="154" w:lineRule="exact"/>
              <w:rPr>
                <w:sz w:val="20"/>
                <w:szCs w:val="20"/>
                <w:color w:val="auto"/>
              </w:rPr>
            </w:pPr>
            <w:r>
              <w:rPr>
                <w:rFonts w:ascii="Arial" w:cs="Arial" w:eastAsia="Arial" w:hAnsi="Arial"/>
                <w:sz w:val="14"/>
                <w:szCs w:val="14"/>
                <w:b w:val="1"/>
                <w:bCs w:val="1"/>
                <w:color w:val="auto"/>
              </w:rPr>
              <w:t>December 31, 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440" w:type="dxa"/>
            <w:vAlign w:val="bottom"/>
            <w:vMerge w:val="continue"/>
          </w:tcPr>
          <w:p>
            <w:pPr>
              <w:spacing w:after="0"/>
              <w:rPr>
                <w:sz w:val="16"/>
                <w:szCs w:val="16"/>
                <w:color w:val="auto"/>
              </w:rPr>
            </w:pPr>
          </w:p>
        </w:tc>
        <w:tc>
          <w:tcPr>
            <w:tcW w:w="2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16,968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7,357</w:t>
            </w:r>
          </w:p>
        </w:tc>
        <w:tc>
          <w:tcPr>
            <w:tcW w:w="560" w:type="dxa"/>
            <w:vAlign w:val="bottom"/>
          </w:tcPr>
          <w:p>
            <w:pPr>
              <w:spacing w:after="0"/>
              <w:rPr>
                <w:sz w:val="16"/>
                <w:szCs w:val="16"/>
                <w:color w:val="auto"/>
              </w:rPr>
            </w:pPr>
          </w:p>
        </w:tc>
        <w:tc>
          <w:tcPr>
            <w:tcW w:w="4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6,760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40" w:type="dxa"/>
            <w:vAlign w:val="bottom"/>
          </w:tcPr>
          <w:p>
            <w:pPr>
              <w:spacing w:after="0" w:line="201" w:lineRule="exact"/>
              <w:rPr>
                <w:sz w:val="20"/>
                <w:szCs w:val="20"/>
                <w:color w:val="auto"/>
              </w:rPr>
            </w:pPr>
            <w:r>
              <w:rPr>
                <w:rFonts w:ascii="Arial" w:cs="Arial" w:eastAsia="Arial" w:hAnsi="Arial"/>
                <w:sz w:val="18"/>
                <w:szCs w:val="18"/>
                <w:color w:val="auto"/>
              </w:rPr>
              <w:t>Amortization of acquired intangible assets</w:t>
            </w:r>
          </w:p>
        </w:tc>
        <w:tc>
          <w:tcPr>
            <w:tcW w:w="22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5,929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1,311</w:t>
            </w:r>
          </w:p>
        </w:tc>
        <w:tc>
          <w:tcPr>
            <w:tcW w:w="420" w:type="dxa"/>
            <w:vAlign w:val="bottom"/>
          </w:tcPr>
          <w:p>
            <w:pPr>
              <w:spacing w:after="0"/>
              <w:rPr>
                <w:sz w:val="17"/>
                <w:szCs w:val="17"/>
                <w:color w:val="auto"/>
              </w:rPr>
            </w:pPr>
          </w:p>
        </w:tc>
        <w:tc>
          <w:tcPr>
            <w:tcW w:w="9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01"/>
        </w:trPr>
        <w:tc>
          <w:tcPr>
            <w:tcW w:w="644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22,218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19,912</w:t>
            </w:r>
          </w:p>
        </w:tc>
        <w:tc>
          <w:tcPr>
            <w:tcW w:w="420" w:type="dxa"/>
            <w:vAlign w:val="bottom"/>
          </w:tcPr>
          <w:p>
            <w:pPr>
              <w:spacing w:after="0"/>
              <w:rPr>
                <w:sz w:val="17"/>
                <w:szCs w:val="17"/>
                <w:color w:val="auto"/>
              </w:rPr>
            </w:pPr>
          </w:p>
        </w:tc>
        <w:tc>
          <w:tcPr>
            <w:tcW w:w="9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21,639</w:t>
            </w:r>
          </w:p>
        </w:tc>
        <w:tc>
          <w:tcPr>
            <w:tcW w:w="0" w:type="dxa"/>
            <w:vAlign w:val="bottom"/>
          </w:tcPr>
          <w:p>
            <w:pPr>
              <w:spacing w:after="0"/>
              <w:rPr>
                <w:sz w:val="1"/>
                <w:szCs w:val="1"/>
                <w:color w:val="auto"/>
              </w:rPr>
            </w:pPr>
          </w:p>
        </w:tc>
      </w:tr>
      <w:tr>
        <w:trPr>
          <w:trHeight w:val="201"/>
        </w:trPr>
        <w:tc>
          <w:tcPr>
            <w:tcW w:w="6440" w:type="dxa"/>
            <w:vAlign w:val="bottom"/>
          </w:tcPr>
          <w:p>
            <w:pPr>
              <w:spacing w:after="0" w:line="201" w:lineRule="exact"/>
              <w:rPr>
                <w:sz w:val="20"/>
                <w:szCs w:val="20"/>
                <w:color w:val="auto"/>
              </w:rPr>
            </w:pPr>
            <w:r>
              <w:rPr>
                <w:rFonts w:ascii="Arial" w:cs="Arial" w:eastAsia="Arial" w:hAnsi="Arial"/>
                <w:sz w:val="18"/>
                <w:szCs w:val="18"/>
                <w:color w:val="auto"/>
              </w:rPr>
              <w:t>Acquisition related expenses</w:t>
            </w:r>
          </w:p>
        </w:tc>
        <w:tc>
          <w:tcPr>
            <w:tcW w:w="22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7,002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1,452</w:t>
            </w:r>
          </w:p>
        </w:tc>
        <w:tc>
          <w:tcPr>
            <w:tcW w:w="420" w:type="dxa"/>
            <w:vAlign w:val="bottom"/>
          </w:tcPr>
          <w:p>
            <w:pPr>
              <w:spacing w:after="0"/>
              <w:rPr>
                <w:sz w:val="17"/>
                <w:szCs w:val="17"/>
                <w:color w:val="auto"/>
              </w:rPr>
            </w:pPr>
          </w:p>
        </w:tc>
        <w:tc>
          <w:tcPr>
            <w:tcW w:w="9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199"/>
        </w:trPr>
        <w:tc>
          <w:tcPr>
            <w:tcW w:w="6440" w:type="dxa"/>
            <w:vAlign w:val="bottom"/>
          </w:tcPr>
          <w:p>
            <w:pPr>
              <w:spacing w:after="0" w:line="199" w:lineRule="exact"/>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7"/>
                <w:szCs w:val="17"/>
                <w:color w:val="auto"/>
              </w:rPr>
            </w:pPr>
          </w:p>
        </w:tc>
        <w:tc>
          <w:tcPr>
            <w:tcW w:w="1020" w:type="dxa"/>
            <w:vAlign w:val="bottom"/>
            <w:gridSpan w:val="2"/>
          </w:tcPr>
          <w:p>
            <w:pPr>
              <w:jc w:val="right"/>
              <w:ind w:right="240"/>
              <w:spacing w:after="0" w:line="199" w:lineRule="exact"/>
              <w:rPr>
                <w:sz w:val="20"/>
                <w:szCs w:val="20"/>
                <w:color w:val="auto"/>
              </w:rPr>
            </w:pPr>
            <w:r>
              <w:rPr>
                <w:rFonts w:ascii="Arial" w:cs="Arial" w:eastAsia="Arial" w:hAnsi="Arial"/>
                <w:sz w:val="18"/>
                <w:szCs w:val="18"/>
                <w:color w:val="auto"/>
              </w:rPr>
              <w:t>(4,118)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660"/>
              <w:spacing w:after="0" w:line="199"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40" w:type="dxa"/>
            <w:vAlign w:val="bottom"/>
            <w:gridSpan w:val="2"/>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6440" w:type="dxa"/>
            <w:vAlign w:val="bottom"/>
          </w:tcPr>
          <w:p>
            <w:pPr>
              <w:spacing w:after="0" w:line="205" w:lineRule="exact"/>
              <w:rPr>
                <w:sz w:val="20"/>
                <w:szCs w:val="20"/>
                <w:color w:val="auto"/>
              </w:rPr>
            </w:pPr>
            <w:r>
              <w:rPr>
                <w:rFonts w:ascii="Arial" w:cs="Arial" w:eastAsia="Arial" w:hAnsi="Arial"/>
                <w:sz w:val="18"/>
                <w:szCs w:val="18"/>
                <w:color w:val="auto"/>
              </w:rPr>
              <w:t xml:space="preserve">Income tax effect </w:t>
            </w:r>
            <w:r>
              <w:rPr>
                <w:rFonts w:ascii="Arial" w:cs="Arial" w:eastAsia="Arial" w:hAnsi="Arial"/>
                <w:sz w:val="15"/>
                <w:szCs w:val="15"/>
                <w:color w:val="auto"/>
              </w:rPr>
              <w:t>(1)</w:t>
            </w:r>
          </w:p>
        </w:tc>
        <w:tc>
          <w:tcPr>
            <w:tcW w:w="220" w:type="dxa"/>
            <w:vAlign w:val="bottom"/>
          </w:tcPr>
          <w:p>
            <w:pPr>
              <w:spacing w:after="0"/>
              <w:rPr>
                <w:sz w:val="17"/>
                <w:szCs w:val="17"/>
                <w:color w:val="auto"/>
              </w:rPr>
            </w:pPr>
          </w:p>
        </w:tc>
        <w:tc>
          <w:tcPr>
            <w:tcW w:w="102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(14,728)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500"/>
              <w:spacing w:after="0" w:line="205" w:lineRule="exact"/>
              <w:rPr>
                <w:sz w:val="20"/>
                <w:szCs w:val="20"/>
                <w:color w:val="auto"/>
              </w:rPr>
            </w:pPr>
            <w:r>
              <w:rPr>
                <w:rFonts w:ascii="Arial" w:cs="Arial" w:eastAsia="Arial" w:hAnsi="Arial"/>
                <w:sz w:val="18"/>
                <w:szCs w:val="18"/>
                <w:color w:val="auto"/>
              </w:rPr>
              <w:t>(4,844)</w:t>
            </w:r>
          </w:p>
        </w:tc>
        <w:tc>
          <w:tcPr>
            <w:tcW w:w="420" w:type="dxa"/>
            <w:vAlign w:val="bottom"/>
          </w:tcPr>
          <w:p>
            <w:pPr>
              <w:spacing w:after="0"/>
              <w:rPr>
                <w:sz w:val="17"/>
                <w:szCs w:val="17"/>
                <w:color w:val="auto"/>
              </w:rPr>
            </w:pPr>
          </w:p>
        </w:tc>
        <w:tc>
          <w:tcPr>
            <w:tcW w:w="9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40" w:type="dxa"/>
            <w:vAlign w:val="bottom"/>
          </w:tcPr>
          <w:p>
            <w:pPr>
              <w:spacing w:after="0"/>
              <w:rPr>
                <w:sz w:val="20"/>
                <w:szCs w:val="20"/>
                <w:color w:val="auto"/>
              </w:rPr>
            </w:pPr>
            <w:r>
              <w:rPr>
                <w:rFonts w:ascii="Arial" w:cs="Arial" w:eastAsia="Arial" w:hAnsi="Arial"/>
                <w:sz w:val="18"/>
                <w:szCs w:val="18"/>
                <w:color w:val="auto"/>
              </w:rPr>
              <w:t>Non-GAAP net income attributable to Viasat, Inc.</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33,271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25,188</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26,557</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25" w:hanging="425"/>
        <w:spacing w:after="0"/>
        <w:tabs>
          <w:tab w:leader="none" w:pos="425"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income tax effect is calculated using the tax rate applicable for the non-GAAP adjustments.</w:t>
      </w:r>
    </w:p>
    <w:p>
      <w:pPr>
        <w:spacing w:after="0" w:line="294"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AN ITEMIZED RECONCILIATION BETWEEN NET INCOME ATTRIBUTABLE TO VIASAT, INC.</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AND ADJUSTED EBITDA IS AS FOLLOWS:</w:t>
      </w:r>
    </w:p>
    <w:p>
      <w:pPr>
        <w:ind w:left="5"/>
        <w:spacing w:after="0"/>
        <w:rPr>
          <w:sz w:val="20"/>
          <w:szCs w:val="20"/>
          <w:color w:val="auto"/>
        </w:rPr>
      </w:pPr>
      <w:r>
        <w:rPr>
          <w:rFonts w:ascii="Arial" w:cs="Arial" w:eastAsia="Arial" w:hAnsi="Arial"/>
          <w:sz w:val="14"/>
          <w:szCs w:val="14"/>
          <w:b w:val="1"/>
          <w:bCs w:val="1"/>
          <w:color w:val="auto"/>
        </w:rPr>
        <w:t>(In thousands)</w:t>
      </w:r>
    </w:p>
    <w:p>
      <w:pPr>
        <w:spacing w:after="0" w:line="223"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5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000" w:type="dxa"/>
            <w:vAlign w:val="bottom"/>
            <w:vMerge w:val="restart"/>
          </w:tcPr>
          <w:p>
            <w:pPr>
              <w:spacing w:after="0"/>
              <w:rPr>
                <w:sz w:val="20"/>
                <w:szCs w:val="20"/>
                <w:color w:val="auto"/>
              </w:rPr>
            </w:pPr>
            <w:r>
              <w:rPr>
                <w:rFonts w:ascii="Arial" w:cs="Arial" w:eastAsia="Arial" w:hAnsi="Arial"/>
                <w:sz w:val="18"/>
                <w:szCs w:val="18"/>
                <w:color w:val="auto"/>
              </w:rPr>
              <w:t>GAAP net income attributable to Viasat, Inc.</w:t>
            </w:r>
          </w:p>
        </w:tc>
        <w:tc>
          <w:tcPr>
            <w:tcW w:w="1520" w:type="dxa"/>
            <w:vAlign w:val="bottom"/>
          </w:tcPr>
          <w:p>
            <w:pPr>
              <w:spacing w:after="0"/>
              <w:rPr>
                <w:sz w:val="13"/>
                <w:szCs w:val="13"/>
                <w:color w:val="auto"/>
              </w:rPr>
            </w:pPr>
          </w:p>
        </w:tc>
        <w:tc>
          <w:tcPr>
            <w:tcW w:w="124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13"/>
                <w:szCs w:val="13"/>
                <w:color w:val="auto"/>
              </w:rPr>
            </w:pPr>
          </w:p>
        </w:tc>
        <w:tc>
          <w:tcPr>
            <w:tcW w:w="1540" w:type="dxa"/>
            <w:vAlign w:val="bottom"/>
            <w:gridSpan w:val="3"/>
          </w:tcPr>
          <w:p>
            <w:pPr>
              <w:jc w:val="right"/>
              <w:ind w:right="540"/>
              <w:spacing w:after="0" w:line="154" w:lineRule="exact"/>
              <w:rPr>
                <w:sz w:val="20"/>
                <w:szCs w:val="20"/>
                <w:color w:val="auto"/>
              </w:rPr>
            </w:pPr>
            <w:r>
              <w:rPr>
                <w:rFonts w:ascii="Arial" w:cs="Arial" w:eastAsia="Arial" w:hAnsi="Arial"/>
                <w:sz w:val="14"/>
                <w:szCs w:val="14"/>
                <w:b w:val="1"/>
                <w:bCs w:val="1"/>
                <w:color w:val="auto"/>
                <w:w w:val="98"/>
              </w:rPr>
              <w:t>March 31, 2021</w:t>
            </w:r>
          </w:p>
        </w:tc>
        <w:tc>
          <w:tcPr>
            <w:tcW w:w="128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w w:val="99"/>
              </w:rPr>
              <w:t>December 31, 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00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16,968</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jc w:val="right"/>
              <w:ind w:right="46"/>
              <w:spacing w:after="0" w:line="194"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7,357</w:t>
            </w:r>
          </w:p>
        </w:tc>
        <w:tc>
          <w:tcPr>
            <w:tcW w:w="540" w:type="dxa"/>
            <w:vAlign w:val="bottom"/>
          </w:tcPr>
          <w:p>
            <w:pPr>
              <w:spacing w:after="0"/>
              <w:rPr>
                <w:sz w:val="16"/>
                <w:szCs w:val="16"/>
                <w:color w:val="auto"/>
              </w:rPr>
            </w:pPr>
          </w:p>
        </w:tc>
        <w:tc>
          <w:tcPr>
            <w:tcW w:w="3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w w:val="97"/>
              </w:rPr>
              <w:t>6,760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000" w:type="dxa"/>
            <w:vAlign w:val="bottom"/>
          </w:tcPr>
          <w:p>
            <w:pPr>
              <w:spacing w:after="0" w:line="201" w:lineRule="exact"/>
              <w:rPr>
                <w:sz w:val="20"/>
                <w:szCs w:val="20"/>
                <w:color w:val="auto"/>
              </w:rPr>
            </w:pPr>
            <w:r>
              <w:rPr>
                <w:rFonts w:ascii="Arial" w:cs="Arial" w:eastAsia="Arial" w:hAnsi="Arial"/>
                <w:sz w:val="18"/>
                <w:szCs w:val="18"/>
                <w:color w:val="auto"/>
              </w:rPr>
              <w:t>(Provision for) benefit from income taxes</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(4,087)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8,868</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7,008</w:t>
            </w:r>
          </w:p>
        </w:tc>
        <w:tc>
          <w:tcPr>
            <w:tcW w:w="0" w:type="dxa"/>
            <w:vAlign w:val="bottom"/>
          </w:tcPr>
          <w:p>
            <w:pPr>
              <w:spacing w:after="0"/>
              <w:rPr>
                <w:sz w:val="1"/>
                <w:szCs w:val="1"/>
                <w:color w:val="auto"/>
              </w:rPr>
            </w:pPr>
          </w:p>
        </w:tc>
      </w:tr>
      <w:tr>
        <w:trPr>
          <w:trHeight w:val="201"/>
        </w:trPr>
        <w:tc>
          <w:tcPr>
            <w:tcW w:w="5000" w:type="dxa"/>
            <w:vAlign w:val="bottom"/>
          </w:tcPr>
          <w:p>
            <w:pPr>
              <w:spacing w:after="0" w:line="201" w:lineRule="exact"/>
              <w:rPr>
                <w:sz w:val="20"/>
                <w:szCs w:val="20"/>
                <w:color w:val="auto"/>
              </w:rPr>
            </w:pPr>
            <w:r>
              <w:rPr>
                <w:rFonts w:ascii="Arial" w:cs="Arial" w:eastAsia="Arial" w:hAnsi="Arial"/>
                <w:sz w:val="18"/>
                <w:szCs w:val="18"/>
                <w:color w:val="auto"/>
              </w:rPr>
              <w:t>Interest expense, net</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6,229</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5,527</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7,766</w:t>
            </w:r>
          </w:p>
        </w:tc>
        <w:tc>
          <w:tcPr>
            <w:tcW w:w="0" w:type="dxa"/>
            <w:vAlign w:val="bottom"/>
          </w:tcPr>
          <w:p>
            <w:pPr>
              <w:spacing w:after="0"/>
              <w:rPr>
                <w:sz w:val="1"/>
                <w:szCs w:val="1"/>
                <w:color w:val="auto"/>
              </w:rPr>
            </w:pPr>
          </w:p>
        </w:tc>
      </w:tr>
      <w:tr>
        <w:trPr>
          <w:trHeight w:val="201"/>
        </w:trPr>
        <w:tc>
          <w:tcPr>
            <w:tcW w:w="5000" w:type="dxa"/>
            <w:vAlign w:val="bottom"/>
          </w:tcPr>
          <w:p>
            <w:pPr>
              <w:spacing w:after="0" w:line="201" w:lineRule="exact"/>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114,752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104,986</w:t>
            </w:r>
          </w:p>
        </w:tc>
        <w:tc>
          <w:tcPr>
            <w:tcW w:w="360" w:type="dxa"/>
            <w:vAlign w:val="bottom"/>
          </w:tcPr>
          <w:p>
            <w:pPr>
              <w:spacing w:after="0"/>
              <w:rPr>
                <w:sz w:val="17"/>
                <w:szCs w:val="17"/>
                <w:color w:val="auto"/>
              </w:rPr>
            </w:pPr>
          </w:p>
        </w:tc>
        <w:tc>
          <w:tcPr>
            <w:tcW w:w="98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102,502</w:t>
            </w:r>
          </w:p>
        </w:tc>
        <w:tc>
          <w:tcPr>
            <w:tcW w:w="0" w:type="dxa"/>
            <w:vAlign w:val="bottom"/>
          </w:tcPr>
          <w:p>
            <w:pPr>
              <w:spacing w:after="0"/>
              <w:rPr>
                <w:sz w:val="1"/>
                <w:szCs w:val="1"/>
                <w:color w:val="auto"/>
              </w:rPr>
            </w:pPr>
          </w:p>
        </w:tc>
      </w:tr>
      <w:tr>
        <w:trPr>
          <w:trHeight w:val="201"/>
        </w:trPr>
        <w:tc>
          <w:tcPr>
            <w:tcW w:w="50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22,218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19,912</w:t>
            </w:r>
          </w:p>
        </w:tc>
        <w:tc>
          <w:tcPr>
            <w:tcW w:w="360" w:type="dxa"/>
            <w:vAlign w:val="bottom"/>
          </w:tcPr>
          <w:p>
            <w:pPr>
              <w:spacing w:after="0"/>
              <w:rPr>
                <w:sz w:val="17"/>
                <w:szCs w:val="17"/>
                <w:color w:val="auto"/>
              </w:rPr>
            </w:pPr>
          </w:p>
        </w:tc>
        <w:tc>
          <w:tcPr>
            <w:tcW w:w="98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21,639</w:t>
            </w:r>
          </w:p>
        </w:tc>
        <w:tc>
          <w:tcPr>
            <w:tcW w:w="0" w:type="dxa"/>
            <w:vAlign w:val="bottom"/>
          </w:tcPr>
          <w:p>
            <w:pPr>
              <w:spacing w:after="0"/>
              <w:rPr>
                <w:sz w:val="1"/>
                <w:szCs w:val="1"/>
                <w:color w:val="auto"/>
              </w:rPr>
            </w:pPr>
          </w:p>
        </w:tc>
      </w:tr>
      <w:tr>
        <w:trPr>
          <w:trHeight w:val="201"/>
        </w:trPr>
        <w:tc>
          <w:tcPr>
            <w:tcW w:w="5000" w:type="dxa"/>
            <w:vAlign w:val="bottom"/>
          </w:tcPr>
          <w:p>
            <w:pPr>
              <w:spacing w:after="0" w:line="201" w:lineRule="exact"/>
              <w:rPr>
                <w:sz w:val="20"/>
                <w:szCs w:val="20"/>
                <w:color w:val="auto"/>
              </w:rPr>
            </w:pPr>
            <w:r>
              <w:rPr>
                <w:rFonts w:ascii="Arial" w:cs="Arial" w:eastAsia="Arial" w:hAnsi="Arial"/>
                <w:sz w:val="18"/>
                <w:szCs w:val="18"/>
                <w:color w:val="auto"/>
              </w:rPr>
              <w:t>Acquisition related expenses</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7,002</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1,452</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1,876</w:t>
            </w:r>
          </w:p>
        </w:tc>
        <w:tc>
          <w:tcPr>
            <w:tcW w:w="0" w:type="dxa"/>
            <w:vAlign w:val="bottom"/>
          </w:tcPr>
          <w:p>
            <w:pPr>
              <w:spacing w:after="0"/>
              <w:rPr>
                <w:sz w:val="1"/>
                <w:szCs w:val="1"/>
                <w:color w:val="auto"/>
              </w:rPr>
            </w:pPr>
          </w:p>
        </w:tc>
      </w:tr>
      <w:tr>
        <w:trPr>
          <w:trHeight w:val="202"/>
        </w:trPr>
        <w:tc>
          <w:tcPr>
            <w:tcW w:w="500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(4,118)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tcPr>
          <w:p>
            <w:pPr>
              <w:spacing w:after="0"/>
              <w:rPr>
                <w:sz w:val="20"/>
                <w:szCs w:val="20"/>
                <w:color w:val="auto"/>
              </w:rPr>
            </w:pPr>
            <w:r>
              <w:rPr>
                <w:rFonts w:ascii="Arial" w:cs="Arial" w:eastAsia="Arial" w:hAnsi="Arial"/>
                <w:sz w:val="18"/>
                <w:szCs w:val="18"/>
                <w:color w:val="auto"/>
              </w:rPr>
              <w:t>Adjusted EBITDA</w:t>
            </w:r>
          </w:p>
        </w:tc>
        <w:tc>
          <w:tcPr>
            <w:tcW w:w="1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158,964</w:t>
            </w:r>
          </w:p>
        </w:tc>
        <w:tc>
          <w:tcPr>
            <w:tcW w:w="280" w:type="dxa"/>
            <w:vAlign w:val="bottom"/>
          </w:tcPr>
          <w:p>
            <w:pPr>
              <w:spacing w:after="0"/>
              <w:rPr>
                <w:sz w:val="18"/>
                <w:szCs w:val="18"/>
                <w:color w:val="auto"/>
              </w:rPr>
            </w:pPr>
          </w:p>
        </w:tc>
        <w:tc>
          <w:tcPr>
            <w:tcW w:w="52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148,102</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147,551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5"/>
          </w:tcPr>
          <w:p>
            <w:pPr>
              <w:ind w:left="80"/>
              <w:spacing w:after="0"/>
              <w:rPr>
                <w:sz w:val="20"/>
                <w:szCs w:val="20"/>
                <w:color w:val="auto"/>
              </w:rPr>
            </w:pPr>
            <w:r>
              <w:rPr>
                <w:rFonts w:ascii="Arial" w:cs="Arial" w:eastAsia="Arial" w:hAnsi="Arial"/>
                <w:sz w:val="13"/>
                <w:szCs w:val="13"/>
                <w:color w:val="auto"/>
                <w:w w:val="95"/>
              </w:rPr>
              <w:t>Shareholder Letter | Q2 Fiscal Year 2022</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02475" cy="170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2475" cy="170180"/>
                    </a:xfrm>
                    <a:prstGeom prst="rect">
                      <a:avLst/>
                    </a:prstGeom>
                    <a:noFill/>
                  </pic:spPr>
                </pic:pic>
              </a:graphicData>
            </a:graphic>
          </wp:anchor>
        </w:drawing>
      </w:r>
    </w:p>
    <w:sectPr>
      <w:pgSz w:w="11900" w:h="16838" w:orient="portrait"/>
      <w:cols w:equalWidth="0" w:num="1">
        <w:col w:w="10945"/>
      </w:cols>
      <w:pgMar w:left="475" w:top="2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04"/>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2021-11-08T06:15:12Z</dcterms:created>
  <dcterms:modified xsi:type="dcterms:W3CDTF">2021-11-08T06:15:12Z</dcterms:modified>
</cp:coreProperties>
</file>