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Garrett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70.5505</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72.252</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73.0342</w:t>
            </w:r>
            <w:r>
              <w:rPr>
                <w:rFonts w:ascii="Times;serif" w:hAnsi="Times;serif"/>
                <w:color w:val="008000"/>
                <w:position w:val="7"/>
                <w:sz w:val="16"/>
                <w:sz w:val="20"/>
                <w:shd w:fill="FFFFFF" w:val="clear"/>
              </w:rPr>
              <w:t>(4)</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73.68</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w:t>
            </w:r>
            <w:r>
              <w:rPr>
                <w:rFonts w:ascii="Times;serif" w:hAnsi="Times;serif"/>
                <w:color w:val="008000"/>
                <w:position w:val="7"/>
                <w:sz w:val="16"/>
                <w:sz w:val="20"/>
                <w:shd w:fill="FFFFFF" w:val="clear"/>
              </w:rPr>
              <w:t>(5)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$70.00 to $70.80.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$71.665 to $72.65.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$72.67 to $73.55.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241 shares of common stock the Reporting Person acquired under the Viasat 401(k) Plan since the date of the Reporting Person's last ownership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3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4596</Characters>
  <CharactersWithSpaces>5359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