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4,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00"/>
        <w:spacing w:after="0"/>
        <w:tabs>
          <w:tab w:leader="none" w:pos="672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August 1, 2014 was 46,712,748.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July 4, 2014</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ind w:right="4502"/>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Current assets:</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279,148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Prepaid expenses and other current assets</w:t>
            </w:r>
          </w:p>
        </w:tc>
        <w:tc>
          <w:tcPr>
            <w:tcW w:w="5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541,018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531,621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414,561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Goodwill</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117,930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267,511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5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2,056,280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1,960,115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ind w:right="3702"/>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Current liabilities:</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5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274,826</w:t>
            </w:r>
          </w:p>
        </w:tc>
        <w:tc>
          <w:tcPr>
            <w:tcW w:w="0" w:type="dxa"/>
            <w:vAlign w:val="bottom"/>
          </w:tcPr>
          <w:p>
            <w:pPr>
              <w:spacing w:after="0"/>
              <w:rPr>
                <w:sz w:val="1"/>
                <w:szCs w:val="1"/>
                <w:color w:val="auto"/>
              </w:rPr>
            </w:pPr>
          </w:p>
        </w:tc>
      </w:tr>
      <w:tr>
        <w:trPr>
          <w:trHeight w:val="322"/>
        </w:trPr>
        <w:tc>
          <w:tcPr>
            <w:tcW w:w="346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583,567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583,861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liabilities</w:t>
            </w:r>
          </w:p>
        </w:tc>
        <w:tc>
          <w:tcPr>
            <w:tcW w:w="5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1,088,621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1,013,480</w:t>
            </w:r>
          </w:p>
        </w:tc>
        <w:tc>
          <w:tcPr>
            <w:tcW w:w="0" w:type="dxa"/>
            <w:vAlign w:val="bottom"/>
          </w:tcPr>
          <w:p>
            <w:pPr>
              <w:spacing w:after="0"/>
              <w:rPr>
                <w:sz w:val="1"/>
                <w:szCs w:val="1"/>
                <w:color w:val="auto"/>
              </w:rPr>
            </w:pPr>
          </w:p>
        </w:tc>
      </w:tr>
      <w:tr>
        <w:trPr>
          <w:trHeight w:val="221"/>
        </w:trPr>
        <w:tc>
          <w:tcPr>
            <w:tcW w:w="34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753,840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Common stock held in treasury</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Accumulated other comprehensive income</w:t>
            </w:r>
          </w:p>
        </w:tc>
        <w:tc>
          <w:tcPr>
            <w:tcW w:w="5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w w:val="99"/>
              </w:rPr>
              <w:t>Total ViaSat, Inc. stockholders’ equity</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962,413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941,012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5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967,659</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2,056,280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3"/>
              </w:rPr>
              <w:t>July 4, 2014</w:t>
            </w: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7"/>
              </w:rPr>
              <w:t>June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5"/>
          </w:tcPr>
          <w:p>
            <w:pPr>
              <w:jc w:val="right"/>
              <w:ind w:right="213"/>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168,129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151,342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138,941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319,471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321,102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128,994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108,741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69,096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9,780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4,029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(8,629)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(3,451)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Net (loss) income attributable to the noncontrolling interest, net of tax</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ViaSat,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600" w:type="dxa"/>
            <w:vAlign w:val="bottom"/>
            <w:gridSpan w:val="2"/>
          </w:tcPr>
          <w:p>
            <w:pPr>
              <w:spacing w:after="0"/>
              <w:rPr>
                <w:sz w:val="20"/>
                <w:szCs w:val="20"/>
                <w:color w:val="auto"/>
              </w:rPr>
            </w:pPr>
            <w:r>
              <w:rPr>
                <w:rFonts w:ascii="Arial" w:cs="Arial" w:eastAsia="Arial" w:hAnsi="Arial"/>
                <w:sz w:val="18"/>
                <w:szCs w:val="18"/>
                <w:color w:val="auto"/>
              </w:rPr>
              <w:t>Basic net loss per share attributable to ViaSat, Inc.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ViaSat, Inc.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Shares used in computing basic net loss per share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46,528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loss per share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46,528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45,110</w:t>
            </w:r>
          </w:p>
        </w:tc>
        <w:tc>
          <w:tcPr>
            <w:tcW w:w="0" w:type="dxa"/>
            <w:vAlign w:val="bottom"/>
          </w:tcPr>
          <w:p>
            <w:pPr>
              <w:spacing w:after="0"/>
              <w:rPr>
                <w:sz w:val="1"/>
                <w:szCs w:val="1"/>
                <w:color w:val="auto"/>
              </w:rPr>
            </w:pPr>
          </w:p>
        </w:tc>
      </w:tr>
      <w:tr>
        <w:trPr>
          <w:trHeight w:val="430"/>
        </w:trPr>
        <w:tc>
          <w:tcPr>
            <w:tcW w:w="86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hedging, net of tax</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(5,722)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income attributable to the noncontrolling interest, net of tax</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attributable to ViaSat, Inc.</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(5,345)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4, 2014</w:t>
            </w: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39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(6,321)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43,126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(3,060)</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w w:val="96"/>
              </w:rPr>
              <w:t>Increase (decrease) in cash resulting from changes in operating assets and liabilities, net of effects of acquisitions: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(5,726)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(8,138)</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46,911</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(85,513)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(12,238)</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(56,545)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(154,296)</w:t>
            </w: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(87,206)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Proceeds from revolving credit facility borrowings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130,000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revolving credit facility borrowings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(30,000)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 related to tax withholdings for stock-based compensation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107,031</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58,347</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79,682</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Capital expenditures not paid for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882</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w w:val="89"/>
              </w:rPr>
              <w:t>ViaSat, Inc. Stockholders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00" w:type="dxa"/>
            <w:vAlign w:val="bottom"/>
            <w:tcBorders>
              <w:bottom w:val="single" w:sz="8" w:color="auto"/>
            </w:tcBorders>
            <w:gridSpan w:val="3"/>
          </w:tcPr>
          <w:p>
            <w:pPr>
              <w:ind w:left="360"/>
              <w:spacing w:after="0" w:line="129" w:lineRule="exact"/>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5"/>
          </w:tcPr>
          <w:p>
            <w:pPr>
              <w:jc w:val="right"/>
              <w:ind w:right="540"/>
              <w:spacing w:after="0" w:line="129" w:lineRule="exact"/>
              <w:rPr>
                <w:sz w:val="20"/>
                <w:szCs w:val="20"/>
                <w:color w:val="auto"/>
              </w:rPr>
            </w:pPr>
            <w:r>
              <w:rPr>
                <w:rFonts w:ascii="Arial" w:cs="Arial" w:eastAsia="Arial" w:hAnsi="Arial"/>
                <w:sz w:val="14"/>
                <w:szCs w:val="14"/>
                <w:b w:val="1"/>
                <w:bCs w:val="1"/>
                <w:color w:val="auto"/>
              </w:rPr>
              <w:t>Common Stock Held</w:t>
            </w: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2"/>
                <w:szCs w:val="12"/>
                <w:color w:val="auto"/>
              </w:rPr>
            </w:pPr>
          </w:p>
        </w:tc>
        <w:tc>
          <w:tcPr>
            <w:tcW w:w="72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8"/>
              </w:rPr>
              <w:t>Retained</w:t>
            </w:r>
          </w:p>
        </w:tc>
        <w:tc>
          <w:tcPr>
            <w:tcW w:w="11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Interest in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Issued</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4,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47,419,831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$776,452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$ 211,600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(1,190,572)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(49,358)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2,313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$946,635</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201,216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92"/>
              <w:spacing w:after="0"/>
              <w:rPr>
                <w:sz w:val="20"/>
                <w:szCs w:val="20"/>
                <w:color w:val="auto"/>
              </w:rPr>
            </w:pPr>
            <w:r>
              <w:rPr>
                <w:rFonts w:ascii="Arial" w:cs="Arial" w:eastAsia="Arial" w:hAnsi="Arial"/>
                <w:sz w:val="18"/>
                <w:szCs w:val="18"/>
                <w:color w:val="auto"/>
              </w:rPr>
              <w:t>4,263</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4,263</w:t>
            </w: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Purchase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3,528</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92"/>
              <w:spacing w:after="0"/>
              <w:rPr>
                <w:sz w:val="20"/>
                <w:szCs w:val="20"/>
                <w:color w:val="auto"/>
              </w:rPr>
            </w:pPr>
            <w:r>
              <w:rPr>
                <w:rFonts w:ascii="Arial" w:cs="Arial" w:eastAsia="Arial" w:hAnsi="Arial"/>
                <w:sz w:val="18"/>
                <w:szCs w:val="18"/>
                <w:color w:val="auto"/>
              </w:rPr>
              <w:t>9,136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9,136</w:t>
            </w: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settlement of</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accrued employee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10,194</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RSU awards vesting</w:t>
            </w:r>
          </w:p>
        </w:tc>
        <w:tc>
          <w:tcPr>
            <w:tcW w:w="860" w:type="dxa"/>
            <w:vAlign w:val="bottom"/>
          </w:tcPr>
          <w:p>
            <w:pPr>
              <w:jc w:val="right"/>
              <w:spacing w:after="0"/>
              <w:rPr>
                <w:sz w:val="20"/>
                <w:szCs w:val="20"/>
                <w:color w:val="auto"/>
              </w:rPr>
            </w:pPr>
            <w:r>
              <w:rPr>
                <w:rFonts w:ascii="Arial" w:cs="Arial" w:eastAsia="Arial" w:hAnsi="Arial"/>
                <w:sz w:val="18"/>
                <w:szCs w:val="18"/>
                <w:color w:val="auto"/>
              </w:rPr>
              <w:t>20,438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pursuant to vesting of certain</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 agreements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held in treasury</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(1,197,363)</w:t>
            </w:r>
          </w:p>
        </w:tc>
        <w:tc>
          <w:tcPr>
            <w:tcW w:w="1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32"/>
              <w:spacing w:after="0"/>
              <w:rPr>
                <w:sz w:val="20"/>
                <w:szCs w:val="20"/>
                <w:color w:val="auto"/>
              </w:rPr>
            </w:pPr>
            <w:r>
              <w:rPr>
                <w:rFonts w:ascii="Arial" w:cs="Arial" w:eastAsia="Arial" w:hAnsi="Arial"/>
                <w:sz w:val="18"/>
                <w:szCs w:val="18"/>
                <w:color w:val="auto"/>
              </w:rPr>
              <w:t>(49,733)</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1,197,363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49,733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(6,321)</w:t>
            </w: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599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4,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46,696,258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753,840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205,656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2,912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967,659</w:t>
            </w: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accompanying condensed consolidated balance sheet at July 4, 2014, the condensed consolidated statements of operations and comprehensive income (loss) for the three months ended July 4, 2014 and June 28, 2013, the condensed consolidated statements of cash flows for the three months ended July 4, 2014 and June 28, 2013 and the condensed consolidated statement of equity for the three months ended July 4, 2014 have been prepared by the management of ViaSat, Inc. (also referred to hereafter as the Company or ViaSat), and have not been audited. These financial statements have been prepared on the same basis as the audited consolidated financial statements for the fiscal year ended April 4, 2014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4, 2014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Company’s fiscal year is the 52 or 53 weeks ending on the Friday closest to March 31 of the specified year. For example, references to fiscal year 2015 refer to the fiscal year ending on April 3, 2015. The Company’s quarters for fiscal year 2015 end on July 4, 2014, October 3, 2014, January 2, 2015 and April 3, 2015. This results in a 53 week fiscal year approximately every four to five years. Fiscal year 2015 is a 52 week year, compared with a 53 week year in fiscal year</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2014. As a result of the shift in the fiscal calendar, the second quarter of fiscal year 2014 included an additional week. The Company does not believe that the extra week results in any material impact on its financial results.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fiscal year 2015, the Company completed the acquisition of NetNearU Corp. (NetNearU), a privately held Delaware corporation. During the first quarter of fiscal year 2014, the Company completed the acquisition of LonoCloud, Inc. (LonoCloud), an early-stage privately held company. These acquisitions were accounted for as purchases and, accordingly, the condensed consolidated financial statements include the operating results of NetNearU and LonoCloud from the dates of acquisition (see Note 10).</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July 4, 2014 and June 28, 2013, the Company recorded losses of approximately $0.1 million and $0.4 million, respectively, related to loss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July 4, 2014 and April 4, 2014, the Company had $6.7 million in contract-related reserves for its estimate of potential refunds to customers for potential cost adjustments on several multi-year U.S. government cost reimbursable contracts (see Note 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(SG&amp;A). Advertising expenses for the three months ended July 4, 2014 and June 28, 2013 were $2.3 million and $2.9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$3.1 million and $0.9 million of interest expense during the three months ended July 4, 2014 and June 28, 2013, respectively.</w:t>
      </w:r>
    </w:p>
    <w:p>
      <w:pPr>
        <w:spacing w:after="0" w:line="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owns two satellites: ViaSat-1 (its first high-capacity Ka-band spot-beam satellite, which was placed into service in January 2012) and WildBlue-1 (which was placed into service in March 2007). In May 2013,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customer premise equipment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July 4, 2014 were $222.0 million and $86.9 million, respectively. The total cost and accumulated depreciation of CPE units included in property and equipment, net, as of April 4, 2014 were $221.0 million and $79.8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July 4, 2014 and April 4, 2014. The Company had capitalized costs of $14.8 million and $13.5 million related to acquiring and obtaining orbital slots and other licenses included in other assets as of July 4, 2014 and April 4, 2014, respectively. Accumulated amortization related to these assets was approximately $1.0 million as of July 4, 2014 and April 4, 2014. Amortization expense related to these assets was an insignificant amount for the three months ended July 4, 2014 and June 28, 2013. If a patent, orbital slot or orbital license is rejected, abandoned or otherwise invalidated, the unamortized cost is expensed in that period. During the three months ended July 4, 2014 and June 28, 2013, the Company did not write off any significant costs due to abandonment or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During the three months ended July 4, 2014 and June 28, 2013, no amounts were paid and capitalized for debt issuance costs.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$97.3 million and $91.0 million related to software developed for resale were included in other assets as of July 4, 2014 and April 4, 2014, respectively. The Company capitalized $10.7 million and $6.4 million of costs related to software developed for resale for the three months ended July 4, 2014 and June 28, 2013, respectively. Amortization expense for software development costs was $4.4 million and $2.4 million for the three months ended July 4, 2014 and June 28, 2013,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$3.5 million as of July 4, 2014 and April 4, 2014,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July 4, 2014 and April 4, 2014, no such amounts were accrued related to the aforementioned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first three months of fiscal years 2015 and 2014, the Company issued 20,438 and 9,688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6,791 and 3,813 shares of common stock with a total value of $0.4 million and $0.3 million during the first three months of fiscal years 2015 and 2014,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fiscal year 2015, the Company retired 1,197,363 shares of treasury stock with a total value of $49.7 million. These shares remain as authorized stock; however they are now considered to be unissued. This treasury stock retirement resulted in a decrease in common stock held in treasury and in paid-in capital of $49.7 million in the Company’s condensed consolidated balance sheet. The retirement of treasury stock had no impact on the Company’s total consolidated stockholders’ equity.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repurchased shares of common stock and 1,190,572 repurchased shares of common stock were held in treasury as of July 4, 2014 and April 4, 2014,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three months ended July 4, 2014 and June 28, 2013, the Company settled certain foreign exchange contracts and in connection therewith recognized a gain of less than $0.1 million and recognized a loss of less than $0.1 million, respectively, recorded in cost of revenues based on the nature of the underlying transactions. The fair value of the Company’s foreign currency forward contracts was an other current asset of less than $0.1 million at July 4, 2014 and April 4, 2014. The notional value of foreign currency forward contracts outstanding as of July 4, 2014 and April 4, 2014 was $3.2 million and $3.3 million, respectively.</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At July 4, 2014, the estimated net amount of unrealized gains or losses related to foreign currency forward contracts that was expected to be reclassified to earnings within the next twelve months was less than $0.1 million. The Company’s foreign currency forward contracts outstanding as of July 4, 2014 will mature within thirteen to eighteen months from their inception. There were no gains or losses from ineffectiveness of these derivative instruments recorded for the three months ended July 4, 2014 and June 28,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months ended July 4, 2014 and June 28, 2013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$8.9 million and $7.5 million of stock-based compensation expense for the three months ended July 4, 2014 and June 28, 2013, respectively.</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July 4, 2014 and June 28, 2013,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three months ended July 4, 2014 and the fiscal years ended April 4, 2014 and March 29, 2013.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became effective for the Company beginning in the first quarter of fiscal year 2015 and the authoritative guidance did not have a material impact on the Company’s consolidated financial statements and disclosures.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Carryforward, a Similar Tax Loss, or a Tax Credit Carryforward Exists</w:t>
      </w:r>
      <w:r>
        <w:rPr>
          <w:rFonts w:ascii="Arial" w:cs="Arial" w:eastAsia="Arial" w:hAnsi="Arial"/>
          <w:sz w:val="16"/>
          <w:szCs w:val="16"/>
          <w:i w:val="1"/>
          <w:iCs w:val="1"/>
          <w:color w:val="auto"/>
        </w:rPr>
        <w:t>.</w:t>
      </w:r>
      <w:r>
        <w:rPr>
          <w:rFonts w:ascii="Arial" w:cs="Arial" w:eastAsia="Arial" w:hAnsi="Arial"/>
          <w:sz w:val="16"/>
          <w:szCs w:val="16"/>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became effective for the Company beginning in the first quarter of fiscal year 2015 and the authoritative guidance did not have a material impact on the Company’s consolidated financial statements and disclosures.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These amendments will become effective prospectively for the Company beginning in fiscal year 2016, with early adoption permitted. The adoption of this standard is not expected to have a material impact on the Company’s consolidated financial statements and disclosures.</w:t>
      </w:r>
    </w:p>
    <w:p>
      <w:pPr>
        <w:spacing w:after="0" w:line="11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the first quarter of fiscal year 2018, including interim periods within that reporting period. Early application is not permitted, but the guidance permits the use of either the retrospective or cumulative effect transition method. The Company has not selected a transition method and the Company is currently evaluating the impact this guidance will have on its consolidated financial statements and disclosures.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July 4, 2014</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Billed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131,010</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129,794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149,755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143,651</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279,148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271,891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42,786</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22,279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128,567</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119,601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36,477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41,341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40,681</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195,890</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195,890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363,204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363,204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 ViaSat-2 (under construction)</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187,643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845,827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804,794</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(186,673)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(173,958)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659,154</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630,836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Equipment and software (estimated useful life of 2-7 years)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468,028</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452,197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CPE leased equipment (estimated useful life of 4-5 years)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222,037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221,017</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62,159</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797,985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781,752</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(383,424)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(360,086)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414,561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421,666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57,084</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88,853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7 years)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191,553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166,537</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(135,447)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(131,140)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56,106</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97,316</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91,022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114,282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110,711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267,511</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256,968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240" w:top="459" w:right="6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82,937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69,127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24,249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22,550</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Current portion of other long-term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shd w:val="clear" w:color="auto" w:fill="CCEEFF"/>
          </w:tcPr>
          <w:p>
            <w:pPr>
              <w:spacing w:after="0"/>
              <w:rPr>
                <w:sz w:val="18"/>
                <w:szCs w:val="18"/>
                <w:color w:val="auto"/>
              </w:rPr>
            </w:pPr>
          </w:p>
        </w:tc>
      </w:tr>
      <w:tr>
        <w:trPr>
          <w:trHeight w:val="222"/>
        </w:trPr>
        <w:tc>
          <w:tcPr>
            <w:tcW w:w="8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166,665</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175,974</w:t>
            </w:r>
          </w:p>
        </w:tc>
        <w:tc>
          <w:tcPr>
            <w:tcW w:w="10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Deferred revenue, long-term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Warranty reserve, long-term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hierarchy for its assets and liabilities measured at fair value on a recurring basis as of July 4, 2014 and April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July 4, 2014</w:t>
            </w:r>
          </w:p>
        </w:tc>
        <w:tc>
          <w:tcPr>
            <w:tcW w:w="54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Level 1</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142"/>
        </w:trPr>
        <w:tc>
          <w:tcPr>
            <w:tcW w:w="6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1,337</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$1,337</w:t>
            </w:r>
          </w:p>
        </w:tc>
        <w:tc>
          <w:tcPr>
            <w:tcW w:w="48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1,388</w:t>
            </w:r>
          </w:p>
        </w:tc>
        <w:tc>
          <w:tcPr>
            <w:tcW w:w="15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0"/>
        </w:trPr>
        <w:tc>
          <w:tcPr>
            <w:tcW w:w="6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65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65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April 4, 2014</w:t>
            </w:r>
          </w:p>
        </w:tc>
        <w:tc>
          <w:tcPr>
            <w:tcW w:w="54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Level 1</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142"/>
        </w:trPr>
        <w:tc>
          <w:tcPr>
            <w:tcW w:w="6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$2,087</w:t>
            </w:r>
          </w:p>
        </w:tc>
        <w:tc>
          <w:tcPr>
            <w:tcW w:w="48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15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2,087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45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(the Credit Facility), reported at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borrowings, and $575.0 million in aggregate principal amount of 2020 Notes reported at amortized cost. However, for disclosure purposes, the Company is required to measure the fair value of outstanding debt on a recurring basis. As of July 4, 2014 and April 4, 2014, the fair value of the Company’s outstanding long-term debt related to the 2020 Notes was determined using quoted prices in active markets (Level 1) and was approximately $622.4 million and $616.7 million, respectively. The fair value of the Company’s long-term debt related to the Credit Facility approximates its carrying amount due to the variable interest rate on the revolving line of credit, which approximates a market interest rate.</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July 4, 2014 and April 4, 2014, the Company’s estimated satellite performance incentives obligation and accrued interest was $22.5 million and $22.6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Per Share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weighted average number of shares used to calculate basic and diluted net loss per share attributable to ViaSat, Inc. common stockholders is the same for both the three months ended July 4, 2014 and June 28, 2013, as the Company incurred a net loss attributable to ViaSat, Inc. common stockholders in such periods and inclusion of potential common stock would be antidilutive. Potential common stock excluded from the calculation for the three months ended July 4, 2014 were 910,338 shares relating to stock options, 458,801 shares relating to restricted stock units and 165,341 shares relating to certain terms of the ViaSat 401(k) Profit Sharing Plan and Employee Stock Purchase Plan. Potential common stock excluded from the calculation for the three months ended June 28, 2013 were 880,132 shares relating to stock options, 576,238 shares relating to restricted stock units and 139,793 shares relating to certain terms of the ViaSat 401(k) Profit Sharing Plan and Employee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first three months of fiscal year 2015, the Company’s goodwill increased by approximately $34.3 million, of which $34.1 million was related to the acquisition of NetNearU recorded within the Company’s government systems segment. The remaining change related to the effect of foreign currency translation recorded within the Company’s government systems and commercial networks segments.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which is not materially different from the economic benefit method. Amortization expense related to other acquired intangible assets was $4.0 million and $3.5 million for the three months ended July 4, 2014 and June 28, 2013, respectively.</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4, 2014</w:t>
            </w:r>
          </w:p>
        </w:tc>
        <w:tc>
          <w:tcPr>
            <w:tcW w:w="35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2015</w:t>
            </w: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300" w:type="dxa"/>
            <w:vAlign w:val="bottom"/>
            <w:vMerge w:val="restart"/>
          </w:tcPr>
          <w:p>
            <w:pPr>
              <w:jc w:val="right"/>
              <w:ind w:right="2772"/>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July 4, 2014 and April 4, 2014:</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July 4, 2014</w:t>
            </w:r>
          </w:p>
        </w:tc>
        <w:tc>
          <w:tcPr>
            <w:tcW w:w="1440" w:type="dxa"/>
            <w:vAlign w:val="bottom"/>
            <w:gridSpan w:val="4"/>
          </w:tcPr>
          <w:p>
            <w:pPr>
              <w:ind w:left="58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4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2020 Notes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$ 575,000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1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583,567</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1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583,567</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207,615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205,832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791,182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$ 789,399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July 4, 2014, the Company’s Credit Facility provided a $500.0 million revolving line of credit (including up to $150.0 million of letters of credit), with a maturity date of November 26, 2018.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July 4, 2014, the weighted average effective interest rate on the Company’s outstanding borrowings under the Credit Facility was 2.16%.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As of July 4, 2014, none of the Company’s subsidiaries guaranteed the Credit Facility.</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July 4, 2014. At July 4, 2014, the Company had $205.0 million in principal amount of outstanding borrowings under the Credit Facility and $39.5 million outstanding under standby letters of credit, leaving borrowing availability under the Credit Facility as of July 4, 2014 of $255.5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(the SEC). These initial 2020 Notes were issued at face value and are recorded as long-term debt in the Company’s condensed consolidated financial statements. On October 12,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w:t>
      </w:r>
    </w:p>
    <w:p>
      <w:pPr>
        <w:spacing w:after="0" w:line="14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July 4, 2014,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July 4, 2014 and June 28, 2013:</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4"/>
                <w:szCs w:val="14"/>
                <w:b w:val="1"/>
                <w:bCs w:val="1"/>
                <w:color w:val="auto"/>
                <w:w w:val="89"/>
              </w:rPr>
              <w:t>Three Months Ended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4, 2014</w:t>
            </w:r>
          </w:p>
        </w:tc>
        <w:tc>
          <w:tcPr>
            <w:tcW w:w="112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83"/>
              </w:rPr>
              <w:t>June 28, 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center"/>
              <w:ind w:left="25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17,023</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(1,508)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16,895</w:t>
            </w:r>
          </w:p>
        </w:tc>
        <w:tc>
          <w:tcPr>
            <w:tcW w:w="38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424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February 2012, the Company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The Company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the Company voluntarily dismissed its claims against SS/L under U.S. Patent No. 7,773,942.</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June 15, 2012, SS/L filed counterclaims against the Company for patent infringement and declaratory relief. Specifically, SS/L sought a declaration that SS/L did not breach the parties’ contract for the manufacture of ViaSat-1, that SS/L did not infringe the Company’s patents described above, and that those patents are invalid and/or unenforceable. SS/L also alleged that the Company infringed U.S. Patent Nos. 6,879,808, 6,400,696 and 7,219,132. On November 13, 2013, the Court granted summary judgment of non-infringement of U.S. Patent No. 6,879,808 in favor of ViaSat. On December 17, 2013, SS/L dismissed its claims against ViaSat under U.S. Patent No. 7,219,132.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24, 2014, a federal court jury returned a verdict in favor of the Company, finding that ViaSat’s patents are valid, SS/L infringed all of ViaSat’s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patents, and SS/L breached the parties’ non-disclosure agreement and the manufacturing contract for the ViaSat-1 satellite. The jury awarded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$283.0 million in damages for patent infringement and breach of contract. During the trial, SS/L chose not to pursue its claim against the Company for infringing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No. 6,400,696. The Company intends to seek a judgment of non-infringement from the court with respect to that patent.</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Following the trial, SS/L filed a number of motions to set aside the damages award, challenging the Company’s legal basis for damages and asking the Court to invalidate the Company’s patents as well as reverse the jury’s finding that SS/L breached the parties’ contracts and infringed all of the Company’s patents. The Company also filed a motion for a permanent injunction preventing SS/L from continuing to infringe the Company’s patents and using the Company’s intellectual property.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Subsequent to the fiscal quarter end, in August 2014, the Court upheld the jury’s findings that SS/L breached the parties’ contracts and infringed the Company’s patents. However, the Court ordered a new jury trial on the amount of damages resulting from SS/L’s breach and infringement. The damages retrial is currently scheduled for November 12, 2014. The Court’s liability and damages rulings are subject to appeal. In addition, the Court set a hearing on the Company’s motion for permanent injunction for August 26, 2014.</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5, 2013, the Company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The Company alleges, among other things, that SS/L infringed U.S. Patent Nos. 7,230,908, 7,684,368, 8,213,929, 8,254,832, 8,285,202 and 8,548,377 by making, using, offering to sell and/or selling other high-capacity broadband satellites. The Company has requested monetary damages, injunctive relief and other remedies.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ectPr>
          <w:pgSz w:w="11900" w:h="16838" w:orient="portrait"/>
          <w:cols w:equalWidth="0" w:num="1">
            <w:col w:w="11420"/>
          </w:cols>
          <w:pgMar w:left="240" w:top="459" w:right="239" w:bottom="1440" w:gutter="0" w:footer="0" w:header="0"/>
        </w:sectPr>
      </w:pPr>
    </w:p>
    <w:bookmarkStart w:id="19" w:name="page20"/>
    <w:bookmarkEnd w:id="19"/>
    <w:p>
      <w:pPr>
        <w:ind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Company’s estimates, its profitability would be adversely affected. As of July 4, 2014 and April 4, 2014, the Company had $6.7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The Company’s effective tax rate is highly influenced by the amount of its state research and development tax credits. A small change in estimated annual pretax income (loss) can produce a significant variance in the annual effective tax rate given the Company’s expected amount of state research and development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July 4, 2014 by applying the actual effective tax rate to the year-to-date income for the three-month period.</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The Company’s analysis of the need for a valuation allowance on deferred tax assets considered the losses incurred during the three months ended July 4, 2014 and the fiscal years ended April 4, 2014 and March 29, 2013. In fiscal year 2013, the Company recorded a significant loss, a substantial portion of which resulted from an extinguishment of debt charge that was recorded upon the refinancing of the Company’s former 2016 Notes with the proceeds from the 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Based on the Company’s analysis of the need for a valuation allowance on deferred tax assets, the Company added $0.7 million to the valuation allowance on state net operating loss carryforwards and research and development credit carryforwards available to reduce state income taxes during the first three months of fiscal year 2015.</w:t>
      </w:r>
    </w:p>
    <w:p>
      <w:pPr>
        <w:spacing w:after="0" w:line="12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For the three months ended July 4, 2014, the Company’s gross unrecognized tax benefits increased by $0.6 million. In the next twelve months it is reasonably possible that the amount of unrecognized tax benefits will not change significantly.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On June 6, 2014, the Company completed the acquisition of all outstanding shares of NetNearU. The purchase price for NetNearU is estimated to be approximately $59.9 million in cash consideration (subject to certain minor working capital post-closing adjustments). The preliminary net cash outlay for the acquisition, after taking into account estimated cash acquired of $4.1 million, was approximately $55.8 million.</w:t>
      </w:r>
    </w:p>
    <w:p>
      <w:pPr>
        <w:spacing w:after="0" w:line="10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$0.4 million, all of which were incurred and recorded in SG&amp;A expenses in the three months ended July 4, 2014.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preliminary estimated purchase price allocation of the acquired assets and assumed liabilities based on the estimated fair values as of June 6, 2014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Estimated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Preliminary</w:t>
            </w:r>
          </w:p>
        </w:tc>
        <w:tc>
          <w:tcPr>
            <w:tcW w:w="7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1"/>
              </w:rPr>
              <w:t>fair value</w:t>
            </w:r>
          </w:p>
        </w:tc>
        <w:tc>
          <w:tcPr>
            <w:tcW w:w="7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3"/>
          </w:tcPr>
          <w:p>
            <w:pPr>
              <w:ind w:left="2000"/>
              <w:spacing w:after="0"/>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life</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Trade name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intangible assets acquired in the NetNearU business combination were determined, in accordance with the authoritative guidance for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combinations, based on the estimated fair values using valuation techniques consistent with the market approach and/or income approach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useful lives were estimated based on the underlying agreements and/or the future economic benefit expected to be received from the assets.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0"/>
          <w:szCs w:val="10"/>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 The purchase price allocation is preliminary due to pending resolution of certain NetNearU tax attributes.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(losses) profits for the three months ended July 4, 2014 and June 28, 2013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July 4,</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5"/>
              </w:rPr>
              <w:t>June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109,685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109,715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117,528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319,471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321,102</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Operating (losses) profits:</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before corporate and amortization of acquired 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(Loss) income from operations</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jc w:val="right"/>
              <w:ind w:right="2052"/>
              <w:spacing w:after="0"/>
              <w:rPr>
                <w:sz w:val="20"/>
                <w:szCs w:val="20"/>
                <w:color w:val="auto"/>
              </w:rPr>
            </w:pPr>
            <w:r>
              <w:rPr>
                <w:rFonts w:ascii="Arial" w:cs="Arial" w:eastAsia="Arial" w:hAnsi="Arial"/>
                <w:sz w:val="18"/>
                <w:szCs w:val="18"/>
                <w:color w:val="auto"/>
              </w:rPr>
              <w:t>22</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9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July 4, 2014 and April 4, 2014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July 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April 4,</w:t>
            </w: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77,543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258,356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1,475,210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1,450,430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2,056,280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1,960,115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July 4, 2014 and April 4, 2014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Other Acquired Intangible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1"/>
              </w:rPr>
              <w:t>Assets, Net</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Goodwill</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w w:val="91"/>
              </w:rPr>
              <w:t>As 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59"/>
              <w:spacing w:after="0" w:line="129" w:lineRule="exact"/>
              <w:rPr>
                <w:sz w:val="20"/>
                <w:szCs w:val="20"/>
                <w:color w:val="auto"/>
              </w:rPr>
            </w:pPr>
            <w:r>
              <w:rPr>
                <w:rFonts w:ascii="Arial" w:cs="Arial" w:eastAsia="Arial" w:hAnsi="Arial"/>
                <w:sz w:val="14"/>
                <w:szCs w:val="14"/>
                <w:b w:val="1"/>
                <w:bCs w:val="1"/>
                <w:color w:val="auto"/>
                <w:w w:val="97"/>
              </w:rPr>
              <w:t>As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r>
      <w:tr>
        <w:trPr>
          <w:trHeight w:val="161"/>
        </w:trPr>
        <w:tc>
          <w:tcPr>
            <w:tcW w:w="58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July 4, 2014</w:t>
            </w:r>
          </w:p>
        </w:tc>
        <w:tc>
          <w:tcPr>
            <w:tcW w:w="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April 4, 2014</w:t>
            </w:r>
          </w:p>
        </w:tc>
        <w:tc>
          <w:tcPr>
            <w:tcW w:w="2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July 4, 2014</w:t>
            </w:r>
          </w:p>
        </w:tc>
        <w:tc>
          <w:tcPr>
            <w:tcW w:w="5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April 4, 2014</w:t>
            </w: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76"/>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26,166</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28,931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2,552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44,148</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27,388</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56,106</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35,397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117,930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83,627</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by segment for the three months ended July 4, 2014 and June 28, 2013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1"/>
              </w:rPr>
              <w:t>July 4, 2014</w:t>
            </w:r>
          </w:p>
        </w:tc>
        <w:tc>
          <w:tcPr>
            <w:tcW w:w="1520" w:type="dxa"/>
            <w:vAlign w:val="bottom"/>
            <w:tcBorders>
              <w:bottom w:val="single" w:sz="8" w:color="auto"/>
            </w:tcBorders>
            <w:gridSpan w:val="3"/>
          </w:tcPr>
          <w:p>
            <w:pPr>
              <w:ind w:left="720"/>
              <w:spacing w:after="0" w:line="142" w:lineRule="exact"/>
              <w:rPr>
                <w:sz w:val="20"/>
                <w:szCs w:val="20"/>
                <w:color w:val="auto"/>
              </w:rPr>
            </w:pPr>
            <w:r>
              <w:rPr>
                <w:rFonts w:ascii="Arial" w:cs="Arial" w:eastAsia="Arial" w:hAnsi="Arial"/>
                <w:sz w:val="14"/>
                <w:szCs w:val="14"/>
                <w:b w:val="1"/>
                <w:bCs w:val="1"/>
                <w:color w:val="auto"/>
                <w:w w:val="85"/>
              </w:rPr>
              <w:t>June 28, 2013</w:t>
            </w:r>
          </w:p>
        </w:tc>
        <w:tc>
          <w:tcPr>
            <w:tcW w:w="10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left="17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2,765</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4,029</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3,501</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96"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John Stenbit, a director of the Company since August 2004, also serves on the board of directors of Loral. Telesat Canada is an entity owned by TeleSat Holdings, Inc., a joint venture between Loral and the Public Sector Pension Investment Board. From time to time, the Company enters into various contracts in the ordinary course of business with Telesat Canada. These contracts are substantially the same as disclosed in the most recent Annual Report on Form 10-K.</w:t>
      </w: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4, 2014,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During the first quarter of fiscal year 2015, we completed the acquisition of NetNearU Corp. (NetNearU), a privately held Delaware corporation. NetNearU has developed a comprehensive network management system for WiFi and other Internet access networks that we expect to use to extend our Exede</w:t>
      </w:r>
      <w:r>
        <w:rPr>
          <w:rFonts w:ascii="Arial" w:cs="Arial" w:eastAsia="Arial" w:hAnsi="Arial"/>
          <w:sz w:val="10"/>
          <w:szCs w:val="10"/>
          <w:color w:val="auto"/>
        </w:rPr>
        <w:t>®</w:t>
      </w:r>
      <w:r>
        <w:rPr>
          <w:rFonts w:ascii="Arial" w:cs="Arial" w:eastAsia="Arial" w:hAnsi="Arial"/>
          <w:sz w:val="15"/>
          <w:szCs w:val="15"/>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The purchase price for NetNearU is estimated to be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$59.9 million in cash consideration (subject to certain minor working capital post-closing adjustments).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providers. In May 2013, we entered into a satellite construction contract for ViaSat-2, our second high-capacity Ka-band satellite.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2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small businesses under the Exede and WildBlue brands, which provide two-way satelllite-based broadband internet access and Voice over Internet Protocol (VoIP). As of July 4, 2014, we provided broadband satellite services to approximately 641,000 subscribers.</w:t>
      </w:r>
    </w:p>
    <w:p>
      <w:pPr>
        <w:spacing w:after="0" w:line="59"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broadband serves,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2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8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and global mobile broadband capability, and include products designed for manpacks, aircraft, unmanned aerial vehicles (UAVs), seagoing vessels, ground mobile vehicles and fixed applications.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0"/>
          <w:szCs w:val="10"/>
          <w:color w:val="auto"/>
        </w:rPr>
        <w:t>®</w:t>
      </w:r>
      <w:r>
        <w:rPr>
          <w:rFonts w:ascii="Arial" w:cs="Arial" w:eastAsia="Arial" w:hAnsi="Arial"/>
          <w:sz w:val="16"/>
          <w:szCs w:val="16"/>
          <w:color w:val="auto"/>
        </w:rPr>
        <w:t>)-compliant encryption solutions that enable military and government users to communicate information securely over networks, and that secure data stored on computers and storage devices.</w:t>
      </w:r>
    </w:p>
    <w:p>
      <w:pPr>
        <w:spacing w:after="0" w:line="25"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89% and 93% of our total revenues for these segments for the three months ended July 4, 2014 and June 28, 2013,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27% of our total revenues in the three months ended July 4, 2014 and June 28, 2013.</w:t>
      </w:r>
    </w:p>
    <w:p>
      <w:pPr>
        <w:spacing w:after="0" w:line="9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and 4% of total revenues during the three months ended July 4, 2014 and June 28, 2013, respectively. As a government contractor, we are able to recover a portion of our IR&amp;D expenses pursuant to our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percentage-of-completion method of accounting requires management to estimate the profit margin for each individual contract and to apply that profit margin on a uniform basis as sales are recorded under the contract. The estimation of profit margins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July 4, 2014 and June 28, 2013, we recorded losses of approximately $0.1 million and $0.4 million, respectively, related to loss contracts.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July 4, 2014 would change our loss before income taxes by approximately $0.6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July 4, 2014 and June 28, 2013.</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Furthermore, in addition to the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the future revenue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operating costs, based primarily on existing firm orders, expected future orders, contracts with suppliers, labor resources and general market conditions. Based on a quantitative analysis for fiscal year 2014, we concluded that estimated fair values of our reporting units significantly exceed their respective carrying value.</w:t>
      </w:r>
    </w:p>
    <w:p>
      <w:pPr>
        <w:spacing w:after="0" w:line="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2014, we concluded that it was more likely than not that the estimated fair value of our reporting units exceeded its carrying value as of April 4, 2014 and, therefore, determined it was not necessary to perform step two of the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$12.8 million at April 4, 2014 to $13.5 million at July 4, 2014. The valuation allowance primarily relates to state net operating loss carryforwards and research and development credit carryforwards available to reduce state income taxes.</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Our analysis of the need for a valuation allowance on deferred tax assets considered the losses incurred during the three months ended July 4, 2014 and the fiscal years ended April 4, 2014 and March 29, 2013. In fiscal year 2013, we recorded a significant loss, a substantial portion of which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The loss from fiscal year 2014 was less significant and substantial portion of that loss related to legal expense focused on protesting and extending our technology advantages.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 Based on our analysis of the need for a valuation allowance on deferred tax assets, we added $0.7 million to the valuation allowance on state net operating loss carryforwards and research and development credit carryforwards available to reduce state income taxes during the first three months of fiscal year 2015.</w:t>
      </w:r>
    </w:p>
    <w:p>
      <w:pPr>
        <w:spacing w:after="0" w:line="10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91"/>
              </w:rPr>
              <w:t>July 4,</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ViaSat, Inc.</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4, 2014 vs. Three Months Ended June 28,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tcPr>
          <w:p>
            <w:pPr>
              <w:spacing w:after="0"/>
              <w:rPr>
                <w:sz w:val="11"/>
                <w:szCs w:val="11"/>
                <w:color w:val="auto"/>
              </w:rPr>
            </w:pPr>
          </w:p>
        </w:tc>
        <w:tc>
          <w:tcPr>
            <w:tcW w:w="10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July 4,</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52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88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$ 168.1</w:t>
            </w:r>
          </w:p>
        </w:tc>
        <w:tc>
          <w:tcPr>
            <w:tcW w:w="5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$ 182.2</w:t>
            </w: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43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151.3</w:t>
            </w:r>
          </w:p>
        </w:tc>
        <w:tc>
          <w:tcPr>
            <w:tcW w:w="540" w:type="dxa"/>
            <w:vAlign w:val="bottom"/>
          </w:tcPr>
          <w:p>
            <w:pPr>
              <w:jc w:val="right"/>
              <w:spacing w:after="0"/>
              <w:rPr>
                <w:sz w:val="20"/>
                <w:szCs w:val="20"/>
                <w:color w:val="auto"/>
              </w:rPr>
            </w:pPr>
            <w:r>
              <w:rPr>
                <w:rFonts w:ascii="Arial" w:cs="Arial" w:eastAsia="Arial" w:hAnsi="Arial"/>
                <w:sz w:val="18"/>
                <w:szCs w:val="18"/>
                <w:color w:val="auto"/>
              </w:rPr>
              <w:t>138.9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$ 319.5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$ 321.1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total revenues decreased by $1.6 million as a result of the $14.0 million decrease in product revenues, offset by the $12.4 million increase in service revenues. The product revenue decrease was comprised primarily of $10.8 million in our government systems segment and $3.2 million in our commercial networks segment. The service revenue increase was comprised primarily of $23.9 million in our satellite services segment, offset by a decrease of $9.5 million in our government systems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tcPr>
          <w:p>
            <w:pPr>
              <w:spacing w:after="0"/>
              <w:rPr>
                <w:sz w:val="11"/>
                <w:szCs w:val="11"/>
                <w:color w:val="auto"/>
              </w:rPr>
            </w:pPr>
          </w:p>
        </w:tc>
        <w:tc>
          <w:tcPr>
            <w:tcW w:w="10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July 4,</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520" w:type="dxa"/>
            <w:vAlign w:val="bottom"/>
          </w:tcPr>
          <w:p>
            <w:pPr>
              <w:spacing w:after="0"/>
              <w:rPr>
                <w:sz w:val="11"/>
                <w:szCs w:val="11"/>
                <w:color w:val="auto"/>
              </w:rPr>
            </w:pPr>
          </w:p>
        </w:tc>
        <w:tc>
          <w:tcPr>
            <w:tcW w:w="114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88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$ 129.0</w:t>
            </w:r>
          </w:p>
        </w:tc>
        <w:tc>
          <w:tcPr>
            <w:tcW w:w="5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$ 129.4</w:t>
            </w: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3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108.7</w:t>
            </w:r>
          </w:p>
        </w:tc>
        <w:tc>
          <w:tcPr>
            <w:tcW w:w="540" w:type="dxa"/>
            <w:vAlign w:val="bottom"/>
          </w:tcPr>
          <w:p>
            <w:pPr>
              <w:jc w:val="right"/>
              <w:spacing w:after="0"/>
              <w:rPr>
                <w:sz w:val="20"/>
                <w:szCs w:val="20"/>
                <w:color w:val="auto"/>
              </w:rPr>
            </w:pPr>
            <w:r>
              <w:rPr>
                <w:rFonts w:ascii="Arial" w:cs="Arial" w:eastAsia="Arial" w:hAnsi="Arial"/>
                <w:sz w:val="18"/>
                <w:szCs w:val="18"/>
                <w:color w:val="auto"/>
              </w:rPr>
              <w:t>105.9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$ 237.7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$ 235.3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Cost of revenues grew by $2.4 million primarily due to an increase in cost of service revenues of $2.8 million. The cost of service revenues increase was primarily due to increased service revenues, which would have caused a $9.5 million increase in cost of service revenues on a constant margin basis. This increase mainly related to our expansion of Exede broadband services in our satellite services segment. However, as our Exede subscribers have continued to grow and related revenues scale, we have experienced improved margins from our broadband services in our satellite services segment offsetting the cost of service revenue growth. Our government systems segment also experienced improved margins primarily attributable to government satellite communication systems as some of the fixed costs decreased.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40" w:type="dxa"/>
            <w:vAlign w:val="bottom"/>
            <w:vMerge w:val="restart"/>
          </w:tcPr>
          <w:p>
            <w:pPr>
              <w:spacing w:after="0"/>
              <w:rPr>
                <w:sz w:val="11"/>
                <w:szCs w:val="11"/>
                <w:color w:val="auto"/>
              </w:rPr>
            </w:pPr>
          </w:p>
        </w:tc>
        <w:tc>
          <w:tcPr>
            <w:tcW w:w="10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July 4,</w:t>
            </w:r>
          </w:p>
        </w:tc>
        <w:tc>
          <w:tcPr>
            <w:tcW w:w="6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2"/>
              </w:rPr>
              <w:t>June 28,</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460" w:type="dxa"/>
            <w:vAlign w:val="bottom"/>
          </w:tcPr>
          <w:p>
            <w:pPr>
              <w:jc w:val="right"/>
              <w:ind w:right="27"/>
              <w:spacing w:after="0" w:line="148"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600" w:type="dxa"/>
            <w:vAlign w:val="bottom"/>
          </w:tcPr>
          <w:p>
            <w:pPr>
              <w:jc w:val="right"/>
              <w:ind w:right="86"/>
              <w:spacing w:after="0" w:line="148"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$ 69.1</w:t>
            </w:r>
          </w:p>
        </w:tc>
        <w:tc>
          <w:tcPr>
            <w:tcW w:w="5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64.8</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$4.3 million increase in selling, general and administrative (SG&amp;A) expenses was primarily attributable to higher support costs of $5.2 million, as well as new business proposal costs of approximately $3.2 million (mainly due to our government systems segment), offset by a $4.1 million decrease in selling costs (primarily due to our satellite services segment). Of the higher support costs, $3.1 million related to our satellite services segment (partially due to legal expense</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focused on protecting and extending our technology advantages). SG&amp;A expenses consisted primarily of personnel costs and expenses for business development, marketing and sales, bid and proposal, facilities, finance, contract administration and general management.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46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1"/>
              </w:rPr>
              <w:t>July 4,</w:t>
            </w:r>
          </w:p>
        </w:tc>
        <w:tc>
          <w:tcPr>
            <w:tcW w:w="6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2"/>
              </w:rPr>
              <w:t>June 28,</w:t>
            </w:r>
          </w:p>
        </w:tc>
        <w:tc>
          <w:tcPr>
            <w:tcW w:w="58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216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2014</w:t>
            </w:r>
          </w:p>
        </w:tc>
        <w:tc>
          <w:tcPr>
            <w:tcW w:w="120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7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9.8</w:t>
            </w:r>
          </w:p>
        </w:tc>
        <w:tc>
          <w:tcPr>
            <w:tcW w:w="6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14.1</w:t>
            </w:r>
          </w:p>
        </w:tc>
        <w:tc>
          <w:tcPr>
            <w:tcW w:w="5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(4.3)</w:t>
            </w:r>
          </w:p>
        </w:tc>
        <w:tc>
          <w:tcPr>
            <w:tcW w:w="6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$4.3 million decrease in IR&amp;D expenses reflected decreased IR&amp;D efforts in our government systems segment of $2.5 million (primarily due to a decrease in advancement of integrated government satellite communications platforms) and in our commercial networks segment of $1.8 million (primarily due to a decrease in next-generation consumer broadband).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$0.5 million increase in amortization of acquired intangible assets in the first quarter of fiscal year 2015 compared to the prior year period was primarily the result of our acquisition of NetNearU in June 2014, which contributed an increase of $0.4 million.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4, 2014</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2015</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slight increase in interest income in the three months ended July 4, 2014 compared to the prior year period was primarily due to slightly higher interest rates during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$1.5 million decrease in interest expense in the three months ended July 4, 2014 compared to the prior year period was due primarily to an increase of $2.2 million in the amount of interest capitalized during the first quarter of fiscal year 2015 compared to the same period last fiscal year. This decrease was partially offset by interest expense on outstanding borrowings under our revolving credit facility (the Credit Facility) during the first quarter of fiscal year 2015. Capitalized interest expense during the three months ended July 4, 2014 and June 28, 2013 related to the construction of ViaSat-2 and other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July 4, 2014, we recorded an income tax benefit of $3.5 million.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three months ended July 4, 2014, we used the actual effective year-to-date tax rate in calculating the income tax benefit for that period since a reliable estimate of the annual effective tax rate could not be made. The income tax benefit rate for the three months ended June 28, 2013 was greater than the income tax benefit rate for the three months ended July 4, 2014 due to the benefit of the federal research and development tax credit which expired after December 31,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July 4, 2014 vs. Three Months Ended June 28, 2013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4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July 4,</w:t>
            </w:r>
          </w:p>
        </w:tc>
        <w:tc>
          <w:tcPr>
            <w:tcW w:w="52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500" w:type="dxa"/>
            <w:vAlign w:val="bottom"/>
          </w:tcPr>
          <w:p>
            <w:pPr>
              <w:spacing w:after="0"/>
              <w:rPr>
                <w:sz w:val="11"/>
                <w:szCs w:val="11"/>
                <w:color w:val="auto"/>
              </w:rPr>
            </w:pPr>
          </w:p>
        </w:tc>
        <w:tc>
          <w:tcPr>
            <w:tcW w:w="112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92"/>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8"/>
        </w:trPr>
        <w:tc>
          <w:tcPr>
            <w:tcW w:w="2000" w:type="dxa"/>
            <w:vAlign w:val="bottom"/>
            <w:gridSpan w:val="2"/>
            <w:vMerge w:val="continue"/>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Pr>
          <w:p>
            <w:pPr>
              <w:spacing w:after="0"/>
              <w:rPr>
                <w:sz w:val="14"/>
                <w:szCs w:val="14"/>
                <w:color w:val="auto"/>
              </w:rPr>
            </w:pPr>
          </w:p>
        </w:tc>
        <w:tc>
          <w:tcPr>
            <w:tcW w:w="11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92"/>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Segment product revenues</w:t>
            </w:r>
          </w:p>
        </w:tc>
        <w:tc>
          <w:tcPr>
            <w:tcW w:w="4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109.7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5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Our satellite services segment revenues grew by $23.9 million, primarily due to the increase in service revenues related to retail and wholesale broadband services. The revenue increase relating to our Exede broadband services was driven by an increase in the number of subscribers, as well as a related higher average revenue per subscriber. Total subscribers grew 17% from approximately 550,000 at June 28, 2013 to approximately 641,000 at July 4,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vMerge w:val="restart"/>
          </w:tcPr>
          <w:p>
            <w:pPr>
              <w:spacing w:after="0"/>
              <w:rPr>
                <w:sz w:val="11"/>
                <w:szCs w:val="11"/>
                <w:color w:val="auto"/>
              </w:rPr>
            </w:pPr>
          </w:p>
        </w:tc>
        <w:tc>
          <w:tcPr>
            <w:tcW w:w="86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2"/>
              </w:rPr>
              <w:t>July 4,</w:t>
            </w: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40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2"/>
                <w:szCs w:val="12"/>
                <w:color w:val="auto"/>
              </w:rPr>
            </w:pPr>
          </w:p>
        </w:tc>
        <w:tc>
          <w:tcPr>
            <w:tcW w:w="80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(1.9)</w:t>
            </w:r>
          </w:p>
        </w:tc>
        <w:tc>
          <w:tcPr>
            <w:tcW w:w="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(13.0)</w:t>
            </w:r>
          </w:p>
        </w:tc>
        <w:tc>
          <w:tcPr>
            <w:tcW w:w="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11.0</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$11.0 million reduction in operating loss for our satellite services segment was primarily due to higher earnings contributions as our Exede broadband services subscriber base continued to grow, which resulted in increased revenues and improved margins, as well as lower selling costs. The lower selling costs related to decreased sales and marketing support costs as we have a more established consumer broadband subscriber base, partially offset by increased legal expense focused on protecting and extending our technology advantages.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40" w:type="dxa"/>
            <w:vAlign w:val="bottom"/>
          </w:tcPr>
          <w:p>
            <w:pPr>
              <w:spacing w:after="0"/>
              <w:rPr>
                <w:sz w:val="11"/>
                <w:szCs w:val="11"/>
                <w:color w:val="auto"/>
              </w:rPr>
            </w:pPr>
          </w:p>
        </w:tc>
        <w:tc>
          <w:tcPr>
            <w:tcW w:w="10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July 4,</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600" w:type="dxa"/>
            <w:vAlign w:val="bottom"/>
          </w:tcPr>
          <w:p>
            <w:pPr>
              <w:spacing w:after="0"/>
              <w:rPr>
                <w:sz w:val="11"/>
                <w:szCs w:val="11"/>
                <w:color w:val="auto"/>
              </w:rPr>
            </w:pPr>
          </w:p>
        </w:tc>
        <w:tc>
          <w:tcPr>
            <w:tcW w:w="12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0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$ 88.6</w:t>
            </w: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91.8</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70"/>
              </w:rPr>
              <w:t>(3.2)</w:t>
            </w:r>
          </w:p>
        </w:tc>
        <w:tc>
          <w:tcPr>
            <w:tcW w:w="6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$ 92.2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 networks segment revenues decreased by $5.2 million, primarily due to the $3.2 million decrease in product revenues. Of this product revenue decrease, $7.4 million related to fixed satellite networks (driven primarily by consumer broadband products due to reduced revenues from terminal sales as well as our large scale Australian Ka-band infrastructure project as it moves closer to completion, and we begin transitioning engineering resources to our recently awarded next-generation Ka-band system contract in Canada), $2.5 million to satellite networking development programs, and $2.4 million to mobile broadband satellite communication systems. These decreases were partially offset by a $7.9 million increase in product revenues for our antenna systems products and a $2.3 million increase in product revenues for our satellite payload technology development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2"/>
              </w:rPr>
              <w:t>July 4,</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760" w:type="dxa"/>
            <w:vAlign w:val="bottom"/>
            <w:gridSpan w:val="2"/>
          </w:tcPr>
          <w:p>
            <w:pPr>
              <w:jc w:val="right"/>
              <w:ind w:right="6"/>
              <w:spacing w:after="0" w:line="148" w:lineRule="exact"/>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2"/>
                <w:szCs w:val="12"/>
                <w:color w:val="auto"/>
              </w:rPr>
            </w:pPr>
          </w:p>
        </w:tc>
        <w:tc>
          <w:tcPr>
            <w:tcW w:w="540" w:type="dxa"/>
            <w:vAlign w:val="bottom"/>
          </w:tcPr>
          <w:p>
            <w:pPr>
              <w:jc w:val="right"/>
              <w:ind w:right="62"/>
              <w:spacing w:after="0" w:line="148"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 profit</w:t>
            </w:r>
          </w:p>
        </w:tc>
        <w:tc>
          <w:tcPr>
            <w:tcW w:w="23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(6.0)</w:t>
            </w:r>
          </w:p>
        </w:tc>
        <w:tc>
          <w:tcPr>
            <w:tcW w:w="7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3.3</w:t>
            </w:r>
          </w:p>
        </w:tc>
        <w:tc>
          <w:tcPr>
            <w:tcW w:w="4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(9.3)</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480" w:type="dxa"/>
            <w:vAlign w:val="bottom"/>
            <w:gridSpan w:val="3"/>
          </w:tcPr>
          <w:p>
            <w:pPr>
              <w:jc w:val="right"/>
              <w:ind w:right="520"/>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jc w:val="right"/>
              <w:ind w:right="659"/>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change from an operating profit to an operating loss for our commercial networks segment was primarily due to lower earnings contributions from lower margins due to a change in the mix towards funded development activities versus terminal production contracts in our commercial networks segment related to our mobile broadband satellite communication systems products and fixed satellite networks (driven primarily by consumer broadband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40" w:type="dxa"/>
            <w:vAlign w:val="bottom"/>
          </w:tcPr>
          <w:p>
            <w:pPr>
              <w:spacing w:after="0"/>
              <w:rPr>
                <w:sz w:val="11"/>
                <w:szCs w:val="11"/>
                <w:color w:val="auto"/>
              </w:rPr>
            </w:pPr>
          </w:p>
        </w:tc>
        <w:tc>
          <w:tcPr>
            <w:tcW w:w="78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July 4,</w:t>
            </w: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28,</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79.5</w:t>
            </w:r>
          </w:p>
        </w:tc>
        <w:tc>
          <w:tcPr>
            <w:tcW w:w="2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90.3</w:t>
            </w:r>
          </w:p>
        </w:tc>
        <w:tc>
          <w:tcPr>
            <w:tcW w:w="2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government systems segment revenues decreased by $20.3 million, due to a $10.8 million decrease in product revenues and $9.5 million decrease in service revenues. The product revenue decrease was primarily due to a $21.7 million revenue decrease in government satellite communication systems (mainly attributable to command and control situational awareness) and a $3.6 million decrease in tactical satcom radio products (relating to our majority-owned subsidiary TrellisWare Technologies, Inc.), partially offset by a $7.6 million increase in revenues related to tactical data link products and by a $6.9 million increase in information assurance products. Of the service revenue decrease, $11.0 million related to a decrease in government satellite communication systems services (mainly attributable to command and control situational awareness, offset by broadband networking services revenues for military customers), partially offset by a $2.1 million increase relating to NetNearU, our newly acquired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80" w:type="dxa"/>
            <w:vAlign w:val="bottom"/>
            <w:vMerge w:val="restart"/>
          </w:tcPr>
          <w:p>
            <w:pPr>
              <w:spacing w:after="0"/>
              <w:rPr>
                <w:sz w:val="11"/>
                <w:szCs w:val="11"/>
                <w:color w:val="auto"/>
              </w:rPr>
            </w:pPr>
          </w:p>
        </w:tc>
        <w:tc>
          <w:tcPr>
            <w:tcW w:w="112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1"/>
              </w:rPr>
              <w:t>July 4,</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28,</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44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540" w:type="dxa"/>
            <w:vAlign w:val="bottom"/>
          </w:tcPr>
          <w:p>
            <w:pPr>
              <w:jc w:val="right"/>
              <w:ind w:right="62"/>
              <w:spacing w:after="0" w:line="148"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4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$ 10.8</w:t>
            </w:r>
          </w:p>
        </w:tc>
        <w:tc>
          <w:tcPr>
            <w:tcW w:w="6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16.6</w:t>
            </w:r>
          </w:p>
        </w:tc>
        <w:tc>
          <w:tcPr>
            <w:tcW w:w="4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(5.8)</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$5.8 million decrease in our government systems segment operating profit reflected lower earnings contributions of $4.1 million from lower revenues related to government satellite communication systems (mainly attributable to command and control situational awareness) as well as tactical satcom radio products, and higher support and new business proposal costs of $4.1 million. The decrease in operating profit was offset by lower IR&amp;D costs of $2.5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reflected in the table below, firm backlog decreased and funded backlog increased overall during the first three months of fiscal year 2015. The firm backlog decrease was due to a decrease in the commercial networks segment and the increase in funded backlog was primarily due to an increase in the government systems and satellite services segments.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60" w:type="dxa"/>
            <w:vAlign w:val="bottom"/>
            <w:gridSpan w:val="3"/>
          </w:tcPr>
          <w:p>
            <w:pPr>
              <w:ind w:left="3180"/>
              <w:spacing w:after="0"/>
              <w:rPr>
                <w:sz w:val="20"/>
                <w:szCs w:val="20"/>
                <w:color w:val="auto"/>
              </w:rPr>
            </w:pPr>
            <w:r>
              <w:rPr>
                <w:rFonts w:ascii="Arial" w:cs="Arial" w:eastAsia="Arial" w:hAnsi="Arial"/>
                <w:sz w:val="14"/>
                <w:szCs w:val="14"/>
                <w:b w:val="1"/>
                <w:bCs w:val="1"/>
                <w:color w:val="auto"/>
                <w:w w:val="83"/>
              </w:rPr>
              <w:t>July 4, 2014</w:t>
            </w:r>
          </w:p>
        </w:tc>
        <w:tc>
          <w:tcPr>
            <w:tcW w:w="1580" w:type="dxa"/>
            <w:vAlign w:val="bottom"/>
            <w:gridSpan w:val="4"/>
          </w:tcPr>
          <w:p>
            <w:pPr>
              <w:ind w:left="72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172.4</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4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415.3</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865.8</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80" w:type="dxa"/>
            <w:vAlign w:val="bottom"/>
            <w:vMerge w:val="restart"/>
          </w:tcPr>
          <w:p>
            <w:pPr>
              <w:ind w:left="1000"/>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$892.3 million in firm backlog, $397.2 million is expected to be delivered during the remaining nine months of fiscal year 2015, and the balance is expected to be delivered in fiscal year 2016 and thereafter. We include in our backlog only those orders for which we have accepted purchase orders.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new awards were $310.1 million and $254.0 million for the three months ended July 4, 2014 and June 28, 2013, respectively.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financed our operations to date primarily with cash flows from operations, bank line of credit financing, debt financing and equity financing. At July 4, 2014, we had $58.1 million in cash and cash equivalents, $288.0 million in working capital, and $205.0 million in outstanding borrowings under our Credit Facility. At April 4, 2014, we had $58.3 million in cash and cash equivalents, $256.8 million in working capital and $105.0 million in outstanding borrowings under our Credit Facility. We invest our cash in excess of current operating requirements in short-term, interest-bearing, investment-grade securities.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Cash provided by operating activities for the first quarter of fiscal year 2015 was $46.9 million compared to $53.8 million in the prior year period. This $6.9 million decrease was primarily driven by a $19.0 million year-over-year increase in cash used to fund net operating assets needs, offset by our operating results (net loss adjusted for depreciation, amortization and other non-cash charges) which generated $12.1 million of higher cash inflows. The increase in cash used to fund net operating assets during the first quarter of fiscal year 2015 when compared to the first quarter of fiscal year 2014 was due to higher payments made in our accounts payable due to timing as well as higher combined billed and unbilled accounts receivables, net, attributable to timing of contractual milestones on our larger development programs in our government systems segment.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Cash used in investing activities for the first quarter of fiscal year 2015 was $154.3 million compared to $87.2 million in the prior year period. The increase in cash used in investing activities reflects an increase of $54.1 million in cash used for acquisitions and an increase of $35.9 million in cash used for the construction of our ViaSat-2 satellite, offset by a $23.5 million decrease in capital expenditures for new CPE units and other general purpose equipment.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Cash provided by financing activities for the first quarter of fiscal year 2015 was $107.0 million compared to $7.4 million for the prior year period. This $99.6 million increase in cash provided by financing activities was primarily related to the $100.0 million in net proceeds from borrowings under our Credit Facility during the first quarter of fiscal year 2015 compared to no borrowings in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have incurred higher operating costs in connection with the late fiscal year 2012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have negatively impacted income from operations during recent fiscal years. As the total number of subscribers of our Exede broadband services has increased over time, the resultant increase in service revenues in our satellite services segment has improved income (loss) from operations for that segment, despite the additional litigation expense we have incurred to protect our proprietary technology. At the end of the first quarter of fiscal year 2015, we had approximately 641,000 subscribers which was relatively flat compared to the fiscal year ended April 4, 2014 reflecting cyclical industry trends. There can be no assurance that the number of subscribers of our Exede broadband services and service revenues in our satellite services segment will increase in any future period. We also expect to continue to invest in subscriber acquisition costs during fiscal year 2015 as we further expand our subscriber base as well as make additional investments for ViaSat-2.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As of July 4, 2014, the Credit Facility provided a $500.0 million revolving line of credit (including up to $150.0 million of letters of credit) with a maturity date of November 26, 2018.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(2), an applicable margin that is based on our total leverage ratio. At July 4, 2014, the weighted average effective interest rate on our outstanding borrowings under the Credit Facility was 2.16%. The Credit Facility is required to be guaranteed by certain significant domestic subsidiaries of ViaSat (as defined in the Credit Facility) and secured by substantially all of our assets. As of July 4, 2014, none of our subsidiaries guaranteed the Credit Facility.</w:t>
      </w:r>
    </w:p>
    <w:p>
      <w:pPr>
        <w:spacing w:after="0" w:line="10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July 4, 2014, we had $205.0 million in principal amount of outstanding borrowings under the Credit Facility and $39.5 million outstanding under standby letters of credit, leaving borrowing availability under the Credit Facility as of July 4, 2014 of $255.5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February 2012, we issued $275.0 million in principal amount of 2020 Notes in a private placement to institutional buyers, which were exchanged in August 2012 for substantially identical 2020 Notes that had been registered with the SEC. These initial 2020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Notes were issued at face value and are recorded as long-term debt in our condensed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July 4, 2014,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July 4,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10"/>
          </w:tcPr>
          <w:p>
            <w:pPr>
              <w:ind w:left="44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53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2016-2017</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2018-2019</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174,207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47,023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49,061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30,653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47,470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812,188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212,405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Satellite performance incentives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286,398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213,685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1,798,116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359,810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355,503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350,772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Credit Facility may fluctuate, amounts reflected represent estimated interest payments on our current outstanding balances based on the weighted average effective interest rate at July 4, 2014 until the date of the revolving line of credit maturity in the principle repayment in November 2018.</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condensed consolidated balance sheets included $46.2 million and $48.9 million of “other liabilities” as of July 4, 2014 and April 4, 2014,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had no material off-balance sheet arrangements at July 4, 2014 as defined in Regulation S-K Item 303(a)(4) other than as discussed under Contractual Obligations above or disclosed in the notes to our consolidated financial statements included in this report or in our Annual Report on Form 10-K for the year ended April 4,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July 4, 2014, we had $205.0 million in principal amount of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and $0.2 million for the three months ended July 4, 2014 and June 28, 2013,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July 4, 2014, we had $205.0 million in principal amount of outstanding borrowings under our Credit Facility. Our primary interest rate under the Credit Facility is the Eurodollar rate plus an applicable margin that is based on our total leverage ratio. At July 4, 2014, the weighted average effective interest rate on our outstanding borrowings under the Credit Facility was 2.16%. Assuming the outstanding balance remained constant over a year, a 50 basis point increase in the interest rate would increase interest incurred, prior to effects of capitalized interest, by approximately $1.0 million over a twelve-month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July 4, 2014, we had a number of foreign currency forward contracts outstanding which are intended to reduce the foreign currency risk for amounts payable to vendors in Australian dollars. The foreign currency forward contracts with a notional amount of $3.2 million had a fair value of less than $0.1 million and were recorded in other current assets as of July 4, 2014. If the foreign currency forward rate for the Australian dollar to the U.S. dollar on these foreign currency forward contracts had changed by 10%, the fair value of these foreign currency forward contracts as of July 4, 2014 would have changed by approximately $0.3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July 4, 2014, the end of the period covered by this report. Based upon the foregoing, our Chief Executive Officer and Chief Financial Officer concluded that our disclosure controls and procedures were effective at a reasonable assurance level as of July 4, 2014.</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February 2012, we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We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we voluntarily dismissed our claims against SS/L under U.S. Patent No. 7,773,942.</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15, 2012, SS/L filed counterclaims against us for patent infringement and declaratory relief. Specifically, SS/L sought a declaration that SS/L did not breach the parties’ contract for the manufacture of ViaSat-1, that SS/L did not infringe the patents described above, and that those patents are invalid and/or unenforceable. SS/L also alleged that we infringed U.S. Patent Nos. 6,879,808, 6,400,696 and 7,219,132. On November 13, 2013, the Court granted summary judgment of non-infringement of U.S. Patent No. 6,879,808 in favor of ViaSat. On December 17, 2013, SS/L dismissed its claims against ViaSat under U.S. Patent No. 7,219,132.</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April 24, 2014, a federal court jury returned a verdict in our favor, finding that our patents are valid, SS/L infringed all of our patents, and SS/L breached the parties’ non-disclosure agreement and the manufacturing contract for the ViaSat-1 satellite. The jury awarded us $283.0 million in damages for patent infringement and breach of contract. During the trial, SS/L chose not to pursue its claim against us for infringing U.S. Patent No. 6,400,696. We intend to seek a judgment of non-infringement from the court with respect to that patent.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Following the trial, SS/L filed a number of motions to set aside the damages award, challenging our legal basis for damages and asking the Court to invalidate our patents as well as reverse the jury’s finding that SS/L breached the parties’ contracts and infringed all of our patents. We also filed a motion for a permanent injunction preventing SS/L from continuing to infringe our patents and using our intellectual property.</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Subsequent to the fiscal quarter end, in August 2014, the Court upheld the jury’s findings that SS/L breached the parties’ contracts and infringed our patents. However, the Court ordered a new jury trial on the amount of damages resulting from SS/L’s breach and infringement. The damages retrial is currently scheduled for November 12, 2014. The Court’s liability and damages rulings are subject to appeal. In addition, the Court set a hearing on our motion for permanent injunction for August 26, 2014.</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September 5, 2013, we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We allege, among other things, that SS/L infringed U.S. Patent Nos. 7,230,908, 7,684,368, 8,213,929, 8,254,832, 8,285,202 and 8,548,377 by making, using, offering to sell and/or selling other high-capacity broadband satellites. We have requested monetary damages, injunctive relief and other remedies.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April 4, 2014,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43 is incorporated herein by reference as the list of exhibits required as part of this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August 13, 2014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00"/>
          </w:cols>
          <w:pgMar w:left="240" w:top="459" w:right="11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1"/>
                <w:szCs w:val="11"/>
                <w:color w:val="auto"/>
              </w:rPr>
            </w:pPr>
          </w:p>
        </w:tc>
        <w:tc>
          <w:tcPr>
            <w:tcW w:w="5920" w:type="dxa"/>
            <w:vAlign w:val="bottom"/>
            <w:tcBorders>
              <w:bottom w:val="single" w:sz="8" w:color="auto"/>
            </w:tcBorders>
          </w:tcPr>
          <w:p>
            <w:pPr>
              <w:ind w:left="2400"/>
              <w:spacing w:after="0" w:line="129" w:lineRule="exact"/>
              <w:rPr>
                <w:sz w:val="20"/>
                <w:szCs w:val="20"/>
                <w:color w:val="auto"/>
              </w:rPr>
            </w:pPr>
            <w:r>
              <w:rPr>
                <w:rFonts w:ascii="Arial" w:cs="Arial" w:eastAsia="Arial" w:hAnsi="Arial"/>
                <w:sz w:val="14"/>
                <w:szCs w:val="14"/>
                <w:b w:val="1"/>
                <w:bCs w:val="1"/>
                <w:color w:val="auto"/>
              </w:rPr>
              <w:t>Exhibit Description</w:t>
            </w:r>
          </w:p>
        </w:tc>
        <w:tc>
          <w:tcPr>
            <w:tcW w:w="360" w:type="dxa"/>
            <w:vAlign w:val="bottom"/>
          </w:tcPr>
          <w:p>
            <w:pPr>
              <w:spacing w:after="0"/>
              <w:rPr>
                <w:sz w:val="11"/>
                <w:szCs w:val="11"/>
                <w:color w:val="auto"/>
              </w:rPr>
            </w:pPr>
          </w:p>
        </w:tc>
        <w:tc>
          <w:tcPr>
            <w:tcW w:w="3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1"/>
                <w:szCs w:val="11"/>
                <w:color w:val="auto"/>
              </w:rPr>
            </w:pPr>
          </w:p>
        </w:tc>
        <w:tc>
          <w:tcPr>
            <w:tcW w:w="4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File No.</w:t>
            </w:r>
          </w:p>
        </w:tc>
        <w:tc>
          <w:tcPr>
            <w:tcW w:w="360" w:type="dxa"/>
            <w:vAlign w:val="bottom"/>
          </w:tcPr>
          <w:p>
            <w:pPr>
              <w:spacing w:after="0"/>
              <w:rPr>
                <w:sz w:val="11"/>
                <w:szCs w:val="11"/>
                <w:color w:val="auto"/>
              </w:rPr>
            </w:pPr>
          </w:p>
        </w:tc>
        <w:tc>
          <w:tcPr>
            <w:tcW w:w="4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Exhibit</w:t>
            </w:r>
          </w:p>
        </w:tc>
        <w:tc>
          <w:tcPr>
            <w:tcW w:w="380" w:type="dxa"/>
            <w:vAlign w:val="bottom"/>
          </w:tcPr>
          <w:p>
            <w:pPr>
              <w:spacing w:after="0"/>
              <w:rPr>
                <w:sz w:val="11"/>
                <w:szCs w:val="11"/>
                <w:color w:val="auto"/>
              </w:rPr>
            </w:pPr>
          </w:p>
        </w:tc>
        <w:tc>
          <w:tcPr>
            <w:tcW w:w="6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Filing Date</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Section 302 of the Sarbanes-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8"/>
              </w:rPr>
              <w:t>Certification of Chief Financial Officer Pursuant to Section 302 of the Sarbanes-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5"/>
              </w:rPr>
              <w:t>Certifications Pursuant to 18 U.S.C. Section 1350, as Adopted Pursuant to Section</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906 of the Sarbanes-Oxley Act of 2002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920" w:type="dxa"/>
            <w:vAlign w:val="bottom"/>
          </w:tcPr>
          <w:p>
            <w:pPr>
              <w:ind w:left="45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400" w:space="380"/>
            <w:col w:w="540"/>
          </w:cols>
          <w:pgMar w:left="240" w:top="45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4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4, 2014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4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4, 2014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2019-12-05T22:55:55Z</dcterms:created>
  <dcterms:modified xsi:type="dcterms:W3CDTF">2019-12-05T22:55:55Z</dcterms:modified>
</cp:coreProperties>
</file>