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31231.htm"/>
      <w:bookmarkStart w:id="1" w:name="ksvsat20231231"/>
      <w:bookmarkEnd w:id="0"/>
      <w:bookmarkEnd w:id="1"/>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December 31, 2023.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r>
        <w:rPr/>
        <w:t> </w:t>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Arial" w:hAnsi="Arial"/>
          <w:color w:val="000000"/>
          <w:sz w:val="18"/>
        </w:rPr>
      </w:pPr>
      <w:r>
        <w:rPr>
          <w:rFonts w:ascii="Arial" w:hAnsi="Arial"/>
          <w:color w:val="000000"/>
          <w:sz w:val="18"/>
        </w:rPr>
        <w:t>The number of shares outstanding of the registrant’s common stock, $0.0001 par value, as of January 26, 2024 was 125,320,499.</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Item 1. Financial Statements (Unaudited)</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ind w:left="490" w:right="0" w:firstLine="490"/>
              <w:jc w:val="left"/>
              <w:rPr/>
            </w:pPr>
            <w:hyperlink w:anchor="condensed_consolidated_balance_sheets">
              <w:r>
                <w:rPr>
                  <w:rStyle w:val="InternetLink"/>
                  <w:rFonts w:ascii="Arial" w:hAnsi="Arial"/>
                  <w:color w:val="0000FF"/>
                  <w:sz w:val="20"/>
                  <w:u w:val="single"/>
                </w:rPr>
                <w:t>Condensed Consolidated Balance Sheets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ind w:left="490" w:right="0" w:firstLine="490"/>
              <w:jc w:val="left"/>
              <w:rPr/>
            </w:pPr>
            <w:hyperlink w:anchor="condensed_consolidated_statements_operat">
              <w:r>
                <w:rPr>
                  <w:rStyle w:val="InternetLink"/>
                  <w:rFonts w:ascii="Arial" w:hAnsi="Arial"/>
                  <w:color w:val="0000FF"/>
                  <w:sz w:val="20"/>
                  <w:u w:val="single"/>
                </w:rPr>
                <w:t>Condensed Consolidated Statements of Operations and Comprehensive Income (Loss)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4</w:t>
            </w:r>
          </w:p>
        </w:tc>
      </w:tr>
      <w:tr>
        <w:trPr/>
        <w:tc>
          <w:tcPr>
            <w:tcW w:w="8536" w:type="dxa"/>
            <w:tcBorders/>
            <w:vAlign w:val="center"/>
          </w:tcPr>
          <w:p>
            <w:pPr>
              <w:pStyle w:val="TableContents"/>
              <w:bidi w:val="0"/>
              <w:spacing w:before="0" w:after="283"/>
              <w:ind w:left="490" w:right="0" w:firstLine="490"/>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5</w:t>
            </w:r>
          </w:p>
        </w:tc>
      </w:tr>
      <w:tr>
        <w:trPr/>
        <w:tc>
          <w:tcPr>
            <w:tcW w:w="8536" w:type="dxa"/>
            <w:tcBorders/>
            <w:vAlign w:val="center"/>
          </w:tcPr>
          <w:p>
            <w:pPr>
              <w:pStyle w:val="TableContents"/>
              <w:bidi w:val="0"/>
              <w:spacing w:before="0" w:after="283"/>
              <w:ind w:left="490" w:right="0" w:firstLine="490"/>
              <w:jc w:val="left"/>
              <w:rPr/>
            </w:pPr>
            <w:hyperlink w:anchor="condensed_consolidated_statement_equity">
              <w:r>
                <w:rPr>
                  <w:rStyle w:val="InternetLink"/>
                  <w:rFonts w:ascii="Arial" w:hAnsi="Arial"/>
                  <w:color w:val="0000FF"/>
                  <w:sz w:val="20"/>
                  <w:u w:val="single"/>
                </w:rPr>
                <w:t>Condensed Consolidated Statements of Equity</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6</w:t>
            </w:r>
          </w:p>
        </w:tc>
      </w:tr>
      <w:tr>
        <w:trPr/>
        <w:tc>
          <w:tcPr>
            <w:tcW w:w="8536" w:type="dxa"/>
            <w:tcBorders/>
            <w:vAlign w:val="center"/>
          </w:tcPr>
          <w:p>
            <w:pPr>
              <w:pStyle w:val="TableContents"/>
              <w:bidi w:val="0"/>
              <w:spacing w:before="0" w:after="283"/>
              <w:ind w:left="490" w:right="0" w:firstLine="490"/>
              <w:jc w:val="left"/>
              <w:rPr/>
            </w:pPr>
            <w:hyperlink w:anchor="notes_to_condensed_consolidated_financia">
              <w:r>
                <w:rPr>
                  <w:rStyle w:val="InternetLink"/>
                  <w:rFonts w:ascii="Arial" w:hAnsi="Arial"/>
                  <w:color w:val="0000FF"/>
                  <w:sz w:val="20"/>
                  <w:u w:val="single"/>
                </w:rPr>
                <w:t>Notes to the Condensed Consolidated Financial Statements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536" w:type="dxa"/>
            <w:tcBorders/>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8536" w:type="dxa"/>
            <w:tcBorders/>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Item 4. Controls and Procedures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536" w:type="dxa"/>
            <w:tcBorders/>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 Legal Proceedings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536" w:type="dxa"/>
            <w:tcBorders/>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 Risk Factors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536" w:type="dxa"/>
            <w:tcBorders/>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 Other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536" w:type="dxa"/>
            <w:tcBorders/>
            <w:vAlign w:val="center"/>
          </w:tcPr>
          <w:p>
            <w:pPr>
              <w:pStyle w:val="TableContents"/>
              <w:bidi w:val="0"/>
              <w:spacing w:before="0" w:after="283"/>
              <w:jc w:val="left"/>
              <w:rPr/>
            </w:pPr>
            <w:hyperlink w:anchor="item_6_exhibits">
              <w:r>
                <w:rPr>
                  <w:rStyle w:val="InternetLink"/>
                  <w:rFonts w:ascii="Arial" w:hAnsi="Arial"/>
                  <w:color w:val="0000FF"/>
                  <w:sz w:val="20"/>
                  <w:u w:val="single"/>
                </w:rPr>
                <w:t>Item 6. Exhibits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536" w:type="dxa"/>
            <w:tcBorders/>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4646"/>
        <w:gridCol w:w="146"/>
        <w:gridCol w:w="267"/>
        <w:gridCol w:w="1353"/>
        <w:gridCol w:w="166"/>
        <w:gridCol w:w="146"/>
        <w:gridCol w:w="235"/>
        <w:gridCol w:w="1070"/>
        <w:gridCol w:w="75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3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51" w:type="dxa"/>
            <w:tcBorders/>
            <w:shd w:fill="FFFFFF" w:val="clear"/>
            <w:vAlign w:val="center"/>
          </w:tcPr>
          <w:p>
            <w:pPr>
              <w:pStyle w:val="TableContents"/>
              <w:bidi w:val="0"/>
              <w:spacing w:before="0" w:after="283"/>
              <w:jc w:val="center"/>
              <w:rPr/>
            </w:pPr>
            <w:r>
              <w:rPr/>
              <w:t> </w:t>
            </w:r>
          </w:p>
        </w:tc>
      </w:tr>
      <w:tr>
        <w:trPr/>
        <w:tc>
          <w:tcPr>
            <w:tcW w:w="4646"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1,621,228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1,348,854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30,532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675,846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419,934</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353,551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268,563</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176,629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current assets</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3,736,308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2,244,512</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 net</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7,374,342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4,378,283</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281,757</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acquired intangible assets, net</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2,773,665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201,205</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1,613,706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158,542</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466,038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center"/>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16,650,655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7,730,337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LIABILITIES AND EQUITY</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271,548</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999,068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647,232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1,376,517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956,719</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Senior notes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4,342,617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1,689,186</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debt</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2,879,963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732,315</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Non-current operating lease liabilities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383,614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273,006</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2,522,149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218,542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11,504,860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3,869,768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Commitments and contingencies</w:t>
            </w:r>
            <w:r>
              <w:rPr>
                <w:rFonts w:ascii="Times New Roman" w:hAnsi="Times New Roman"/>
                <w:color w:val="000000"/>
                <w:sz w:val="20"/>
              </w:rPr>
              <w:t> </w:t>
            </w:r>
            <w:r>
              <w:rPr>
                <w:rFonts w:ascii="Arial" w:hAnsi="Arial"/>
                <w:color w:val="000000"/>
                <w:sz w:val="20"/>
              </w:rPr>
              <w:t>(Note 10)</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Equity:</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Viasat, Inc. stockholders’ equity</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Paid-in capital</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4,768,444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2,540,679</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Retained earnings</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1,318,336</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(34,713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Viasat, Inc. stockholders’ equity</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5,103,008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3,824,310</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in subsidiary</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36,259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64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equity</w:t>
            </w:r>
          </w:p>
        </w:tc>
        <w:tc>
          <w:tcPr>
            <w:tcW w:w="146" w:type="dxa"/>
            <w:tcBorders/>
            <w:shd w:fill="FFFFFF" w:val="cle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5,145,795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3,860,569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6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liabilities and equity</w:t>
            </w:r>
          </w:p>
        </w:tc>
        <w:tc>
          <w:tcPr>
            <w:tcW w:w="146" w:type="dxa"/>
            <w:tcBorders/>
            <w:shd w:fill="CFF0FC" w:val="cle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7,730,337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0"/>
        <w:gridCol w:w="146"/>
        <w:gridCol w:w="212"/>
        <w:gridCol w:w="896"/>
        <w:gridCol w:w="166"/>
        <w:gridCol w:w="146"/>
        <w:gridCol w:w="223"/>
        <w:gridCol w:w="787"/>
        <w:gridCol w:w="166"/>
        <w:gridCol w:w="146"/>
        <w:gridCol w:w="208"/>
        <w:gridCol w:w="943"/>
        <w:gridCol w:w="166"/>
        <w:gridCol w:w="146"/>
        <w:gridCol w:w="212"/>
        <w:gridCol w:w="896"/>
        <w:gridCol w:w="416"/>
      </w:tblGrid>
      <w:tr>
        <w:trPr/>
        <w:tc>
          <w:tcPr>
            <w:tcW w:w="4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3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Nine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13" w:type="dxa"/>
            <w:gridSpan w:val="14"/>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per share data)</w:t>
            </w:r>
          </w:p>
        </w:tc>
        <w:tc>
          <w:tcPr>
            <w:tcW w:w="416" w:type="dxa"/>
            <w:tcBorders/>
            <w:shd w:fill="FFFFFF" w:val="clear"/>
            <w:vAlign w:val="center"/>
          </w:tcPr>
          <w:p>
            <w:pPr>
              <w:pStyle w:val="TableContents"/>
              <w:bidi w:val="0"/>
              <w:spacing w:before="0" w:after="283"/>
              <w:jc w:val="center"/>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Revenues:</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200"/>
              <w:jc w:val="right"/>
              <w:rPr/>
            </w:pPr>
            <w:r>
              <w:rPr/>
              <w:t> </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Product revenues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303,073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249,315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941,174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682,769</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Service revenues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825,466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2,192,571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1,207,290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1,128,539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651,444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3,133,745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1,890,059</w:t>
            </w:r>
          </w:p>
        </w:tc>
        <w:tc>
          <w:tcPr>
            <w:tcW w:w="416" w:type="dxa"/>
            <w:tcBorders/>
            <w:shd w:fill="FFFFFF" w:val="clear"/>
            <w:vAlign w:val="center"/>
          </w:tcPr>
          <w:p>
            <w:pPr>
              <w:pStyle w:val="TableContents"/>
              <w:bidi w:val="0"/>
              <w:spacing w:before="0" w:after="283"/>
              <w:jc w:val="lef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200"/>
              <w:jc w:val="right"/>
              <w:rPr/>
            </w:pPr>
            <w:r>
              <w:rPr/>
              <w:t> </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Cost of product revenues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252,519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205,177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703,617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528,478</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Cost of service revenues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514,757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277,856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1,374,860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814,224</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Selling, general and administrative (including satellite impairment and related charges, net – see Note 1 – Basis of Presentation – Property, equipment and satellites)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271,734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162,845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1,640,304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511,661</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104,161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96,625</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Amortization of acquired intangible assets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22,335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(43,918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(31,311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(890,101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(83,264</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72,596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7,457</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(133,537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(8,747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(275,633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(19,258</w:t>
            </w:r>
          </w:p>
        </w:tc>
        <w:tc>
          <w:tcPr>
            <w:tcW w:w="416"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income, net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Income (loss) from continuing operations before income taxes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(156,534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(39,533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(1,093,138</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(93,967</w:t>
            </w:r>
          </w:p>
        </w:tc>
        <w:tc>
          <w:tcPr>
            <w:tcW w:w="41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benefit from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(5,212</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128,106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(59,045</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Equity in income (loss) of unconsolidated affiliate,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 from continuing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(119,349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(44,758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(962,014</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(153,065</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 from discontinued operations, net of tax</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44,045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(119,349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(40,425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(962,014</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(109,020</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Less: net income (loss) attributable to</w:t>
              <w:br/>
              <w:t>   noncontrolling interest, net of tax</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 attributable to Viasat, Inc.</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(112,032</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Income (loss) per share attributable</w:t>
              <w:br/>
              <w:t>   to Viasat, Inc. common stockholders - basic:</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Continuing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(0.99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(0.61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(8.47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416"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Discontinued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Income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Income (loss) per share attributable</w:t>
              <w:br/>
              <w:t>   to Viasat, Inc. common stockholders - diluted:</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Continuing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(0.99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(0.61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(8.47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416"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Discontinued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Income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 xml:space="preserve">Shares used in computing basic net </w:t>
              <w:br/>
              <w:t>   income (loss) per share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125,097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76,138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114,317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75,586</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 xml:space="preserve">Shares used in computing diluted net </w:t>
              <w:br/>
              <w:t>   income (loss) per share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125,097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76,138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114,317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75,586</w:t>
            </w:r>
          </w:p>
        </w:tc>
        <w:tc>
          <w:tcPr>
            <w:tcW w:w="416" w:type="dxa"/>
            <w:tcBorders/>
            <w:shd w:fill="CFF0FC" w:val="clear"/>
            <w:vAlign w:val="center"/>
          </w:tcPr>
          <w:p>
            <w:pPr>
              <w:pStyle w:val="TableContents"/>
              <w:bidi w:val="0"/>
              <w:spacing w:before="0" w:after="283"/>
              <w:jc w:val="left"/>
              <w:rPr/>
            </w:pPr>
            <w:r>
              <w:rPr/>
              <w:t> </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 (loss):</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jc w:val="righ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(119,349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(40,425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(962,014</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(109,020</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3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Foreign currency translation adjustments, net</w:t>
              <w:br/>
              <w:t>   of tax</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24,850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(17,486</w:t>
            </w:r>
          </w:p>
        </w:tc>
        <w:tc>
          <w:tcPr>
            <w:tcW w:w="416"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Unrealized gain (loss) on hedging, net of tax</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(17,486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 (loss)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(97,658</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(15,575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(942,445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(126,506</w:t>
            </w:r>
          </w:p>
        </w:tc>
        <w:tc>
          <w:tcPr>
            <w:tcW w:w="41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3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Less: comprehensive income (loss) attributable</w:t>
              <w:br/>
              <w:t>   to noncontrolling interest, net of tax</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 (loss) attributable to</w:t>
              <w:br/>
              <w:t>   Viasat, Inc.</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(129,518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5"/>
        <w:gridCol w:w="146"/>
        <w:gridCol w:w="247"/>
        <w:gridCol w:w="1199"/>
        <w:gridCol w:w="166"/>
        <w:gridCol w:w="146"/>
        <w:gridCol w:w="273"/>
        <w:gridCol w:w="1110"/>
        <w:gridCol w:w="1053"/>
      </w:tblGrid>
      <w:tr>
        <w:trPr/>
        <w:tc>
          <w:tcPr>
            <w:tcW w:w="5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5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Continuing and Discontinued Operations</w:t>
            </w:r>
          </w:p>
        </w:tc>
        <w:tc>
          <w:tcPr>
            <w:tcW w:w="146" w:type="dxa"/>
            <w:tcBorders/>
            <w:shd w:fill="FFFFFF" w:val="clear"/>
            <w:vAlign w:val="center"/>
          </w:tcPr>
          <w:p>
            <w:pPr>
              <w:pStyle w:val="TableContents"/>
              <w:bidi w:val="0"/>
              <w:spacing w:before="0" w:after="283"/>
              <w:jc w:val="center"/>
              <w:rPr/>
            </w:pPr>
            <w:r>
              <w:rPr/>
              <w:t> </w:t>
            </w:r>
          </w:p>
        </w:tc>
        <w:tc>
          <w:tcPr>
            <w:tcW w:w="314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053" w:type="dxa"/>
            <w:tcBorders/>
            <w:shd w:fill="FFFFFF" w:val="clear"/>
            <w:vAlign w:val="center"/>
          </w:tcPr>
          <w:p>
            <w:pPr>
              <w:pStyle w:val="TableContents"/>
              <w:bidi w:val="0"/>
              <w:spacing w:before="0" w:after="283"/>
              <w:jc w:val="center"/>
              <w:rPr/>
            </w:pPr>
            <w:r>
              <w:rPr/>
              <w:t> </w:t>
            </w:r>
          </w:p>
        </w:tc>
      </w:tr>
      <w:tr>
        <w:trPr/>
        <w:tc>
          <w:tcPr>
            <w:tcW w:w="58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14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83"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(962,014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(109,020</w:t>
            </w:r>
          </w:p>
        </w:tc>
        <w:tc>
          <w:tcPr>
            <w:tcW w:w="10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Adjustments to reconcile net income (loss) to net cash provided by operating activities:</w:t>
            </w:r>
          </w:p>
        </w:tc>
        <w:tc>
          <w:tcPr>
            <w:tcW w:w="146" w:type="dxa"/>
            <w:tcBorders/>
            <w:shd w:fill="CFF0FC" w:val="clear"/>
            <w:vAlign w:val="center"/>
          </w:tcPr>
          <w:p>
            <w:pPr>
              <w:pStyle w:val="TableContents"/>
              <w:bidi w:val="0"/>
              <w:spacing w:before="0" w:after="283"/>
              <w:jc w:val="center"/>
              <w:rPr/>
            </w:pPr>
            <w:r>
              <w:rPr/>
              <w:t> </w:t>
            </w:r>
          </w:p>
        </w:tc>
        <w:tc>
          <w:tcPr>
            <w:tcW w:w="14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83"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560"/>
              <w:jc w:val="righ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Depreciation</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598,052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307,632</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65,848</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64,941</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Satellite impairment and disposition of fixed assets losses, net</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858,010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36,337</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Deferred income taxes and other non-cash adjustments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(111,293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81,847</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Increase (decrease) in cash resulting from changes in operating</w:t>
              <w:br/>
              <w:t>   assets and liabilities, net of effect of acquisition:</w:t>
            </w:r>
          </w:p>
        </w:tc>
        <w:tc>
          <w:tcPr>
            <w:tcW w:w="146" w:type="dxa"/>
            <w:tcBorders/>
            <w:shd w:fill="CFF0FC" w:val="clear"/>
            <w:vAlign w:val="center"/>
          </w:tcPr>
          <w:p>
            <w:pPr>
              <w:pStyle w:val="TableContents"/>
              <w:bidi w:val="0"/>
              <w:spacing w:before="0" w:after="283"/>
              <w:jc w:val="center"/>
              <w:rPr/>
            </w:pPr>
            <w:r>
              <w:rPr/>
              <w:t> </w:t>
            </w:r>
          </w:p>
        </w:tc>
        <w:tc>
          <w:tcPr>
            <w:tcW w:w="14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83"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560"/>
              <w:jc w:val="righ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(60,618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(76,208</w:t>
            </w:r>
          </w:p>
        </w:tc>
        <w:tc>
          <w:tcPr>
            <w:tcW w:w="1053"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Inventories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(53,929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(64,474</w:t>
            </w:r>
          </w:p>
        </w:tc>
        <w:tc>
          <w:tcPr>
            <w:tcW w:w="1053"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8,680</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55,421</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(80,895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(19,374</w:t>
            </w:r>
          </w:p>
        </w:tc>
        <w:tc>
          <w:tcPr>
            <w:tcW w:w="1053"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(34,018</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5865"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456,210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317,612</w:t>
            </w:r>
          </w:p>
        </w:tc>
        <w:tc>
          <w:tcPr>
            <w:tcW w:w="1053" w:type="dxa"/>
            <w:tcBorders/>
            <w:shd w:fill="FFFFFF" w:val="clear"/>
            <w:vAlign w:val="center"/>
          </w:tcPr>
          <w:p>
            <w:pPr>
              <w:pStyle w:val="TableContents"/>
              <w:bidi w:val="0"/>
              <w:spacing w:before="0" w:after="283"/>
              <w:jc w:val="left"/>
              <w:rPr/>
            </w:pPr>
            <w:r>
              <w:rPr/>
              <w:t> </w:t>
            </w:r>
          </w:p>
        </w:tc>
      </w:tr>
      <w:tr>
        <w:trPr/>
        <w:tc>
          <w:tcPr>
            <w:tcW w:w="58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vAlign w:val="center"/>
          </w:tcPr>
          <w:p>
            <w:pPr>
              <w:pStyle w:val="TableContents"/>
              <w:bidi w:val="0"/>
              <w:spacing w:before="0" w:after="283"/>
              <w:jc w:val="center"/>
              <w:rPr/>
            </w:pPr>
            <w:r>
              <w:rPr/>
              <w:t> </w:t>
            </w:r>
          </w:p>
        </w:tc>
        <w:tc>
          <w:tcPr>
            <w:tcW w:w="14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83"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property, equipment and satellites, and other assets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(1,161,490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(850,747</w:t>
            </w:r>
          </w:p>
        </w:tc>
        <w:tc>
          <w:tcPr>
            <w:tcW w:w="105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 related to acquisition of a business, net of cash acquired</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(342,621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sale of short-term investments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color w:val="000000"/>
              </w:rPr>
            </w:pPr>
            <w:r>
              <w:rPr>
                <w:color w:val="000000"/>
              </w:rPr>
              <w:t>—</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to acquire short-term investments</w:t>
            </w:r>
          </w:p>
        </w:tc>
        <w:tc>
          <w:tcPr>
            <w:tcW w:w="146" w:type="dxa"/>
            <w:tcBorders/>
            <w:shd w:fill="CFF0FC" w:val="cle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8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(1,451,845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(850,747</w:t>
            </w:r>
          </w:p>
        </w:tc>
        <w:tc>
          <w:tcPr>
            <w:tcW w:w="10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vAlign w:val="center"/>
          </w:tcPr>
          <w:p>
            <w:pPr>
              <w:pStyle w:val="TableContents"/>
              <w:bidi w:val="0"/>
              <w:spacing w:before="0" w:after="283"/>
              <w:jc w:val="center"/>
              <w:rPr/>
            </w:pPr>
            <w:r>
              <w:rPr/>
              <w:t> </w:t>
            </w:r>
          </w:p>
        </w:tc>
        <w:tc>
          <w:tcPr>
            <w:tcW w:w="14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83"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debt borrowings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1,334,683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540,000</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on debt borrowings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(48,457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(93,853</w:t>
            </w:r>
          </w:p>
        </w:tc>
        <w:tc>
          <w:tcPr>
            <w:tcW w:w="105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Payments of debt issuance costs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(50,390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(1,511</w:t>
            </w:r>
          </w:p>
        </w:tc>
        <w:tc>
          <w:tcPr>
            <w:tcW w:w="105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issuance of common stock under equity plans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9,626</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 of common stock in treasury (immediately retired) related</w:t>
              <w:br/>
              <w:t>   to tax withholdings for stock-based compensation</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(11,220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(15,921</w:t>
            </w:r>
          </w:p>
        </w:tc>
        <w:tc>
          <w:tcPr>
            <w:tcW w:w="105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Repurchase of shares by majority-owned subsidiary</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05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financing activities</w:t>
            </w:r>
          </w:p>
        </w:tc>
        <w:tc>
          <w:tcPr>
            <w:tcW w:w="146" w:type="dxa"/>
            <w:tcBorders/>
            <w:shd w:fill="FFFFFF" w:val="cle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(2,374</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1,236,085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405,967</w:t>
            </w:r>
          </w:p>
        </w:tc>
        <w:tc>
          <w:tcPr>
            <w:tcW w:w="1053" w:type="dxa"/>
            <w:tcBorders/>
            <w:shd w:fill="CFF0FC"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FFFFFF" w:val="cle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 and restricted cash</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241,842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(128,329</w:t>
            </w:r>
          </w:p>
        </w:tc>
        <w:tc>
          <w:tcPr>
            <w:tcW w:w="10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FFFFFF" w:val="cle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1,379,386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310,459</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182,130</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vAlign w:val="center"/>
          </w:tcPr>
          <w:p>
            <w:pPr>
              <w:pStyle w:val="TableContents"/>
              <w:bidi w:val="0"/>
              <w:spacing w:before="0" w:after="283"/>
              <w:jc w:val="center"/>
              <w:rPr/>
            </w:pPr>
            <w:r>
              <w:rPr/>
              <w:t> </w:t>
            </w:r>
          </w:p>
        </w:tc>
        <w:tc>
          <w:tcPr>
            <w:tcW w:w="14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83" w:type="dxa"/>
            <w:gridSpan w:val="2"/>
            <w:tcBorders/>
            <w:shd w:fill="FFFFFF" w:val="clear"/>
            <w:vAlign w:val="center"/>
          </w:tcPr>
          <w:p>
            <w:pPr>
              <w:pStyle w:val="TableContents"/>
              <w:bidi w:val="0"/>
              <w:spacing w:before="0" w:after="283"/>
              <w:jc w:val="right"/>
              <w:rPr/>
            </w:pPr>
            <w:r>
              <w:rPr/>
              <w:t> </w:t>
            </w:r>
          </w:p>
        </w:tc>
        <w:tc>
          <w:tcPr>
            <w:tcW w:w="1053" w:type="dxa"/>
            <w:tcBorders/>
            <w:shd w:fill="FFFFFF" w:val="clear"/>
            <w:vAlign w:val="center"/>
          </w:tcPr>
          <w:p>
            <w:pPr>
              <w:pStyle w:val="TableContents"/>
              <w:bidi w:val="0"/>
              <w:spacing w:before="0" w:after="283"/>
              <w:ind w:left="0" w:right="0" w:firstLine="280"/>
              <w:jc w:val="right"/>
              <w:rPr/>
            </w:pPr>
            <w:r>
              <w:rPr/>
              <w:t> </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Issuance of common stock in connection with acquisition</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2,123,455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Issuance of common stock in satisfaction of certain accrued compensation liabilities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27,619</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6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6,923</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6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Capital expenditures not paid for during the period</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78,642</w:t>
            </w:r>
          </w:p>
        </w:tc>
        <w:tc>
          <w:tcPr>
            <w:tcW w:w="1053"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0"/>
        <w:gridCol w:w="146"/>
        <w:gridCol w:w="146"/>
        <w:gridCol w:w="871"/>
        <w:gridCol w:w="146"/>
        <w:gridCol w:w="146"/>
        <w:gridCol w:w="201"/>
        <w:gridCol w:w="385"/>
        <w:gridCol w:w="146"/>
        <w:gridCol w:w="146"/>
        <w:gridCol w:w="181"/>
        <w:gridCol w:w="721"/>
        <w:gridCol w:w="151"/>
        <w:gridCol w:w="146"/>
        <w:gridCol w:w="181"/>
        <w:gridCol w:w="646"/>
        <w:gridCol w:w="151"/>
        <w:gridCol w:w="146"/>
        <w:gridCol w:w="263"/>
        <w:gridCol w:w="833"/>
        <w:gridCol w:w="151"/>
        <w:gridCol w:w="146"/>
        <w:gridCol w:w="265"/>
        <w:gridCol w:w="771"/>
        <w:gridCol w:w="146"/>
        <w:gridCol w:w="146"/>
        <w:gridCol w:w="181"/>
        <w:gridCol w:w="721"/>
        <w:gridCol w:w="196"/>
      </w:tblGrid>
      <w:tr>
        <w:trPr/>
        <w:tc>
          <w:tcPr>
            <w:tcW w:w="1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60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Noncontrolling</w:t>
              <w:br/>
              <w:t>Interest in</w:t>
              <w:b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33" w:type="dxa"/>
            <w:gridSpan w:val="26"/>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share data)</w:t>
            </w:r>
          </w:p>
        </w:tc>
        <w:tc>
          <w:tcPr>
            <w:tcW w:w="196" w:type="dxa"/>
            <w:tcBorders/>
            <w:shd w:fill="FFFFFF" w:val="clear"/>
            <w:vAlign w:val="center"/>
          </w:tcPr>
          <w:p>
            <w:pPr>
              <w:pStyle w:val="TableContents"/>
              <w:bidi w:val="0"/>
              <w:spacing w:before="0" w:after="283"/>
              <w:jc w:val="center"/>
              <w:rPr/>
            </w:pPr>
            <w:r>
              <w:rPr/>
              <w:t> </w:t>
            </w:r>
          </w:p>
        </w:tc>
      </w:tr>
      <w:tr>
        <w:trPr/>
        <w:tc>
          <w:tcPr>
            <w:tcW w:w="173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December 31, 2023</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124,481,293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4,752,694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474,094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(36,835</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37,737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5,227,703</w:t>
            </w:r>
          </w:p>
        </w:tc>
        <w:tc>
          <w:tcPr>
            <w:tcW w:w="196" w:type="dxa"/>
            <w:tcBorders/>
            <w:shd w:fill="FFFFFF" w:val="clear"/>
            <w:vAlign w:val="center"/>
          </w:tcPr>
          <w:p>
            <w:pPr>
              <w:pStyle w:val="TableContents"/>
              <w:bidi w:val="0"/>
              <w:spacing w:before="0" w:after="283"/>
              <w:jc w:val="left"/>
              <w:rPr/>
            </w:pPr>
            <w:r>
              <w:rPr/>
              <w:t> </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24,405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24,405</w:t>
            </w:r>
          </w:p>
        </w:tc>
        <w:tc>
          <w:tcPr>
            <w:tcW w:w="196" w:type="dxa"/>
            <w:tcBorders/>
            <w:shd w:fill="CFF0FC"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w:t>
              <w:br/>
              <w:t>   which have been retired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838,933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(8,655</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(8,655</w:t>
            </w:r>
          </w:p>
        </w:tc>
        <w:tc>
          <w:tcPr>
            <w:tcW w:w="196"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(124,399</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5,050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(119,349</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125,320,226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4,768,444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349,695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5,145,795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73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December 31, 2022</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September 30,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75,585,221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2,496,783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163,726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(63,957</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31,631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2,628,191</w:t>
            </w:r>
          </w:p>
        </w:tc>
        <w:tc>
          <w:tcPr>
            <w:tcW w:w="196" w:type="dxa"/>
            <w:tcBorders/>
            <w:shd w:fill="FFFFFF" w:val="clear"/>
            <w:vAlign w:val="center"/>
          </w:tcPr>
          <w:p>
            <w:pPr>
              <w:pStyle w:val="TableContents"/>
              <w:bidi w:val="0"/>
              <w:spacing w:before="0" w:after="283"/>
              <w:jc w:val="left"/>
              <w:rPr/>
            </w:pPr>
            <w:r>
              <w:rPr/>
              <w:t> </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24,661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24,661</w:t>
            </w:r>
          </w:p>
        </w:tc>
        <w:tc>
          <w:tcPr>
            <w:tcW w:w="196" w:type="dxa"/>
            <w:tcBorders/>
            <w:shd w:fill="CFF0FC"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w:t>
              <w:br/>
              <w:t>   which have been retired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787,884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(15,089</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(15,089</w:t>
            </w:r>
          </w:p>
        </w:tc>
        <w:tc>
          <w:tcPr>
            <w:tcW w:w="196"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(42,228</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(40,425</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73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24,850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December 31, 2022</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76,373,105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2,506,355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121,498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(39,107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2,622,188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0"/>
        <w:gridCol w:w="146"/>
        <w:gridCol w:w="146"/>
        <w:gridCol w:w="871"/>
        <w:gridCol w:w="146"/>
        <w:gridCol w:w="146"/>
        <w:gridCol w:w="201"/>
        <w:gridCol w:w="385"/>
        <w:gridCol w:w="146"/>
        <w:gridCol w:w="146"/>
        <w:gridCol w:w="181"/>
        <w:gridCol w:w="721"/>
        <w:gridCol w:w="151"/>
        <w:gridCol w:w="146"/>
        <w:gridCol w:w="181"/>
        <w:gridCol w:w="721"/>
        <w:gridCol w:w="151"/>
        <w:gridCol w:w="146"/>
        <w:gridCol w:w="263"/>
        <w:gridCol w:w="833"/>
        <w:gridCol w:w="151"/>
        <w:gridCol w:w="146"/>
        <w:gridCol w:w="249"/>
        <w:gridCol w:w="787"/>
        <w:gridCol w:w="151"/>
        <w:gridCol w:w="146"/>
        <w:gridCol w:w="181"/>
        <w:gridCol w:w="721"/>
        <w:gridCol w:w="196"/>
      </w:tblGrid>
      <w:tr>
        <w:trPr/>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68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13" w:type="dxa"/>
            <w:gridSpan w:val="26"/>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share data)</w:t>
            </w:r>
          </w:p>
        </w:tc>
        <w:tc>
          <w:tcPr>
            <w:tcW w:w="196" w:type="dxa"/>
            <w:tcBorders/>
            <w:shd w:fill="FFFFFF" w:val="clear"/>
            <w:vAlign w:val="center"/>
          </w:tcPr>
          <w:p>
            <w:pPr>
              <w:pStyle w:val="TableContents"/>
              <w:bidi w:val="0"/>
              <w:spacing w:before="0" w:after="283"/>
              <w:jc w:val="center"/>
              <w:rPr/>
            </w:pPr>
            <w:r>
              <w:rPr/>
              <w:t> </w:t>
            </w:r>
          </w:p>
        </w:tc>
      </w:tr>
      <w:tr>
        <w:trPr/>
        <w:tc>
          <w:tcPr>
            <w:tcW w:w="165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Nine Months Ended December 31, 2023</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March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76,912,016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2,540,679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1,318,336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(34,713</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36,259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3,860,569</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Issuance of stock under Employee Stock Purchase</w:t>
              <w:br/>
              <w:t>   Plan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382,062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10,048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10,048</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74,232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74,232</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687,851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31,173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31,173</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w:t>
              <w:br/>
              <w:t>   which have been retired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972,028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(11,220</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(11,220</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connection with acquisition of business, net of issuance costs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46,363,636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2,123,450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2,123,455</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(99</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(99</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(968,641</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6,627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(962,014</w:t>
            </w:r>
          </w:p>
        </w:tc>
        <w:tc>
          <w:tcPr>
            <w:tcW w:w="196"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19,569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19,569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125,320,226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4,768,444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349,695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42,787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5,145,795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1650"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Nine Months Ended December 31, 2022</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March 31, 2022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74,428,816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2,421,950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233,530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(21,621</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48,728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2,682,594</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Issuance of stock under Employee Stock Purchase</w:t>
              <w:br/>
              <w:t>   Plan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369,712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9,626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9,626</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74,865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74,865</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719,989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27,618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27,619</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w:t>
              <w:br/>
              <w:t>   which have been retired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854,588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(15,921</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(15,921</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(11,783</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(18,306</w:t>
            </w:r>
          </w:p>
        </w:tc>
        <w:tc>
          <w:tcPr>
            <w:tcW w:w="151"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color w:val="000000"/>
                <w:sz w:val="14"/>
              </w:rPr>
            </w:pPr>
            <w:r>
              <w:rPr>
                <w:rFonts w:ascii="Arial" w:hAnsi="Arial"/>
                <w:color w:val="000000"/>
                <w:sz w:val="14"/>
              </w:rPr>
              <w:t>(30,089</w:t>
            </w:r>
          </w:p>
        </w:tc>
        <w:tc>
          <w:tcPr>
            <w:tcW w:w="196"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(112,032</w:t>
            </w:r>
          </w:p>
        </w:tc>
        <w:tc>
          <w:tcPr>
            <w:tcW w:w="151"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3,012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color w:val="000000"/>
                <w:sz w:val="14"/>
              </w:rPr>
            </w:pPr>
            <w:r>
              <w:rPr>
                <w:rFonts w:ascii="Arial" w:hAnsi="Arial"/>
                <w:color w:val="000000"/>
                <w:sz w:val="14"/>
              </w:rPr>
              <w:t>(109,020</w:t>
            </w:r>
          </w:p>
        </w:tc>
        <w:tc>
          <w:tcPr>
            <w:tcW w:w="196"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(17,486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(17,486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color w:val="000000"/>
                <w:sz w:val="14"/>
              </w:rPr>
            </w:pPr>
            <w:r>
              <w:rPr>
                <w:rFonts w:ascii="Arial" w:hAnsi="Arial"/>
                <w:color w:val="000000"/>
                <w:sz w:val="14"/>
              </w:rPr>
              <w:t>Balance at December 31, 2022</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76,373,105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2,506,355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121,498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(39,107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33,434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2,622,188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color w:val="000000"/>
          <w:sz w:val="20"/>
        </w:rPr>
      </w:pPr>
      <w:r>
        <w:rPr>
          <w:rFonts w:ascii="Arial" w:hAnsi="Arial"/>
          <w:color w:val="000000"/>
          <w:sz w:val="20"/>
        </w:rPr>
        <w:t>The accompanying condensed consolidated balance sheet at December 31, 2023, the condensed consolidated statements of operations and comprehensive income (loss) for the three and nine months ended December 31, 2023 and 2022, the condensed consolidated statements of cash flows for the nine months ended December 31, 2023 and 2022 and the condensed consolidated statements of equity for the three and nine months ended December 31, 2023 and 2022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color w:val="000000"/>
          <w:sz w:val="20"/>
        </w:rPr>
      </w:pPr>
      <w:r>
        <w:rPr>
          <w:rFonts w:ascii="Arial" w:hAnsi="Arial"/>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On May 30, 2023, the Company purchased all of the issued and outstanding shares of Connect Topco Limited, a private company limited by shares and incorporated in Guernsey (Inmarsat Holdings and, together with its subsidiaries, Inmarsat) in exchange for approximately $550.7</w:t>
      </w:r>
      <w:r>
        <w:rPr>
          <w:rFonts w:ascii="Times New Roman" w:hAnsi="Times New Roman"/>
          <w:color w:val="000000"/>
          <w:sz w:val="20"/>
        </w:rPr>
        <w:t xml:space="preserve"> </w:t>
      </w:r>
      <w:r>
        <w:rPr>
          <w:rFonts w:ascii="Arial" w:hAnsi="Arial"/>
          <w:color w:val="000000"/>
          <w:sz w:val="20"/>
        </w:rPr>
        <w:t>million in cash and 46.36</w:t>
      </w:r>
      <w:r>
        <w:rPr>
          <w:rFonts w:ascii="Times New Roman" w:hAnsi="Times New Roman"/>
          <w:color w:val="000000"/>
          <w:sz w:val="20"/>
        </w:rPr>
        <w:t xml:space="preserve"> </w:t>
      </w:r>
      <w:r>
        <w:rPr>
          <w:rFonts w:ascii="Arial" w:hAnsi="Arial"/>
          <w:color w:val="000000"/>
          <w:sz w:val="20"/>
        </w:rPr>
        <w:t>million shares of the Company’s common stock (the Inmarsat Acquisition). In connection with the closing of the Inmarsat Acquisition, the Company entered into a $616.7</w:t>
      </w:r>
      <w:r>
        <w:rPr>
          <w:rFonts w:ascii="Times New Roman" w:hAnsi="Times New Roman"/>
          <w:color w:val="000000"/>
          <w:sz w:val="20"/>
        </w:rPr>
        <w:t xml:space="preserve"> </w:t>
      </w:r>
      <w:r>
        <w:rPr>
          <w:rFonts w:ascii="Arial" w:hAnsi="Arial"/>
          <w:color w:val="000000"/>
          <w:sz w:val="20"/>
        </w:rPr>
        <w:t>million senior secured term loan facility (the 2023 Term Loan Facility) and a $733.4</w:t>
      </w:r>
      <w:r>
        <w:rPr>
          <w:rFonts w:ascii="Times New Roman" w:hAnsi="Times New Roman"/>
          <w:color w:val="000000"/>
          <w:sz w:val="20"/>
        </w:rPr>
        <w:t xml:space="preserve"> </w:t>
      </w:r>
      <w:r>
        <w:rPr>
          <w:rFonts w:ascii="Arial" w:hAnsi="Arial"/>
          <w:color w:val="000000"/>
          <w:sz w:val="20"/>
        </w:rPr>
        <w:t>million unsecured bridge loan facility (the Bridge Facility), which were fully drawn at closing. On September 28, 2023, the Bridge Facility was replaced with the 7.500% Senior Notes due 2031 (the 2031 Notes). See Note 4 – Acquisition and Note 8 – Senior Notes and Other Long-Term Debt for more information. The Inmarsat Acquisition was accounted for as a purchase and accordingly, the condensed consolidated financial statements include the operating results of Inmarsat from the date of acquisition.</w:t>
      </w:r>
    </w:p>
    <w:p>
      <w:pPr>
        <w:pStyle w:val="TextBody"/>
        <w:bidi w:val="0"/>
        <w:spacing w:before="180" w:after="283"/>
        <w:jc w:val="left"/>
        <w:rPr>
          <w:rFonts w:ascii="Times New Roman" w:hAnsi="Times New Roman"/>
          <w:sz w:val="20"/>
        </w:rPr>
      </w:pPr>
      <w:r>
        <w:rPr>
          <w:rFonts w:ascii="Arial" w:hAnsi="Arial"/>
          <w:color w:val="000000"/>
          <w:sz w:val="20"/>
        </w:rPr>
        <w:t>In connection with the closing of the Inmarsat Acquisition, the Company's certificate of incorporation was amended to increase the number of shares of common stock authorized for issuance from 100,000,000</w:t>
      </w:r>
      <w:r>
        <w:rPr>
          <w:rFonts w:ascii="Times New Roman" w:hAnsi="Times New Roman"/>
          <w:color w:val="000000"/>
          <w:sz w:val="20"/>
        </w:rPr>
        <w:t xml:space="preserve"> </w:t>
      </w:r>
      <w:r>
        <w:rPr>
          <w:rFonts w:ascii="Arial" w:hAnsi="Arial"/>
          <w:color w:val="000000"/>
          <w:sz w:val="20"/>
        </w:rPr>
        <w:t>to 200,000,000</w:t>
      </w:r>
      <w:r>
        <w:rPr>
          <w:rFonts w:ascii="Times New Roman" w:hAnsi="Times New Roman"/>
          <w:color w:val="000000"/>
          <w:sz w:val="20"/>
        </w:rPr>
        <w:t xml:space="preserve"> </w:t>
      </w:r>
      <w:r>
        <w:rPr>
          <w:rFonts w:ascii="Arial" w:hAnsi="Arial"/>
          <w:color w:val="000000"/>
          <w:sz w:val="20"/>
        </w:rPr>
        <w:t>as previously approved by the Company's stockholders at a special meeting held on June 21, 2022.</w:t>
      </w:r>
    </w:p>
    <w:p>
      <w:pPr>
        <w:pStyle w:val="TextBody"/>
        <w:bidi w:val="0"/>
        <w:spacing w:before="180" w:after="283"/>
        <w:jc w:val="left"/>
        <w:rPr>
          <w:rFonts w:ascii="Times New Roman" w:hAnsi="Times New Roman"/>
          <w:sz w:val="20"/>
        </w:rPr>
      </w:pPr>
      <w:r>
        <w:rPr>
          <w:rFonts w:ascii="Arial" w:hAnsi="Arial"/>
          <w:color w:val="000000"/>
          <w:sz w:val="20"/>
        </w:rPr>
        <w:t>On January 3, 2023, the Company completed the sale of certain assets and liabilities comprising the Company's Link-16 Tactical Data Links business (the Link-16 TDL Business), part of the Company's government systems segment, to L3Harris Technologies, Inc. (L3Harris) in exchange for approximately $1.96</w:t>
      </w:r>
      <w:r>
        <w:rPr>
          <w:rFonts w:ascii="Times New Roman" w:hAnsi="Times New Roman"/>
          <w:color w:val="000000"/>
          <w:sz w:val="20"/>
        </w:rPr>
        <w:t xml:space="preserve"> </w:t>
      </w:r>
      <w:r>
        <w:rPr>
          <w:rFonts w:ascii="Arial" w:hAnsi="Arial"/>
          <w:color w:val="000000"/>
          <w:sz w:val="20"/>
        </w:rPr>
        <w:t>billion in cash, subject to adjustments (the Link-16 TDL Sale). In accordance with the authoritative guidance for discontinued operations (Accounting Standards Codification (ASC) 205-20), the Company determined that the Link-16 TDL Business met held-for-sale and discontinued operations accounting criteria at the end of the second quarter of fiscal year 2023. Accordingly, the Company classified the results of the Link-16 TDL Business as discontinued operations in its condensed consolidated statements of operations for the three and nine months ended December 31, 2022. Certain prior period quarterly amounts have been adjusted by an insignificant amount from the amounts previously reported in the Company's Quarterly Report on Form 10-Q for the quarter ended September 30, 2022, due to the determination that certain contracts could not be novated in connection with the closing of the Link-16 TDL Sale. Unless otherwise noted, discussion within the notes to the condensed consolidated financial statements relates to continuing operations only and excludes the Link-16 TDL Business. See Note 5 — Discontinued Operations for additional information.</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Performance obligations</w:t>
      </w:r>
    </w:p>
    <w:p>
      <w:pPr>
        <w:pStyle w:val="TextBody"/>
        <w:bidi w:val="0"/>
        <w:spacing w:before="8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Contracting Management Agency (DCMA), the Defense Contract Audit Agency (DCAA), and other U.S. Government agencies, as well as negotiations with U.S. Government representatives. As of December 31,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$16.6</w:t>
      </w:r>
      <w:r>
        <w:rPr>
          <w:rFonts w:ascii="Times New Roman" w:hAnsi="Times New Roman"/>
          <w:color w:val="000000"/>
          <w:sz w:val="20"/>
        </w:rPr>
        <w:t xml:space="preserve"> </w:t>
      </w:r>
      <w:r>
        <w:rPr>
          <w:rFonts w:ascii="Arial" w:hAnsi="Arial"/>
          <w:color w:val="000000"/>
          <w:sz w:val="20"/>
        </w:rPr>
        <w:t>million and $12.9</w:t>
      </w:r>
      <w:r>
        <w:rPr>
          <w:rFonts w:ascii="Times New Roman" w:hAnsi="Times New Roman"/>
          <w:color w:val="000000"/>
          <w:sz w:val="20"/>
        </w:rPr>
        <w:t xml:space="preserve"> </w:t>
      </w:r>
      <w:r>
        <w:rPr>
          <w:rFonts w:ascii="Arial" w:hAnsi="Arial"/>
          <w:color w:val="000000"/>
          <w:sz w:val="20"/>
        </w:rPr>
        <w:t>million as of December 31, 2023 and March 31, 2023, respectively, in contract-related reserves for its estimate of potential refunds to customers for potential cost adjustments on several multi-year U.S. Government cost reimbursable contracts (see Note 10 — Commitments and Contingencies for more information).</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December 31, 2023, the aggregate amount of the transaction price allocated to remaining performance obligations was $3.7</w:t>
      </w:r>
      <w:r>
        <w:rPr>
          <w:rFonts w:ascii="Times New Roman" w:hAnsi="Times New Roman"/>
          <w:color w:val="000000"/>
          <w:sz w:val="20"/>
        </w:rPr>
        <w:t xml:space="preserve"> </w:t>
      </w:r>
      <w:r>
        <w:rPr>
          <w:rFonts w:ascii="Arial" w:hAnsi="Arial"/>
          <w:color w:val="000000"/>
          <w:sz w:val="20"/>
        </w:rPr>
        <w:t>billion, of which the Company expects to recognize approximately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Disaggregation of revenue</w:t>
      </w:r>
    </w:p>
    <w:p>
      <w:pPr>
        <w:pStyle w:val="TextBody"/>
        <w:bidi w:val="0"/>
        <w:spacing w:before="80" w:after="283"/>
        <w:jc w:val="left"/>
        <w:rPr>
          <w:rFonts w:ascii="Times New Roman" w:hAnsi="Times New Roman"/>
          <w:sz w:val="20"/>
        </w:rPr>
      </w:pPr>
      <w:r>
        <w:rPr>
          <w:rFonts w:ascii="Arial" w:hAnsi="Arial"/>
          <w:color w:val="000000"/>
          <w:sz w:val="20"/>
        </w:rPr>
        <w:t>The Company operates and manages its business in three</w:t>
      </w:r>
      <w:r>
        <w:rPr>
          <w:rFonts w:ascii="Times New Roman" w:hAnsi="Times New Roman"/>
          <w:color w:val="000000"/>
          <w:sz w:val="20"/>
        </w:rPr>
        <w:t xml:space="preserve"> </w:t>
      </w:r>
      <w:r>
        <w:rPr>
          <w:rFonts w:ascii="Arial" w:hAnsi="Arial"/>
          <w:color w:val="000000"/>
          <w:sz w:val="20"/>
        </w:rPr>
        <w:t>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 and services for the three and nine months ended December 31, 2023 and 2022:</w:t>
      </w:r>
    </w:p>
    <w:p>
      <w:pPr>
        <w:pStyle w:val="TextBody"/>
        <w:bidi w:val="0"/>
        <w:jc w:val="left"/>
        <w:rPr/>
      </w:pPr>
      <w:r>
        <w:rPr/>
        <w:t> </w:t>
      </w:r>
    </w:p>
    <w:p>
      <w:pPr>
        <w:pStyle w:val="TextBody"/>
        <w:bidi w:val="0"/>
        <w:jc w:val="left"/>
        <w:rPr/>
      </w:pPr>
      <w:r>
        <w:rPr/>
        <w:t> </w:t>
      </w:r>
    </w:p>
    <w:tbl>
      <w:tblPr>
        <w:tblW w:w="7355" w:type="dxa"/>
        <w:jc w:val="left"/>
        <w:tblInd w:w="0" w:type="dxa"/>
        <w:tblLayout w:type="fixed"/>
        <w:tblCellMar>
          <w:top w:w="28" w:type="dxa"/>
          <w:left w:w="28" w:type="dxa"/>
          <w:bottom w:w="28" w:type="dxa"/>
          <w:right w:w="28" w:type="dxa"/>
        </w:tblCellMar>
      </w:tblPr>
      <w:tblGrid>
        <w:gridCol w:w="1651"/>
        <w:gridCol w:w="146"/>
        <w:gridCol w:w="211"/>
        <w:gridCol w:w="961"/>
        <w:gridCol w:w="146"/>
        <w:gridCol w:w="146"/>
        <w:gridCol w:w="220"/>
        <w:gridCol w:w="831"/>
        <w:gridCol w:w="146"/>
        <w:gridCol w:w="146"/>
        <w:gridCol w:w="229"/>
        <w:gridCol w:w="867"/>
        <w:gridCol w:w="146"/>
        <w:gridCol w:w="146"/>
        <w:gridCol w:w="211"/>
        <w:gridCol w:w="96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303,073</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825,466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1,128,539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523,517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941,174</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2,192,571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3,133,745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249,315</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400,569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682,769</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Revenues from the U.S. Government as an individual customer comprised approximately 17%</w:t>
      </w:r>
      <w:r>
        <w:rPr>
          <w:rFonts w:ascii="Times New Roman" w:hAnsi="Times New Roman"/>
          <w:color w:val="000000"/>
          <w:sz w:val="20"/>
        </w:rPr>
        <w:t xml:space="preserve"> </w:t>
      </w:r>
      <w:r>
        <w:rPr>
          <w:rFonts w:ascii="Arial" w:hAnsi="Arial"/>
          <w:color w:val="000000"/>
          <w:sz w:val="20"/>
        </w:rPr>
        <w:t>of total revenues for both the three and nine months ended December 31, 2023, and approximately 15%</w:t>
      </w:r>
      <w:r>
        <w:rPr>
          <w:rFonts w:ascii="Times New Roman" w:hAnsi="Times New Roman"/>
          <w:color w:val="000000"/>
          <w:sz w:val="20"/>
        </w:rPr>
        <w:t xml:space="preserve"> </w:t>
      </w:r>
      <w:r>
        <w:rPr>
          <w:rFonts w:ascii="Arial" w:hAnsi="Arial"/>
          <w:color w:val="000000"/>
          <w:sz w:val="20"/>
        </w:rPr>
        <w:t>and 16%</w:t>
      </w:r>
      <w:r>
        <w:rPr>
          <w:rFonts w:ascii="Times New Roman" w:hAnsi="Times New Roman"/>
          <w:color w:val="000000"/>
          <w:sz w:val="20"/>
        </w:rPr>
        <w:t xml:space="preserve"> </w:t>
      </w:r>
      <w:r>
        <w:rPr>
          <w:rFonts w:ascii="Arial" w:hAnsi="Arial"/>
          <w:color w:val="000000"/>
          <w:sz w:val="20"/>
        </w:rPr>
        <w:t>of total revenues for the three and nine months ended December 31, 2022, respectively, mainly reported within the government systems segment. Revenues from the Company’s other customers, mainly reported within the commercial networks and satellite services segments, comprised approximately 83%</w:t>
      </w:r>
      <w:r>
        <w:rPr>
          <w:rFonts w:ascii="Times New Roman" w:hAnsi="Times New Roman"/>
          <w:color w:val="000000"/>
          <w:sz w:val="20"/>
        </w:rPr>
        <w:t xml:space="preserve"> </w:t>
      </w:r>
      <w:r>
        <w:rPr>
          <w:rFonts w:ascii="Arial" w:hAnsi="Arial"/>
          <w:color w:val="000000"/>
          <w:sz w:val="20"/>
        </w:rPr>
        <w:t>of total revenues for both the three and nine months ended December 31, 2023, and approximately 85%</w:t>
      </w:r>
      <w:r>
        <w:rPr>
          <w:rFonts w:ascii="Times New Roman" w:hAnsi="Times New Roman"/>
          <w:color w:val="000000"/>
          <w:sz w:val="20"/>
        </w:rPr>
        <w:t xml:space="preserve"> </w:t>
      </w:r>
      <w:r>
        <w:rPr>
          <w:rFonts w:ascii="Arial" w:hAnsi="Arial"/>
          <w:color w:val="000000"/>
          <w:sz w:val="20"/>
        </w:rPr>
        <w:t>and 84%</w:t>
      </w:r>
      <w:r>
        <w:rPr>
          <w:rFonts w:ascii="Times New Roman" w:hAnsi="Times New Roman"/>
          <w:color w:val="000000"/>
          <w:sz w:val="20"/>
        </w:rPr>
        <w:t xml:space="preserve"> </w:t>
      </w:r>
      <w:r>
        <w:rPr>
          <w:rFonts w:ascii="Arial" w:hAnsi="Arial"/>
          <w:color w:val="000000"/>
          <w:sz w:val="20"/>
        </w:rPr>
        <w:t>of total revenues for the three and nine months ended December 31, 2022,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Company’s satellite services segment revenues are primarily derived from the Company’s in-flight services, fixed broadband services, maritime services (including narrowband and safety of communication capabilities primarily acquired through the Inmarsat Acquisition), and energy services.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91%</w:t>
      </w:r>
      <w:r>
        <w:rPr>
          <w:rFonts w:ascii="Times New Roman" w:hAnsi="Times New Roman"/>
          <w:color w:val="000000"/>
          <w:sz w:val="20"/>
        </w:rPr>
        <w:t xml:space="preserve"> </w:t>
      </w:r>
      <w:r>
        <w:rPr>
          <w:rFonts w:ascii="Arial" w:hAnsi="Arial"/>
          <w:color w:val="000000"/>
          <w:sz w:val="20"/>
        </w:rPr>
        <w:t>of the Company’s total revenues for these segments for both the three and nine months ended December 31, 2023, and approximately 90%</w:t>
      </w:r>
      <w:r>
        <w:rPr>
          <w:rFonts w:ascii="Times New Roman" w:hAnsi="Times New Roman"/>
          <w:color w:val="000000"/>
          <w:sz w:val="20"/>
        </w:rPr>
        <w:t xml:space="preserve"> </w:t>
      </w:r>
      <w:r>
        <w:rPr>
          <w:rFonts w:ascii="Arial" w:hAnsi="Arial"/>
          <w:color w:val="000000"/>
          <w:sz w:val="20"/>
        </w:rPr>
        <w:t>and 88%</w:t>
      </w:r>
      <w:r>
        <w:rPr>
          <w:rFonts w:ascii="Times New Roman" w:hAnsi="Times New Roman"/>
          <w:color w:val="000000"/>
          <w:sz w:val="20"/>
        </w:rPr>
        <w:t xml:space="preserve"> </w:t>
      </w:r>
      <w:r>
        <w:rPr>
          <w:rFonts w:ascii="Arial" w:hAnsi="Arial"/>
          <w:color w:val="000000"/>
          <w:sz w:val="20"/>
        </w:rPr>
        <w:t>of the Company’s total revenues for these segments for the three and nine months ended December 31, 2022,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10%</w:t>
      </w:r>
      <w:r>
        <w:rPr>
          <w:rFonts w:ascii="Times New Roman" w:hAnsi="Times New Roman"/>
          <w:color w:val="000000"/>
          <w:sz w:val="20"/>
        </w:rPr>
        <w:t xml:space="preserve"> </w:t>
      </w:r>
      <w:r>
        <w:rPr>
          <w:rFonts w:ascii="Arial" w:hAnsi="Arial"/>
          <w:color w:val="000000"/>
          <w:sz w:val="20"/>
        </w:rPr>
        <w:t>and 12%</w:t>
      </w:r>
      <w:r>
        <w:rPr>
          <w:rFonts w:ascii="Times New Roman" w:hAnsi="Times New Roman"/>
          <w:color w:val="000000"/>
          <w:sz w:val="20"/>
        </w:rPr>
        <w:t xml:space="preserve"> </w:t>
      </w:r>
      <w:r>
        <w:rPr>
          <w:rFonts w:ascii="Arial" w:hAnsi="Arial"/>
          <w:color w:val="000000"/>
          <w:sz w:val="20"/>
        </w:rPr>
        <w:t>of its total revenues for the three and nine months ended December 31, 2023, respectively, and approximately 15%</w:t>
      </w:r>
      <w:r>
        <w:rPr>
          <w:rFonts w:ascii="Times New Roman" w:hAnsi="Times New Roman"/>
          <w:color w:val="000000"/>
          <w:sz w:val="20"/>
        </w:rPr>
        <w:t xml:space="preserve"> </w:t>
      </w:r>
      <w:r>
        <w:rPr>
          <w:rFonts w:ascii="Arial" w:hAnsi="Arial"/>
          <w:color w:val="000000"/>
          <w:sz w:val="20"/>
        </w:rPr>
        <w:t>of its total revenues for both the three and nine months ended December 31, 2022.</w:t>
      </w:r>
    </w:p>
    <w:p>
      <w:pPr>
        <w:pStyle w:val="TextBody"/>
        <w:bidi w:val="0"/>
        <w:spacing w:before="100" w:after="283"/>
        <w:jc w:val="left"/>
        <w:rPr>
          <w:rFonts w:ascii="Arial" w:hAnsi="Arial"/>
          <w:i/>
          <w:color w:val="000000"/>
          <w:sz w:val="20"/>
        </w:rPr>
      </w:pPr>
      <w:r>
        <w:rPr>
          <w:rFonts w:ascii="Arial" w:hAnsi="Arial"/>
          <w:i/>
          <w:color w:val="000000"/>
          <w:sz w:val="20"/>
        </w:rPr>
        <w:t>Contract balances</w:t>
      </w:r>
    </w:p>
    <w:p>
      <w:pPr>
        <w:pStyle w:val="TextBody"/>
        <w:bidi w:val="0"/>
        <w:spacing w:before="80" w:after="283"/>
        <w:jc w:val="left"/>
        <w:rPr>
          <w:rFonts w:ascii="Times New Roman" w:hAnsi="Times New Roman"/>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December 31, 2023 and March 31, 2023:</w:t>
      </w:r>
      <w:r>
        <w:rPr>
          <w:rFonts w:ascii="Times New Roman" w:hAnsi="Times New Roman"/>
          <w:color w:val="000000"/>
          <w:sz w:val="20"/>
        </w:rPr>
        <w:t xml:space="preserve"> </w:t>
      </w:r>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5056"/>
        <w:gridCol w:w="146"/>
        <w:gridCol w:w="339"/>
        <w:gridCol w:w="1281"/>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148,064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104,889</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132,187</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84,747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Unbilled accounts receivable increased by $43.2</w:t>
      </w:r>
      <w:r>
        <w:rPr>
          <w:rFonts w:ascii="Times New Roman" w:hAnsi="Times New Roman"/>
          <w:color w:val="000000"/>
          <w:sz w:val="20"/>
        </w:rPr>
        <w:t xml:space="preserve"> </w:t>
      </w:r>
      <w:r>
        <w:rPr>
          <w:rFonts w:ascii="Arial" w:hAnsi="Arial"/>
          <w:color w:val="000000"/>
          <w:sz w:val="20"/>
        </w:rPr>
        <w:t>million during the nine months ended December 31, 2023, driven by revenue recognized in excess of billings primarily in the Company's government systems segment. The Inmarsat Acquisition (based on preliminary estimates) contributed approximately $16.3</w:t>
      </w:r>
      <w:r>
        <w:rPr>
          <w:rFonts w:ascii="Times New Roman" w:hAnsi="Times New Roman"/>
          <w:color w:val="000000"/>
          <w:sz w:val="20"/>
        </w:rPr>
        <w:t xml:space="preserve"> </w:t>
      </w:r>
      <w:r>
        <w:rPr>
          <w:rFonts w:ascii="Arial" w:hAnsi="Arial"/>
          <w:color w:val="000000"/>
          <w:sz w:val="20"/>
        </w:rPr>
        <w:t>million of unbilled accounts receivable.</w:t>
      </w:r>
    </w:p>
    <w:p>
      <w:pPr>
        <w:pStyle w:val="TextBody"/>
        <w:bidi w:val="0"/>
        <w:spacing w:before="180" w:after="283"/>
        <w:jc w:val="left"/>
        <w:rPr>
          <w:rFonts w:ascii="Times New Roman" w:hAnsi="Times New Roman"/>
          <w:sz w:val="20"/>
        </w:rPr>
      </w:pPr>
      <w:r>
        <w:rPr>
          <w:rFonts w:ascii="Arial" w:hAnsi="Arial"/>
          <w:color w:val="000000"/>
          <w:sz w:val="20"/>
        </w:rPr>
        <w:t>Collections in excess of revenues and deferred revenues increased by $134.0</w:t>
      </w:r>
      <w:r>
        <w:rPr>
          <w:rFonts w:ascii="Times New Roman" w:hAnsi="Times New Roman"/>
          <w:color w:val="000000"/>
          <w:sz w:val="20"/>
        </w:rPr>
        <w:t xml:space="preserve"> </w:t>
      </w:r>
      <w:r>
        <w:rPr>
          <w:rFonts w:ascii="Arial" w:hAnsi="Arial"/>
          <w:color w:val="000000"/>
          <w:sz w:val="20"/>
        </w:rPr>
        <w:t>million during the nine months ended December 31, 2023</w:t>
      </w:r>
      <w:r>
        <w:rPr>
          <w:rFonts w:ascii="Times New Roman" w:hAnsi="Times New Roman"/>
          <w:color w:val="000000"/>
          <w:sz w:val="20"/>
        </w:rPr>
        <w:t xml:space="preserve"> </w:t>
      </w:r>
      <w:r>
        <w:rPr>
          <w:rFonts w:ascii="Arial" w:hAnsi="Arial"/>
          <w:color w:val="000000"/>
          <w:sz w:val="20"/>
        </w:rPr>
        <w:t>driven primarily by $141.5</w:t>
      </w:r>
      <w:r>
        <w:rPr>
          <w:rFonts w:ascii="Times New Roman" w:hAnsi="Times New Roman"/>
          <w:color w:val="000000"/>
          <w:sz w:val="20"/>
        </w:rPr>
        <w:t xml:space="preserve"> </w:t>
      </w:r>
      <w:r>
        <w:rPr>
          <w:rFonts w:ascii="Arial" w:hAnsi="Arial"/>
          <w:color w:val="000000"/>
          <w:sz w:val="20"/>
        </w:rPr>
        <w:t>million contributed by the Inmarsat Acquisition (based on preliminary estimates) in the Company's satellite services segment. This increase was partially offset by a $7.5</w:t>
      </w:r>
      <w:r>
        <w:rPr>
          <w:rFonts w:ascii="Times New Roman" w:hAnsi="Times New Roman"/>
          <w:color w:val="000000"/>
          <w:sz w:val="20"/>
        </w:rPr>
        <w:t xml:space="preserve"> </w:t>
      </w:r>
      <w:r>
        <w:rPr>
          <w:rFonts w:ascii="Arial" w:hAnsi="Arial"/>
          <w:color w:val="000000"/>
          <w:sz w:val="20"/>
        </w:rPr>
        <w:t>million decrease during the nine months ended December 31, 2023, driven by revenue recognized in excess of advances received on goods or services primarily in the Company's satellite services segment.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Based on preliminary estimates, the Inmarsat Acquisition contributed approximately $862.5</w:t>
      </w:r>
      <w:r>
        <w:rPr>
          <w:rFonts w:ascii="Times New Roman" w:hAnsi="Times New Roman"/>
          <w:color w:val="000000"/>
          <w:sz w:val="20"/>
        </w:rPr>
        <w:t xml:space="preserve"> </w:t>
      </w:r>
      <w:r>
        <w:rPr>
          <w:rFonts w:ascii="Arial" w:hAnsi="Arial"/>
          <w:color w:val="000000"/>
          <w:sz w:val="20"/>
        </w:rPr>
        <w:t>million of deferred revenues (long-term). This increase was partially offset by a $41.9</w:t>
      </w:r>
      <w:r>
        <w:rPr>
          <w:rFonts w:ascii="Times New Roman" w:hAnsi="Times New Roman"/>
          <w:color w:val="000000"/>
          <w:sz w:val="20"/>
        </w:rPr>
        <w:t xml:space="preserve"> </w:t>
      </w:r>
      <w:r>
        <w:rPr>
          <w:rFonts w:ascii="Arial" w:hAnsi="Arial"/>
          <w:color w:val="000000"/>
          <w:sz w:val="20"/>
        </w:rPr>
        <w:t>million decrease during the nine months ended December 31, 2023, related to amounts reclassified to collections in excess of revenues and deferred revenues in the Company's satellite services segment.</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During the three and nine months ended December 31, 2023, the Company recognized revenue of $14.1</w:t>
      </w:r>
      <w:r>
        <w:rPr>
          <w:rFonts w:ascii="Times New Roman" w:hAnsi="Times New Roman"/>
          <w:color w:val="000000"/>
          <w:sz w:val="20"/>
        </w:rPr>
        <w:t xml:space="preserve"> </w:t>
      </w:r>
      <w:r>
        <w:rPr>
          <w:rFonts w:ascii="Arial" w:hAnsi="Arial"/>
          <w:color w:val="000000"/>
          <w:sz w:val="20"/>
        </w:rPr>
        <w:t>million and $91.3</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2023. During the three and nine months ended December 31, 2022, the Company recognized revenue of $10.7</w:t>
      </w:r>
      <w:r>
        <w:rPr>
          <w:rFonts w:ascii="Times New Roman" w:hAnsi="Times New Roman"/>
          <w:color w:val="000000"/>
          <w:sz w:val="20"/>
        </w:rPr>
        <w:t xml:space="preserve"> </w:t>
      </w:r>
      <w:r>
        <w:rPr>
          <w:rFonts w:ascii="Arial" w:hAnsi="Arial"/>
          <w:color w:val="000000"/>
          <w:sz w:val="20"/>
        </w:rPr>
        <w:t>million and $108.4</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2022.</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color w:val="000000"/>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qualified money-market securities.</w:t>
      </w:r>
    </w:p>
    <w:p>
      <w:pPr>
        <w:pStyle w:val="TextBody"/>
        <w:bidi w:val="0"/>
        <w:spacing w:before="280" w:after="283"/>
        <w:jc w:val="left"/>
        <w:rPr>
          <w:rFonts w:ascii="Arial" w:hAnsi="Arial"/>
          <w:b/>
          <w:i/>
          <w:color w:val="000000"/>
          <w:sz w:val="20"/>
        </w:rPr>
      </w:pPr>
      <w:r>
        <w:rPr>
          <w:rFonts w:ascii="Arial" w:hAnsi="Arial"/>
          <w:b/>
          <w:i/>
          <w:color w:val="000000"/>
          <w:sz w:val="20"/>
        </w:rPr>
        <w:t>Restricted cash</w:t>
      </w:r>
    </w:p>
    <w:p>
      <w:pPr>
        <w:pStyle w:val="TextBody"/>
        <w:bidi w:val="0"/>
        <w:spacing w:before="80" w:after="283"/>
        <w:jc w:val="left"/>
        <w:rPr>
          <w:rFonts w:ascii="Times New Roman" w:hAnsi="Times New Roman"/>
          <w:sz w:val="20"/>
        </w:rPr>
      </w:pPr>
      <w:r>
        <w:rPr>
          <w:rFonts w:ascii="Arial" w:hAnsi="Arial"/>
          <w:color w:val="000000"/>
          <w:sz w:val="20"/>
        </w:rPr>
        <w:t>Restricted cash relates to deposits required by certain counterparties as collateral pursuant to outstanding letters of credit. Restricted cash as of December 31, 2023 and March 31, 2023</w:t>
      </w:r>
      <w:r>
        <w:rPr>
          <w:rFonts w:ascii="Times New Roman" w:hAnsi="Times New Roman"/>
          <w:color w:val="000000"/>
          <w:sz w:val="20"/>
        </w:rPr>
        <w:t xml:space="preserve"> </w:t>
      </w:r>
      <w:r>
        <w:rPr>
          <w:rFonts w:ascii="Arial" w:hAnsi="Arial"/>
          <w:color w:val="000000"/>
          <w:sz w:val="20"/>
        </w:rPr>
        <w:t>was zero</w:t>
      </w:r>
      <w:r>
        <w:rPr>
          <w:rFonts w:ascii="Times New Roman" w:hAnsi="Times New Roman"/>
          <w:color w:val="000000"/>
          <w:sz w:val="20"/>
        </w:rPr>
        <w:t xml:space="preserve"> </w:t>
      </w:r>
      <w:r>
        <w:rPr>
          <w:rFonts w:ascii="Arial" w:hAnsi="Arial"/>
          <w:color w:val="000000"/>
          <w:sz w:val="20"/>
        </w:rPr>
        <w:t>and $30.5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Arial" w:hAnsi="Arial"/>
          <w:color w:val="000000"/>
          <w:sz w:val="20"/>
        </w:rPr>
      </w:pPr>
      <w:r>
        <w:rPr>
          <w:rFonts w:ascii="Arial" w:hAnsi="Arial"/>
          <w:color w:val="000000"/>
          <w:sz w:val="20"/>
        </w:rPr>
        <w:t>In accordance with the authoritative guidance for the statement of cash flows (ASU 230), the following table provides a reconciliation of cash and cash equivalents and restricted cash reported within the condensed consolidated balance sheets that total to the amounts shown in the condensed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1"/>
        <w:gridCol w:w="426"/>
        <w:gridCol w:w="285"/>
        <w:gridCol w:w="1304"/>
        <w:gridCol w:w="426"/>
        <w:gridCol w:w="426"/>
        <w:gridCol w:w="225"/>
        <w:gridCol w:w="1028"/>
        <w:gridCol w:w="474"/>
      </w:tblGrid>
      <w:tr>
        <w:trPr/>
        <w:tc>
          <w:tcPr>
            <w:tcW w:w="56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March 31, 2023</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369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4" w:type="dxa"/>
            <w:tcBorders/>
            <w:shd w:fill="FFFFFF" w:val="clear"/>
            <w:vAlign w:val="center"/>
          </w:tcPr>
          <w:p>
            <w:pPr>
              <w:pStyle w:val="TableContents"/>
              <w:bidi w:val="0"/>
              <w:spacing w:before="0" w:after="283"/>
              <w:ind w:left="0" w:right="0" w:firstLine="280"/>
              <w:jc w:val="center"/>
              <w:rPr/>
            </w:pPr>
            <w:r>
              <w:rPr/>
              <w:t> </w:t>
            </w:r>
          </w:p>
        </w:tc>
      </w:tr>
      <w:tr>
        <w:trPr/>
        <w:tc>
          <w:tcPr>
            <w:tcW w:w="56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42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1,621,228</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right"/>
              <w:rPr/>
            </w:pPr>
            <w:r>
              <w:rPr/>
              <w:t> </w:t>
            </w:r>
          </w:p>
        </w:tc>
        <w:tc>
          <w:tcPr>
            <w:tcW w:w="2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1,348,854</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561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Restricted cash</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30,532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 xml:space="preserve">Total cash and cash equivalents and restricted cash </w:t>
              <w:br/>
              <w:t>shown in the condensed consolidated statements of cash flows</w:t>
            </w:r>
          </w:p>
        </w:tc>
        <w:tc>
          <w:tcPr>
            <w:tcW w:w="42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1,621,228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1,379,386</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Times New Roman" w:hAnsi="Times New Roman"/>
          <w:sz w:val="20"/>
        </w:rPr>
      </w:pPr>
      <w:r>
        <w:rPr>
          <w:rFonts w:ascii="Arial" w:hAnsi="Arial"/>
          <w:b/>
          <w:i/>
          <w:color w:val="000000"/>
          <w:sz w:val="20"/>
        </w:rPr>
        <w:t>Short-term investments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Short-term investments comprise deposits held with banks, money market funds, certificate of deposits and other short-term, highly liquid investments with an original maturity of between 91 and 120 days.</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 years. Leasehold improvements are capitalized and amortized using the straight-line method over the shorter of the lease term or the life of the improvement.</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 $45.7</w:t>
      </w:r>
      <w:r>
        <w:rPr>
          <w:rFonts w:ascii="Times New Roman" w:hAnsi="Times New Roman"/>
          <w:color w:val="000000"/>
          <w:sz w:val="20"/>
        </w:rPr>
        <w:t xml:space="preserve"> </w:t>
      </w:r>
      <w:r>
        <w:rPr>
          <w:rFonts w:ascii="Arial" w:hAnsi="Arial"/>
          <w:color w:val="000000"/>
          <w:sz w:val="20"/>
        </w:rPr>
        <w:t>million and $172.6</w:t>
      </w:r>
      <w:r>
        <w:rPr>
          <w:rFonts w:ascii="Times New Roman" w:hAnsi="Times New Roman"/>
          <w:color w:val="000000"/>
          <w:sz w:val="20"/>
        </w:rPr>
        <w:t xml:space="preserve"> </w:t>
      </w:r>
      <w:r>
        <w:rPr>
          <w:rFonts w:ascii="Arial" w:hAnsi="Arial"/>
          <w:color w:val="000000"/>
          <w:sz w:val="20"/>
        </w:rPr>
        <w:t>million of interest expense for the three and nine months ended December 31, 2023, respectively, and $44.0</w:t>
      </w:r>
      <w:r>
        <w:rPr>
          <w:rFonts w:ascii="Times New Roman" w:hAnsi="Times New Roman"/>
          <w:color w:val="000000"/>
          <w:sz w:val="20"/>
        </w:rPr>
        <w:t xml:space="preserve"> </w:t>
      </w:r>
      <w:r>
        <w:rPr>
          <w:rFonts w:ascii="Arial" w:hAnsi="Arial"/>
          <w:color w:val="000000"/>
          <w:sz w:val="20"/>
        </w:rPr>
        <w:t>million and $116.1</w:t>
      </w:r>
      <w:r>
        <w:rPr>
          <w:rFonts w:ascii="Times New Roman" w:hAnsi="Times New Roman"/>
          <w:color w:val="000000"/>
          <w:sz w:val="20"/>
        </w:rPr>
        <w:t xml:space="preserve"> </w:t>
      </w:r>
      <w:r>
        <w:rPr>
          <w:rFonts w:ascii="Arial" w:hAnsi="Arial"/>
          <w:color w:val="000000"/>
          <w:sz w:val="20"/>
        </w:rPr>
        <w:t>million for the three and nine months ended December 31, 2022, respectively.</w:t>
      </w:r>
    </w:p>
    <w:p>
      <w:pPr>
        <w:pStyle w:val="TextBody"/>
        <w:bidi w:val="0"/>
        <w:spacing w:before="180" w:after="283"/>
        <w:jc w:val="left"/>
        <w:rPr>
          <w:rFonts w:ascii="Times New Roman" w:hAnsi="Times New Roman"/>
          <w:sz w:val="20"/>
        </w:rPr>
      </w:pPr>
      <w:r>
        <w:rPr>
          <w:rFonts w:ascii="Arial" w:hAnsi="Arial"/>
          <w:color w:val="000000"/>
          <w:sz w:val="20"/>
        </w:rPr>
        <w:t>The Company's complementary fleet of 21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in-flight connectivity services to commercial airlines in Europe, and an Inmarsat-6 (I-6) class hybrid Ka-/L-band satellite (the I-6 F1 satellite), with additional satellites under development.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2023 were $585.2</w:t>
      </w:r>
      <w:r>
        <w:rPr>
          <w:rFonts w:ascii="Times New Roman" w:hAnsi="Times New Roman"/>
          <w:color w:val="000000"/>
          <w:sz w:val="20"/>
        </w:rPr>
        <w:t xml:space="preserve"> </w:t>
      </w:r>
      <w:r>
        <w:rPr>
          <w:rFonts w:ascii="Arial" w:hAnsi="Arial"/>
          <w:color w:val="000000"/>
          <w:sz w:val="20"/>
        </w:rPr>
        <w:t>million and $254.3</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2023 were $395.4</w:t>
      </w:r>
      <w:r>
        <w:rPr>
          <w:rFonts w:ascii="Times New Roman" w:hAnsi="Times New Roman"/>
          <w:color w:val="000000"/>
          <w:sz w:val="20"/>
        </w:rPr>
        <w:t xml:space="preserve"> </w:t>
      </w:r>
      <w:r>
        <w:rPr>
          <w:rFonts w:ascii="Arial" w:hAnsi="Arial"/>
          <w:color w:val="000000"/>
          <w:sz w:val="20"/>
        </w:rPr>
        <w:t>million and $213.6</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The Company launched the first of its third-generation ViaSat-3 class satellites, ViaSat-3 F1, into orbit on April 30, 2023 and is planning to launch two additional third-generation ViaSat-3 class satellites currently under construction.</w:t>
      </w:r>
      <w:r>
        <w:rPr>
          <w:rFonts w:ascii="Times New Roman" w:hAnsi="Times New Roman"/>
          <w:color w:val="000000"/>
          <w:sz w:val="20"/>
        </w:rPr>
        <w:t xml:space="preserve"> </w:t>
      </w:r>
      <w:r>
        <w:rPr>
          <w:rFonts w:ascii="Arial" w:hAnsi="Arial"/>
          <w:color w:val="000000"/>
          <w:sz w:val="20"/>
        </w:rPr>
        <w:t>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pStyle w:val="TextBody"/>
        <w:bidi w:val="0"/>
        <w:spacing w:before="180" w:after="283"/>
        <w:jc w:val="left"/>
        <w:rPr>
          <w:rFonts w:ascii="Arial" w:hAnsi="Arial"/>
          <w:color w:val="000000"/>
          <w:sz w:val="20"/>
        </w:rPr>
      </w:pPr>
      <w:r>
        <w:rPr>
          <w:rFonts w:ascii="Arial" w:hAnsi="Arial"/>
          <w:color w:val="000000"/>
          <w:sz w:val="20"/>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pStyle w:val="TextBody"/>
        <w:bidi w:val="0"/>
        <w:spacing w:before="180" w:after="283"/>
        <w:jc w:val="left"/>
        <w:rPr>
          <w:rFonts w:ascii="Times New Roman" w:hAnsi="Times New Roman"/>
          <w:sz w:val="20"/>
        </w:rPr>
      </w:pPr>
      <w:r>
        <w:rPr>
          <w:rFonts w:ascii="Arial" w:hAnsi="Arial"/>
          <w:color w:val="000000"/>
          <w:sz w:val="20"/>
        </w:rPr>
        <w:t>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of an insignificant amount during the three months ended December 31, 2023</w:t>
      </w:r>
      <w:r>
        <w:rPr>
          <w:rFonts w:ascii="Times New Roman" w:hAnsi="Times New Roman"/>
          <w:color w:val="000000"/>
          <w:sz w:val="20"/>
        </w:rPr>
        <w:t xml:space="preserve"> </w:t>
      </w:r>
      <w:r>
        <w:rPr>
          <w:rFonts w:ascii="Arial" w:hAnsi="Arial"/>
          <w:color w:val="000000"/>
          <w:sz w:val="20"/>
        </w:rPr>
        <w:t>and approximately $1.6</w:t>
      </w:r>
      <w:r>
        <w:rPr>
          <w:rFonts w:ascii="Times New Roman" w:hAnsi="Times New Roman"/>
          <w:color w:val="000000"/>
          <w:sz w:val="20"/>
        </w:rPr>
        <w:t xml:space="preserve"> </w:t>
      </w:r>
      <w:r>
        <w:rPr>
          <w:rFonts w:ascii="Arial" w:hAnsi="Arial"/>
          <w:color w:val="000000"/>
          <w:sz w:val="20"/>
        </w:rPr>
        <w:t>billion during the nine months ended December 31, 2023</w:t>
      </w:r>
      <w:r>
        <w:rPr>
          <w:rFonts w:ascii="Times New Roman" w:hAnsi="Times New Roman"/>
          <w:color w:val="000000"/>
          <w:sz w:val="20"/>
        </w:rPr>
        <w:t xml:space="preserve"> </w:t>
      </w:r>
      <w:r>
        <w:rPr>
          <w:rFonts w:ascii="Arial" w:hAnsi="Arial"/>
          <w:color w:val="000000"/>
          <w:sz w:val="20"/>
        </w:rPr>
        <w:t>(based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As a result, the Company recorded a net loss of an insignificant amount during the three months ended December 31, 2023</w:t>
      </w:r>
      <w:r>
        <w:rPr>
          <w:rFonts w:ascii="Times New Roman" w:hAnsi="Times New Roman"/>
          <w:color w:val="000000"/>
          <w:sz w:val="20"/>
        </w:rPr>
        <w:t xml:space="preserve"> </w:t>
      </w:r>
      <w:r>
        <w:rPr>
          <w:rFonts w:ascii="Arial" w:hAnsi="Arial"/>
          <w:color w:val="000000"/>
          <w:sz w:val="20"/>
        </w:rPr>
        <w:t>and approximately $905.5</w:t>
      </w:r>
      <w:r>
        <w:rPr>
          <w:rFonts w:ascii="Times New Roman" w:hAnsi="Times New Roman"/>
          <w:color w:val="000000"/>
          <w:sz w:val="20"/>
        </w:rPr>
        <w:t xml:space="preserve"> </w:t>
      </w:r>
      <w:r>
        <w:rPr>
          <w:rFonts w:ascii="Arial" w:hAnsi="Arial"/>
          <w:color w:val="000000"/>
          <w:sz w:val="20"/>
        </w:rPr>
        <w:t>million during the nine months ended December 31, 2023, including liabilities associated with the termination of certain subcontractor agreements, in selling, general and administrative expenses in its satellite services segment in the condensed consolidated statements of operations and comprehensive income (loss). Subsequent to the third quarter of fiscal year 2024, the Company received nearly $260</w:t>
      </w:r>
      <w:r>
        <w:rPr>
          <w:rFonts w:ascii="Times New Roman" w:hAnsi="Times New Roman"/>
          <w:color w:val="000000"/>
          <w:sz w:val="20"/>
        </w:rPr>
        <w:t xml:space="preserve"> </w:t>
      </w:r>
      <w:r>
        <w:rPr>
          <w:rFonts w:ascii="Arial" w:hAnsi="Arial"/>
          <w:color w:val="000000"/>
          <w:sz w:val="20"/>
        </w:rPr>
        <w:t>million in insurance recovery proceeds related to such claims.</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one</w:t>
      </w:r>
      <w:r>
        <w:rPr>
          <w:rFonts w:ascii="Times New Roman" w:hAnsi="Times New Roman"/>
          <w:color w:val="000000"/>
          <w:sz w:val="20"/>
        </w:rPr>
        <w:t xml:space="preserve"> </w:t>
      </w:r>
      <w:r>
        <w:rPr>
          <w:rFonts w:ascii="Arial" w:hAnsi="Arial"/>
          <w:color w:val="000000"/>
          <w:sz w:val="20"/>
        </w:rPr>
        <w:t>to three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Lessee accounting</w:t>
      </w:r>
    </w:p>
    <w:p>
      <w:pPr>
        <w:pStyle w:val="TextBody"/>
        <w:bidi w:val="0"/>
        <w:spacing w:before="80" w:after="283"/>
        <w:jc w:val="left"/>
        <w:rPr>
          <w:rFonts w:ascii="Times New Roman" w:hAnsi="Times New Roman"/>
          <w:sz w:val="20"/>
        </w:rPr>
      </w:pPr>
      <w:r>
        <w:rPr>
          <w:rFonts w:ascii="Arial" w:hAnsi="Arial"/>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color w:val="000000"/>
          <w:sz w:val="20"/>
        </w:rPr>
        <w:t>to 14 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pStyle w:val="TextBody"/>
        <w:bidi w:val="0"/>
        <w:spacing w:before="100" w:after="283"/>
        <w:jc w:val="left"/>
        <w:rPr>
          <w:rFonts w:ascii="Arial" w:hAnsi="Arial"/>
          <w:i/>
          <w:color w:val="000000"/>
          <w:sz w:val="20"/>
        </w:rPr>
      </w:pPr>
      <w:r>
        <w:rPr>
          <w:rFonts w:ascii="Arial" w:hAnsi="Arial"/>
          <w:i/>
          <w:color w:val="000000"/>
          <w:sz w:val="20"/>
        </w:rPr>
        <w:t>Lessor accounting</w:t>
      </w:r>
    </w:p>
    <w:p>
      <w:pPr>
        <w:pStyle w:val="TextBody"/>
        <w:bidi w:val="0"/>
        <w:spacing w:before="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$3.8</w:t>
      </w:r>
      <w:r>
        <w:rPr>
          <w:rFonts w:ascii="Times New Roman" w:hAnsi="Times New Roman"/>
          <w:color w:val="000000"/>
          <w:sz w:val="20"/>
        </w:rPr>
        <w:t xml:space="preserve"> </w:t>
      </w:r>
      <w:r>
        <w:rPr>
          <w:rFonts w:ascii="Arial" w:hAnsi="Arial"/>
          <w:color w:val="000000"/>
          <w:sz w:val="20"/>
        </w:rPr>
        <w:t>million and $3.7</w:t>
      </w:r>
      <w:r>
        <w:rPr>
          <w:rFonts w:ascii="Times New Roman" w:hAnsi="Times New Roman"/>
          <w:color w:val="000000"/>
          <w:sz w:val="20"/>
        </w:rPr>
        <w:t xml:space="preserve"> </w:t>
      </w:r>
      <w:r>
        <w:rPr>
          <w:rFonts w:ascii="Arial" w:hAnsi="Arial"/>
          <w:color w:val="000000"/>
          <w:sz w:val="20"/>
        </w:rPr>
        <w:t>million were included in other assets as of December 31, 2023 and March 31, 2023, respectively. The Company capitalized costs of $107.8</w:t>
      </w:r>
      <w:r>
        <w:rPr>
          <w:rFonts w:ascii="Times New Roman" w:hAnsi="Times New Roman"/>
          <w:color w:val="000000"/>
          <w:sz w:val="20"/>
        </w:rPr>
        <w:t xml:space="preserve"> </w:t>
      </w:r>
      <w:r>
        <w:rPr>
          <w:rFonts w:ascii="Arial" w:hAnsi="Arial"/>
          <w:color w:val="000000"/>
          <w:sz w:val="20"/>
        </w:rPr>
        <w:t>million (including amounts acquired through the Inmarsat Acquisition) and $77.0</w:t>
      </w:r>
      <w:r>
        <w:rPr>
          <w:rFonts w:ascii="Times New Roman" w:hAnsi="Times New Roman"/>
          <w:color w:val="000000"/>
          <w:sz w:val="20"/>
        </w:rPr>
        <w:t xml:space="preserve"> </w:t>
      </w:r>
      <w:r>
        <w:rPr>
          <w:rFonts w:ascii="Arial" w:hAnsi="Arial"/>
          <w:color w:val="000000"/>
          <w:sz w:val="20"/>
        </w:rPr>
        <w:t>million related to acquiring and obtaining orbital slots and other licenses included in other assets as of December 31, 2023 and March 31, 2023, respectively. Accumulated amortization related to these assets was $8.0</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as of December 31, 2023 and March 31, 2023, respectively. Amortization expense related to these assets was an insignificant amount and $1.2</w:t>
      </w:r>
      <w:r>
        <w:rPr>
          <w:rFonts w:ascii="Times New Roman" w:hAnsi="Times New Roman"/>
          <w:color w:val="000000"/>
          <w:sz w:val="20"/>
        </w:rPr>
        <w:t xml:space="preserve"> </w:t>
      </w:r>
      <w:r>
        <w:rPr>
          <w:rFonts w:ascii="Arial" w:hAnsi="Arial"/>
          <w:color w:val="000000"/>
          <w:sz w:val="20"/>
        </w:rPr>
        <w:t>million for the three and nine months ended December 31, 2023, respectively, and an insignificant amount and $1.1</w:t>
      </w:r>
      <w:r>
        <w:rPr>
          <w:rFonts w:ascii="Times New Roman" w:hAnsi="Times New Roman"/>
          <w:color w:val="000000"/>
          <w:sz w:val="20"/>
        </w:rPr>
        <w:t xml:space="preserve"> </w:t>
      </w:r>
      <w:r>
        <w:rPr>
          <w:rFonts w:ascii="Arial" w:hAnsi="Arial"/>
          <w:color w:val="000000"/>
          <w:sz w:val="20"/>
        </w:rPr>
        <w:t>million for the three and nine months ended December 31, 2022, respectively. If a patent, orbital slot or other license is rejected, abandoned or otherwise invalidated, the unamortized cost is expensed in that period. During the three and nine months ended December 31, 2023 and 2022, the Company did not write off any significant costs due to abandonment or impairment.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During the nine months ended December 31, 2023 and 2022, the Company capitalized $50.4</w:t>
      </w:r>
      <w:r>
        <w:rPr>
          <w:rFonts w:ascii="Times New Roman" w:hAnsi="Times New Roman"/>
          <w:color w:val="000000"/>
          <w:sz w:val="20"/>
        </w:rPr>
        <w:t xml:space="preserve"> </w:t>
      </w:r>
      <w:r>
        <w:rPr>
          <w:rFonts w:ascii="Arial" w:hAnsi="Arial"/>
          <w:color w:val="000000"/>
          <w:sz w:val="20"/>
        </w:rPr>
        <w:t>million of debt issuance costs and no</w:t>
      </w:r>
      <w:r>
        <w:rPr>
          <w:rFonts w:ascii="Times New Roman" w:hAnsi="Times New Roman"/>
          <w:color w:val="000000"/>
          <w:sz w:val="20"/>
        </w:rPr>
        <w:t xml:space="preserve"> </w:t>
      </w:r>
      <w:r>
        <w:rPr>
          <w:rFonts w:ascii="Arial" w:hAnsi="Arial"/>
          <w:color w:val="000000"/>
          <w:sz w:val="20"/>
        </w:rPr>
        <w:t>debt issuance costs,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facilities are recorded in other long-term assets in the condensed consolidated balance sheets in accordance with the authoritative guidance for imputation of interest (ASC 835-30). Debt issuance costs related to the Company’s $700.0 million senior secured term loan facility (the 2022 Term Loan Facility and, together with the 2023 Term Loan Facility, the Viasat Term Loan Facilities), the Company's $616.7 million 2023 Term Loan Facility, the Company's 5.625% Senior Notes due 2025 (the 2025 Notes), the Company’s 5.625% Senior Secured Notes due 2027 (the 2027 Notes), the Company’s 6.500% Senior Notes due 2028 (the 2028 Notes), the 2031 Notes (which include debt issuance costs previously recorded with respect to the Company's former $733.4 million Bridge Facility), and the Company's direct loan facility with the Export-Import Bank of the United States (the Ex-Im Credit Facility and, together with the Viasat Term Loan Facilities, the Viasat Credit Facilities)</w:t>
      </w:r>
      <w:r>
        <w:rPr>
          <w:rFonts w:ascii="Times New Roman" w:hAnsi="Times New Roman"/>
          <w:color w:val="000000"/>
          <w:sz w:val="20"/>
        </w:rPr>
        <w:t xml:space="preserve"> </w:t>
      </w:r>
      <w:r>
        <w:rPr>
          <w:rFonts w:ascii="Arial" w:hAnsi="Arial"/>
          <w:color w:val="000000"/>
          <w:sz w:val="20"/>
        </w:rPr>
        <w:t>are recorded as a direct deduction from the carrying amount of the related debt, consistent with debt discounts, in accordance with the authoritative guidance for imputation of interest (ASC 835-30).</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$235.1</w:t>
      </w:r>
      <w:r>
        <w:rPr>
          <w:rFonts w:ascii="Times New Roman" w:hAnsi="Times New Roman"/>
          <w:color w:val="000000"/>
          <w:sz w:val="20"/>
        </w:rPr>
        <w:t xml:space="preserve"> </w:t>
      </w:r>
      <w:r>
        <w:rPr>
          <w:rFonts w:ascii="Arial" w:hAnsi="Arial"/>
          <w:color w:val="000000"/>
          <w:sz w:val="20"/>
        </w:rPr>
        <w:t>million and $222.2</w:t>
      </w:r>
      <w:r>
        <w:rPr>
          <w:rFonts w:ascii="Times New Roman" w:hAnsi="Times New Roman"/>
          <w:color w:val="000000"/>
          <w:sz w:val="20"/>
        </w:rPr>
        <w:t xml:space="preserve"> </w:t>
      </w:r>
      <w:r>
        <w:rPr>
          <w:rFonts w:ascii="Arial" w:hAnsi="Arial"/>
          <w:color w:val="000000"/>
          <w:sz w:val="20"/>
        </w:rPr>
        <w:t>million related to software developed for resale were included in other assets as of December 31, 2023 and March 31, 2023, respectively. The Company capitalized $25.1</w:t>
      </w:r>
      <w:r>
        <w:rPr>
          <w:rFonts w:ascii="Times New Roman" w:hAnsi="Times New Roman"/>
          <w:color w:val="000000"/>
          <w:sz w:val="20"/>
        </w:rPr>
        <w:t xml:space="preserve"> </w:t>
      </w:r>
      <w:r>
        <w:rPr>
          <w:rFonts w:ascii="Arial" w:hAnsi="Arial"/>
          <w:color w:val="000000"/>
          <w:sz w:val="20"/>
        </w:rPr>
        <w:t>million and $56.1</w:t>
      </w:r>
      <w:r>
        <w:rPr>
          <w:rFonts w:ascii="Times New Roman" w:hAnsi="Times New Roman"/>
          <w:color w:val="000000"/>
          <w:sz w:val="20"/>
        </w:rPr>
        <w:t xml:space="preserve"> </w:t>
      </w:r>
      <w:r>
        <w:rPr>
          <w:rFonts w:ascii="Arial" w:hAnsi="Arial"/>
          <w:color w:val="000000"/>
          <w:sz w:val="20"/>
        </w:rPr>
        <w:t>million of costs related to software developed for resale for the three and nine months ended December 31, 2023, respectively. The Company capitalized $15.7</w:t>
      </w:r>
      <w:r>
        <w:rPr>
          <w:rFonts w:ascii="Times New Roman" w:hAnsi="Times New Roman"/>
          <w:color w:val="000000"/>
          <w:sz w:val="20"/>
        </w:rPr>
        <w:t xml:space="preserve"> </w:t>
      </w:r>
      <w:r>
        <w:rPr>
          <w:rFonts w:ascii="Arial" w:hAnsi="Arial"/>
          <w:color w:val="000000"/>
          <w:sz w:val="20"/>
        </w:rPr>
        <w:t>million and $40.3</w:t>
      </w:r>
      <w:r>
        <w:rPr>
          <w:rFonts w:ascii="Times New Roman" w:hAnsi="Times New Roman"/>
          <w:color w:val="000000"/>
          <w:sz w:val="20"/>
        </w:rPr>
        <w:t xml:space="preserve"> </w:t>
      </w:r>
      <w:r>
        <w:rPr>
          <w:rFonts w:ascii="Arial" w:hAnsi="Arial"/>
          <w:color w:val="000000"/>
          <w:sz w:val="20"/>
        </w:rPr>
        <w:t>million of costs related to software developed for resale for the three and nine months ended December 31, 2022, respectively. Amortization expense for capitalized software development costs was $14.7</w:t>
      </w:r>
      <w:r>
        <w:rPr>
          <w:rFonts w:ascii="Times New Roman" w:hAnsi="Times New Roman"/>
          <w:color w:val="000000"/>
          <w:sz w:val="20"/>
        </w:rPr>
        <w:t xml:space="preserve"> </w:t>
      </w:r>
      <w:r>
        <w:rPr>
          <w:rFonts w:ascii="Arial" w:hAnsi="Arial"/>
          <w:color w:val="000000"/>
          <w:sz w:val="20"/>
        </w:rPr>
        <w:t>million and $43.2</w:t>
      </w:r>
      <w:r>
        <w:rPr>
          <w:rFonts w:ascii="Times New Roman" w:hAnsi="Times New Roman"/>
          <w:color w:val="000000"/>
          <w:sz w:val="20"/>
        </w:rPr>
        <w:t xml:space="preserve"> </w:t>
      </w:r>
      <w:r>
        <w:rPr>
          <w:rFonts w:ascii="Arial" w:hAnsi="Arial"/>
          <w:color w:val="000000"/>
          <w:sz w:val="20"/>
        </w:rPr>
        <w:t>million for the three and nine months ended December 31, 2023, respectively, and $14.2</w:t>
      </w:r>
      <w:r>
        <w:rPr>
          <w:rFonts w:ascii="Times New Roman" w:hAnsi="Times New Roman"/>
          <w:color w:val="000000"/>
          <w:sz w:val="20"/>
        </w:rPr>
        <w:t xml:space="preserve"> </w:t>
      </w:r>
      <w:r>
        <w:rPr>
          <w:rFonts w:ascii="Arial" w:hAnsi="Arial"/>
          <w:color w:val="000000"/>
          <w:sz w:val="20"/>
        </w:rPr>
        <w:t>million and $37.1</w:t>
      </w:r>
      <w:r>
        <w:rPr>
          <w:rFonts w:ascii="Times New Roman" w:hAnsi="Times New Roman"/>
          <w:color w:val="000000"/>
          <w:sz w:val="20"/>
        </w:rPr>
        <w:t xml:space="preserve"> </w:t>
      </w:r>
      <w:r>
        <w:rPr>
          <w:rFonts w:ascii="Arial" w:hAnsi="Arial"/>
          <w:color w:val="000000"/>
          <w:sz w:val="20"/>
        </w:rPr>
        <w:t>million for the three and nine months ended December 31, 2022, respectively.</w:t>
      </w:r>
    </w:p>
    <w:p>
      <w:pPr>
        <w:pStyle w:val="TextBody"/>
        <w:bidi w:val="0"/>
        <w:spacing w:before="280" w:after="283"/>
        <w:jc w:val="left"/>
        <w:rPr>
          <w:rFonts w:ascii="Times New Roman" w:hAnsi="Times New Roman"/>
          <w:sz w:val="20"/>
        </w:rPr>
      </w:pPr>
      <w:r>
        <w:rPr>
          <w:rFonts w:ascii="Arial" w:hAnsi="Arial"/>
          <w:b/>
          <w:i/>
          <w:color w:val="000000"/>
          <w:sz w:val="20"/>
        </w:rPr>
        <w:t>Self-insurance and post-retirement medical benefit liabilities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$7.2</w:t>
      </w:r>
      <w:r>
        <w:rPr>
          <w:rFonts w:ascii="Times New Roman" w:hAnsi="Times New Roman"/>
          <w:color w:val="000000"/>
          <w:sz w:val="20"/>
        </w:rPr>
        <w:t xml:space="preserve"> </w:t>
      </w:r>
      <w:r>
        <w:rPr>
          <w:rFonts w:ascii="Arial" w:hAnsi="Arial"/>
          <w:color w:val="000000"/>
          <w:sz w:val="20"/>
        </w:rPr>
        <w:t>million and $7.9</w:t>
      </w:r>
      <w:r>
        <w:rPr>
          <w:rFonts w:ascii="Times New Roman" w:hAnsi="Times New Roman"/>
          <w:color w:val="000000"/>
          <w:sz w:val="20"/>
        </w:rPr>
        <w:t xml:space="preserve"> </w:t>
      </w:r>
      <w:r>
        <w:rPr>
          <w:rFonts w:ascii="Arial" w:hAnsi="Arial"/>
          <w:color w:val="000000"/>
          <w:sz w:val="20"/>
        </w:rPr>
        <w:t>million as of December 31, 2023 and March 31, 2023,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pStyle w:val="TextBody"/>
        <w:bidi w:val="0"/>
        <w:spacing w:before="180" w:after="283"/>
        <w:jc w:val="left"/>
        <w:rPr>
          <w:rFonts w:ascii="Times New Roman" w:hAnsi="Times New Roman"/>
          <w:sz w:val="20"/>
        </w:rPr>
      </w:pPr>
      <w:r>
        <w:rPr>
          <w:rFonts w:ascii="Arial" w:hAnsi="Arial"/>
          <w:color w:val="000000"/>
          <w:sz w:val="20"/>
        </w:rPr>
        <w:t>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color w:val="000000"/>
          <w:sz w:val="20"/>
        </w:rPr>
        <w:t>The plan is self-funded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2023 and March 31, 2023, no</w:t>
      </w:r>
      <w:r>
        <w:rPr>
          <w:rFonts w:ascii="Times New Roman" w:hAnsi="Times New Roman"/>
          <w:color w:val="000000"/>
          <w:sz w:val="20"/>
        </w:rPr>
        <w:t xml:space="preserve"> </w:t>
      </w:r>
      <w:r>
        <w:rPr>
          <w:rFonts w:ascii="Arial" w:hAnsi="Arial"/>
          <w:color w:val="000000"/>
          <w:sz w:val="20"/>
        </w:rPr>
        <w:t>such amounts were accrued related to the aforementioned provisions.</w:t>
      </w:r>
    </w:p>
    <w:p>
      <w:pPr>
        <w:pStyle w:val="TextBody"/>
        <w:bidi w:val="0"/>
        <w:spacing w:before="28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On August 15, 2022, TrellisWare, a majority-owned subsidiary of the Company, completed the repurchase of shares of its common stock from participating stockholders for a total purchase price of approximately $30.0</w:t>
      </w:r>
      <w:r>
        <w:rPr>
          <w:rFonts w:ascii="Times New Roman" w:hAnsi="Times New Roman"/>
          <w:color w:val="000000"/>
          <w:sz w:val="20"/>
        </w:rPr>
        <w:t xml:space="preserve"> </w:t>
      </w:r>
      <w:r>
        <w:rPr>
          <w:rFonts w:ascii="Arial" w:hAnsi="Arial"/>
          <w:color w:val="000000"/>
          <w:sz w:val="20"/>
        </w:rPr>
        <w:t>million. The Company did not elect to participate in the share repurchase, and accordingly, the Company's ownership percentage of TrellisWare increased to slightly over 60% as a result of the share repurchase.</w:t>
      </w:r>
    </w:p>
    <w:p>
      <w:pPr>
        <w:pStyle w:val="TextBody"/>
        <w:bidi w:val="0"/>
        <w:spacing w:before="180" w:after="283"/>
        <w:jc w:val="left"/>
        <w:rPr>
          <w:rFonts w:ascii="Arial" w:hAnsi="Arial"/>
          <w:color w:val="000000"/>
          <w:sz w:val="20"/>
        </w:rPr>
      </w:pPr>
      <w:r>
        <w:rPr>
          <w:rFonts w:ascii="Arial" w:hAnsi="Arial"/>
          <w:color w:val="000000"/>
          <w:sz w:val="20"/>
        </w:rPr>
        <w:t>The following table summarizes the effect of the change in the Company's percentage ownership interest in TrellisWare on the Company's equity for the three and nine months ended December 31,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7"/>
        <w:gridCol w:w="146"/>
        <w:gridCol w:w="245"/>
        <w:gridCol w:w="997"/>
        <w:gridCol w:w="166"/>
        <w:gridCol w:w="146"/>
        <w:gridCol w:w="257"/>
        <w:gridCol w:w="917"/>
        <w:gridCol w:w="166"/>
        <w:gridCol w:w="146"/>
        <w:gridCol w:w="245"/>
        <w:gridCol w:w="997"/>
        <w:gridCol w:w="166"/>
        <w:gridCol w:w="146"/>
        <w:gridCol w:w="245"/>
        <w:gridCol w:w="997"/>
        <w:gridCol w:w="216"/>
      </w:tblGrid>
      <w:tr>
        <w:trPr/>
        <w:tc>
          <w:tcPr>
            <w:tcW w:w="4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0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3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6" w:type="dxa"/>
            <w:tcBorders/>
            <w:shd w:fill="FFFFFF" w:val="clear"/>
            <w:vAlign w:val="center"/>
          </w:tcPr>
          <w:p>
            <w:pPr>
              <w:pStyle w:val="TableContents"/>
              <w:bidi w:val="0"/>
              <w:spacing w:before="0" w:after="283"/>
              <w:jc w:val="center"/>
              <w:rPr/>
            </w:pPr>
            <w:r>
              <w:rPr/>
              <w:t> </w:t>
            </w:r>
          </w:p>
        </w:tc>
      </w:tr>
      <w:tr>
        <w:trPr/>
        <w:tc>
          <w:tcPr>
            <w:tcW w:w="40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(124,399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(42,228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(968,641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(112,032</w:t>
            </w:r>
          </w:p>
        </w:tc>
        <w:tc>
          <w:tcPr>
            <w:tcW w:w="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Transfers to noncontrolling interest</w:t>
            </w:r>
          </w:p>
        </w:tc>
        <w:tc>
          <w:tcPr>
            <w:tcW w:w="146" w:type="dxa"/>
            <w:tcBorders/>
            <w:shd w:fill="FFFFFF" w:val="cle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Change from net income (loss) attributable to Viasat, Inc. and transfers from (to) noncontrolling interest</w:t>
            </w:r>
          </w:p>
        </w:tc>
        <w:tc>
          <w:tcPr>
            <w:tcW w:w="146" w:type="dxa"/>
            <w:tcBorders/>
            <w:shd w:fill="CFF0FC" w:val="cle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(123,815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80" w:after="283"/>
        <w:jc w:val="left"/>
        <w:rPr>
          <w:rFonts w:ascii="Times New Roman" w:hAnsi="Times New Roman"/>
          <w:sz w:val="20"/>
        </w:rPr>
      </w:pPr>
      <w:r>
        <w:rPr>
          <w:rFonts w:ascii="Arial" w:hAnsi="Arial"/>
          <w:b/>
          <w:i/>
          <w:color w:val="000000"/>
          <w:sz w:val="20"/>
        </w:rPr>
        <w:t>Investments in unconsolidated affiliate — equity method</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December 31, 2023 and March 31, 2023, the Company had no</w:t>
      </w:r>
      <w:r>
        <w:rPr>
          <w:rFonts w:ascii="Times New Roman" w:hAnsi="Times New Roman"/>
          <w:color w:val="000000"/>
          <w:sz w:val="20"/>
        </w:rPr>
        <w:t xml:space="preserve"> </w:t>
      </w:r>
      <w:r>
        <w:rPr>
          <w:rFonts w:ascii="Arial" w:hAnsi="Arial"/>
          <w:color w:val="000000"/>
          <w:sz w:val="20"/>
        </w:rPr>
        <w:t>shares of common stock held in treasury.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During the three months ended December 31, 2023 and 2022, the Company issued 1,284,326</w:t>
      </w:r>
      <w:r>
        <w:rPr>
          <w:rFonts w:ascii="Times New Roman" w:hAnsi="Times New Roman"/>
          <w:color w:val="000000"/>
          <w:sz w:val="20"/>
        </w:rPr>
        <w:t xml:space="preserve"> </w:t>
      </w:r>
      <w:r>
        <w:rPr>
          <w:rFonts w:ascii="Arial" w:hAnsi="Arial"/>
          <w:color w:val="000000"/>
          <w:sz w:val="20"/>
        </w:rPr>
        <w:t>and 1,236,257</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agreements. During the nine months ended December 31, 2023 and 2022, the Company issued 1,478,822</w:t>
      </w:r>
      <w:r>
        <w:rPr>
          <w:rFonts w:ascii="Times New Roman" w:hAnsi="Times New Roman"/>
          <w:color w:val="000000"/>
          <w:sz w:val="20"/>
        </w:rPr>
        <w:t xml:space="preserve"> </w:t>
      </w:r>
      <w:r>
        <w:rPr>
          <w:rFonts w:ascii="Arial" w:hAnsi="Arial"/>
          <w:color w:val="000000"/>
          <w:sz w:val="20"/>
        </w:rPr>
        <w:t>and 1,324,658</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2023 and 2022, the Company repurchased 445,393</w:t>
      </w:r>
      <w:r>
        <w:rPr>
          <w:rFonts w:ascii="Times New Roman" w:hAnsi="Times New Roman"/>
          <w:color w:val="000000"/>
          <w:sz w:val="20"/>
        </w:rPr>
        <w:t xml:space="preserve"> </w:t>
      </w:r>
      <w:r>
        <w:rPr>
          <w:rFonts w:ascii="Arial" w:hAnsi="Arial"/>
          <w:color w:val="000000"/>
          <w:sz w:val="20"/>
        </w:rPr>
        <w:t>and 448,373</w:t>
      </w:r>
      <w:r>
        <w:rPr>
          <w:rFonts w:ascii="Times New Roman" w:hAnsi="Times New Roman"/>
          <w:color w:val="000000"/>
          <w:sz w:val="20"/>
        </w:rPr>
        <w:t xml:space="preserve"> </w:t>
      </w:r>
      <w:r>
        <w:rPr>
          <w:rFonts w:ascii="Arial" w:hAnsi="Arial"/>
          <w:color w:val="000000"/>
          <w:sz w:val="20"/>
        </w:rPr>
        <w:t>shares of common stock, respectively, at cost and with a total value of $8.7</w:t>
      </w:r>
      <w:r>
        <w:rPr>
          <w:rFonts w:ascii="Times New Roman" w:hAnsi="Times New Roman"/>
          <w:color w:val="000000"/>
          <w:sz w:val="20"/>
        </w:rPr>
        <w:t xml:space="preserve"> </w:t>
      </w:r>
      <w:r>
        <w:rPr>
          <w:rFonts w:ascii="Arial" w:hAnsi="Arial"/>
          <w:color w:val="000000"/>
          <w:sz w:val="20"/>
        </w:rPr>
        <w:t>million and $15.1</w:t>
      </w:r>
      <w:r>
        <w:rPr>
          <w:rFonts w:ascii="Times New Roman" w:hAnsi="Times New Roman"/>
          <w:color w:val="000000"/>
          <w:sz w:val="20"/>
        </w:rPr>
        <w:t xml:space="preserve"> </w:t>
      </w:r>
      <w:r>
        <w:rPr>
          <w:rFonts w:ascii="Arial" w:hAnsi="Arial"/>
          <w:color w:val="000000"/>
          <w:sz w:val="20"/>
        </w:rPr>
        <w:t>million, respectively. During the nine months ended December 31, 2023 and 2022, the Company repurchased 506,794</w:t>
      </w:r>
      <w:r>
        <w:rPr>
          <w:rFonts w:ascii="Times New Roman" w:hAnsi="Times New Roman"/>
          <w:color w:val="000000"/>
          <w:sz w:val="20"/>
        </w:rPr>
        <w:t xml:space="preserve"> </w:t>
      </w:r>
      <w:r>
        <w:rPr>
          <w:rFonts w:ascii="Arial" w:hAnsi="Arial"/>
          <w:color w:val="000000"/>
          <w:sz w:val="20"/>
        </w:rPr>
        <w:t>and 470,070</w:t>
      </w:r>
      <w:r>
        <w:rPr>
          <w:rFonts w:ascii="Times New Roman" w:hAnsi="Times New Roman"/>
          <w:color w:val="000000"/>
          <w:sz w:val="20"/>
        </w:rPr>
        <w:t xml:space="preserve"> </w:t>
      </w:r>
      <w:r>
        <w:rPr>
          <w:rFonts w:ascii="Arial" w:hAnsi="Arial"/>
          <w:color w:val="000000"/>
          <w:sz w:val="20"/>
        </w:rPr>
        <w:t>shares of common stock, respectively, at cost and with a total value of $11.2</w:t>
      </w:r>
      <w:r>
        <w:rPr>
          <w:rFonts w:ascii="Times New Roman" w:hAnsi="Times New Roman"/>
          <w:color w:val="000000"/>
          <w:sz w:val="20"/>
        </w:rPr>
        <w:t xml:space="preserve"> </w:t>
      </w:r>
      <w:r>
        <w:rPr>
          <w:rFonts w:ascii="Arial" w:hAnsi="Arial"/>
          <w:color w:val="000000"/>
          <w:sz w:val="20"/>
        </w:rPr>
        <w:t>million and $15.9</w:t>
      </w:r>
      <w:r>
        <w:rPr>
          <w:rFonts w:ascii="Times New Roman" w:hAnsi="Times New Roman"/>
          <w:color w:val="000000"/>
          <w:sz w:val="20"/>
        </w:rPr>
        <w:t xml:space="preserve"> </w:t>
      </w:r>
      <w:r>
        <w:rPr>
          <w:rFonts w:ascii="Arial" w:hAnsi="Arial"/>
          <w:color w:val="000000"/>
          <w:sz w:val="20"/>
        </w:rPr>
        <w:t>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pStyle w:val="TextBody"/>
        <w:bidi w:val="0"/>
        <w:spacing w:before="280" w:after="283"/>
        <w:jc w:val="left"/>
        <w:rPr>
          <w:rFonts w:ascii="Arial" w:hAnsi="Arial"/>
          <w:b/>
          <w:i/>
          <w:color w:val="000000"/>
          <w:sz w:val="20"/>
        </w:rPr>
      </w:pPr>
      <w:r>
        <w:rPr>
          <w:rFonts w:ascii="Arial" w:hAnsi="Arial"/>
          <w:b/>
          <w:i/>
          <w:color w:val="000000"/>
          <w:sz w:val="20"/>
        </w:rPr>
        <w:t>Derivatives</w:t>
      </w:r>
    </w:p>
    <w:p>
      <w:pPr>
        <w:pStyle w:val="TextBody"/>
        <w:bidi w:val="0"/>
        <w:spacing w:before="80" w:after="283"/>
        <w:jc w:val="left"/>
        <w:rPr>
          <w:rFonts w:ascii="Arial" w:hAnsi="Arial"/>
          <w:color w:val="000000"/>
          <w:sz w:val="20"/>
        </w:rPr>
      </w:pPr>
      <w:r>
        <w:rPr>
          <w:rFonts w:ascii="Arial" w:hAnsi="Arial"/>
          <w:color w:val="000000"/>
          <w:sz w:val="20"/>
        </w:rPr>
        <w:t>As a result of the Inmarsat Acquisition on May 30, 2023 (see Note 4 – Acquisition for more information), the Company assumed interest rate cap contracts to hedge the variable interest rate under the Inmarsat Term Loan Facility (see Note 8 – Senior Notes and Other Long-Term Debt for more information). The interest rate cap contracts provided protection of Compound SOFR up to 2% and covered 99% of the total nominal amount of the Inmarsat Term Loan Facility. At the time of the acquisition, the Company continued to account for the interest rate cap contracts as cash-flow hedges.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Arial" w:hAnsi="Arial"/>
          <w:color w:val="000000"/>
          <w:sz w:val="20"/>
        </w:rPr>
      </w:pPr>
      <w:r>
        <w:rPr>
          <w:rFonts w:ascii="Arial" w:hAnsi="Arial"/>
          <w:color w:val="000000"/>
          <w:sz w:val="20"/>
        </w:rPr>
        <w:t>Gains and losses arising from derivative instruments not designated as hedging instruments are recorded in other income (expense) as gains (losses) on derivative instruments. 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hedging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on the condensed consolidated statements of operations as the earnings of the hedge item, with the offset recorded to other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the three and nine months ended December 31, 2023, the Company recognized a loss of $10.0</w:t>
      </w:r>
      <w:r>
        <w:rPr>
          <w:rFonts w:ascii="Times New Roman" w:hAnsi="Times New Roman"/>
          <w:color w:val="000000"/>
          <w:sz w:val="20"/>
        </w:rPr>
        <w:t xml:space="preserve"> </w:t>
      </w:r>
      <w:r>
        <w:rPr>
          <w:rFonts w:ascii="Arial" w:hAnsi="Arial"/>
          <w:color w:val="000000"/>
          <w:sz w:val="20"/>
        </w:rPr>
        <w:t>million (and related tax benefit of $2.3</w:t>
      </w:r>
      <w:r>
        <w:rPr>
          <w:rFonts w:ascii="Times New Roman" w:hAnsi="Times New Roman"/>
          <w:color w:val="000000"/>
          <w:sz w:val="20"/>
        </w:rPr>
        <w:t xml:space="preserve"> </w:t>
      </w:r>
      <w:r>
        <w:rPr>
          <w:rFonts w:ascii="Arial" w:hAnsi="Arial"/>
          <w:color w:val="000000"/>
          <w:sz w:val="20"/>
        </w:rPr>
        <w:t>million) and a gain of $10.6</w:t>
      </w:r>
      <w:r>
        <w:rPr>
          <w:rFonts w:ascii="Times New Roman" w:hAnsi="Times New Roman"/>
          <w:color w:val="000000"/>
          <w:sz w:val="20"/>
        </w:rPr>
        <w:t xml:space="preserve"> </w:t>
      </w:r>
      <w:r>
        <w:rPr>
          <w:rFonts w:ascii="Arial" w:hAnsi="Arial"/>
          <w:color w:val="000000"/>
          <w:sz w:val="20"/>
        </w:rPr>
        <w:t>million (and related tax expense of $2.9</w:t>
      </w:r>
      <w:r>
        <w:rPr>
          <w:rFonts w:ascii="Times New Roman" w:hAnsi="Times New Roman"/>
          <w:color w:val="000000"/>
          <w:sz w:val="20"/>
        </w:rPr>
        <w:t xml:space="preserve"> </w:t>
      </w:r>
      <w:r>
        <w:rPr>
          <w:rFonts w:ascii="Arial" w:hAnsi="Arial"/>
          <w:color w:val="000000"/>
          <w:sz w:val="20"/>
        </w:rPr>
        <w:t>million), respectively, in other comprehensive income arising from changes in the fair value of the interest rate cap contracts (designated as cash-flow hedging instruments) related to the Inmarsat Term Loan Facility. During the three and nine months ended December 31, 2023, the Company recorded an increase of $16.9</w:t>
      </w:r>
      <w:r>
        <w:rPr>
          <w:rFonts w:ascii="Times New Roman" w:hAnsi="Times New Roman"/>
          <w:color w:val="000000"/>
          <w:sz w:val="20"/>
        </w:rPr>
        <w:t xml:space="preserve"> </w:t>
      </w:r>
      <w:r>
        <w:rPr>
          <w:rFonts w:ascii="Arial" w:hAnsi="Arial"/>
          <w:color w:val="000000"/>
          <w:sz w:val="20"/>
        </w:rPr>
        <w:t>million (and related tax expense of $4.0</w:t>
      </w:r>
      <w:r>
        <w:rPr>
          <w:rFonts w:ascii="Times New Roman" w:hAnsi="Times New Roman"/>
          <w:color w:val="000000"/>
          <w:sz w:val="20"/>
        </w:rPr>
        <w:t xml:space="preserve"> </w:t>
      </w:r>
      <w:r>
        <w:rPr>
          <w:rFonts w:ascii="Arial" w:hAnsi="Arial"/>
          <w:color w:val="000000"/>
          <w:sz w:val="20"/>
        </w:rPr>
        <w:t>million) and a decrease of $1.8</w:t>
      </w:r>
      <w:r>
        <w:rPr>
          <w:rFonts w:ascii="Times New Roman" w:hAnsi="Times New Roman"/>
          <w:color w:val="000000"/>
          <w:sz w:val="20"/>
        </w:rPr>
        <w:t xml:space="preserve"> </w:t>
      </w:r>
      <w:r>
        <w:rPr>
          <w:rFonts w:ascii="Arial" w:hAnsi="Arial"/>
          <w:color w:val="000000"/>
          <w:sz w:val="20"/>
        </w:rPr>
        <w:t>million (and related tax benefit of an insignificant amount), respectively, to other comprehensive income and interest expense, net of the recognition into income of the non-zero hedge inception fair value (based on the nature of the underlying transaction). During the three and nine months ended December 31, 2023, the Company received $14.0</w:t>
      </w:r>
      <w:r>
        <w:rPr>
          <w:rFonts w:ascii="Times New Roman" w:hAnsi="Times New Roman"/>
          <w:color w:val="000000"/>
          <w:sz w:val="20"/>
        </w:rPr>
        <w:t xml:space="preserve"> </w:t>
      </w:r>
      <w:r>
        <w:rPr>
          <w:rFonts w:ascii="Arial" w:hAnsi="Arial"/>
          <w:color w:val="000000"/>
          <w:sz w:val="20"/>
        </w:rPr>
        <w:t>million and $31.8</w:t>
      </w:r>
      <w:r>
        <w:rPr>
          <w:rFonts w:ascii="Times New Roman" w:hAnsi="Times New Roman"/>
          <w:color w:val="000000"/>
          <w:sz w:val="20"/>
        </w:rPr>
        <w:t xml:space="preserve"> </w:t>
      </w:r>
      <w:r>
        <w:rPr>
          <w:rFonts w:ascii="Arial" w:hAnsi="Arial"/>
          <w:color w:val="000000"/>
          <w:sz w:val="20"/>
        </w:rPr>
        <w:t>million in cash respectively, as a result of periodic cash settlements, which are included in operating cash flow in the condensed consolidated statements of cash flows. As of December 31, 2023, the fair value of the Company's interest rate cap contracts was $44.2</w:t>
      </w:r>
      <w:r>
        <w:rPr>
          <w:rFonts w:ascii="Times New Roman" w:hAnsi="Times New Roman"/>
          <w:color w:val="000000"/>
          <w:sz w:val="20"/>
        </w:rPr>
        <w:t xml:space="preserve"> </w:t>
      </w:r>
      <w:r>
        <w:rPr>
          <w:rFonts w:ascii="Arial" w:hAnsi="Arial"/>
          <w:color w:val="000000"/>
          <w:sz w:val="20"/>
        </w:rPr>
        <w:t>million recorded as an other current asset and $4.7</w:t>
      </w:r>
      <w:r>
        <w:rPr>
          <w:rFonts w:ascii="Times New Roman" w:hAnsi="Times New Roman"/>
          <w:color w:val="000000"/>
          <w:sz w:val="20"/>
        </w:rPr>
        <w:t xml:space="preserve"> </w:t>
      </w:r>
      <w:r>
        <w:rPr>
          <w:rFonts w:ascii="Arial" w:hAnsi="Arial"/>
          <w:color w:val="000000"/>
          <w:sz w:val="20"/>
        </w:rPr>
        <w:t>million recorded as an other asset (long-term).</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December 31, 2023</w:t>
      </w:r>
      <w:r>
        <w:rPr>
          <w:rFonts w:ascii="Times New Roman" w:hAnsi="Times New Roman"/>
          <w:color w:val="000000"/>
          <w:sz w:val="20"/>
        </w:rPr>
        <w:t xml:space="preserve"> </w:t>
      </w:r>
      <w:r>
        <w:rPr>
          <w:rFonts w:ascii="Arial" w:hAnsi="Arial"/>
          <w:color w:val="000000"/>
          <w:sz w:val="20"/>
        </w:rPr>
        <w:t>the estimated net amount of unrealized gains or losses related to the interest rate cap contracts that was expected to be reclassified to earnings net of the recognition into income of non-zero hedge inception fair value within the next 12 months was $10.3</w:t>
      </w:r>
      <w:r>
        <w:rPr>
          <w:rFonts w:ascii="Times New Roman" w:hAnsi="Times New Roman"/>
          <w:color w:val="000000"/>
          <w:sz w:val="20"/>
        </w:rPr>
        <w:t xml:space="preserve"> </w:t>
      </w:r>
      <w:r>
        <w:rPr>
          <w:rFonts w:ascii="Arial" w:hAnsi="Arial"/>
          <w:color w:val="000000"/>
          <w:sz w:val="20"/>
        </w:rPr>
        <w:t>million. The interest rate cap contracts outstanding as of December 31, 2023</w:t>
      </w:r>
      <w:r>
        <w:rPr>
          <w:rFonts w:ascii="Times New Roman" w:hAnsi="Times New Roman"/>
          <w:color w:val="000000"/>
          <w:sz w:val="20"/>
        </w:rPr>
        <w:t xml:space="preserve"> </w:t>
      </w:r>
      <w:r>
        <w:rPr>
          <w:rFonts w:ascii="Arial" w:hAnsi="Arial"/>
          <w:color w:val="000000"/>
          <w:sz w:val="20"/>
        </w:rPr>
        <w:t>will mature in February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market-based performance stock options that vest is recognized regardless of the actual outcome achieved and is recognized on a graded-vesting basis. The Company accounts for forfeitures as they occur. The Company recognized $22.2</w:t>
      </w:r>
      <w:r>
        <w:rPr>
          <w:rFonts w:ascii="Times New Roman" w:hAnsi="Times New Roman"/>
          <w:color w:val="000000"/>
          <w:sz w:val="20"/>
        </w:rPr>
        <w:t xml:space="preserve"> </w:t>
      </w:r>
      <w:r>
        <w:rPr>
          <w:rFonts w:ascii="Arial" w:hAnsi="Arial"/>
          <w:color w:val="000000"/>
          <w:sz w:val="20"/>
        </w:rPr>
        <w:t>million and $65.7</w:t>
      </w:r>
      <w:r>
        <w:rPr>
          <w:rFonts w:ascii="Times New Roman" w:hAnsi="Times New Roman"/>
          <w:color w:val="000000"/>
          <w:sz w:val="20"/>
        </w:rPr>
        <w:t xml:space="preserve"> </w:t>
      </w:r>
      <w:r>
        <w:rPr>
          <w:rFonts w:ascii="Arial" w:hAnsi="Arial"/>
          <w:color w:val="000000"/>
          <w:sz w:val="20"/>
        </w:rPr>
        <w:t>million of stock-based compensation expense for the three and nine months ended December 31, 2023, respectively. The Company recognized $20.4</w:t>
      </w:r>
      <w:r>
        <w:rPr>
          <w:rFonts w:ascii="Times New Roman" w:hAnsi="Times New Roman"/>
          <w:color w:val="000000"/>
          <w:sz w:val="20"/>
        </w:rPr>
        <w:t xml:space="preserve"> </w:t>
      </w:r>
      <w:r>
        <w:rPr>
          <w:rFonts w:ascii="Arial" w:hAnsi="Arial"/>
          <w:color w:val="000000"/>
          <w:sz w:val="20"/>
        </w:rPr>
        <w:t>million and $62.5</w:t>
      </w:r>
      <w:r>
        <w:rPr>
          <w:rFonts w:ascii="Times New Roman" w:hAnsi="Times New Roman"/>
          <w:color w:val="000000"/>
          <w:sz w:val="20"/>
        </w:rPr>
        <w:t xml:space="preserve"> </w:t>
      </w:r>
      <w:r>
        <w:rPr>
          <w:rFonts w:ascii="Arial" w:hAnsi="Arial"/>
          <w:color w:val="000000"/>
          <w:sz w:val="20"/>
        </w:rPr>
        <w:t>million of stock-based compensation expense for the three and nine months ended December 31, 2022, respectively. The Company recognizes excess tax benefits or deficiencies on vesting or settlement of awards as discrete items within income tax benefit or provision within net income (loss) and the related cash flows are classified within operating activities.</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180" w:after="283"/>
        <w:jc w:val="left"/>
        <w:rPr>
          <w:rFonts w:ascii="Times New Roman" w:hAnsi="Times New Roman"/>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80" w:after="283"/>
        <w:jc w:val="left"/>
        <w:rPr>
          <w:rFonts w:ascii="Arial" w:hAnsi="Arial"/>
          <w:color w:val="000000"/>
          <w:sz w:val="20"/>
        </w:rPr>
      </w:pPr>
      <w:r>
        <w:rPr>
          <w:rFonts w:ascii="Arial" w:hAnsi="Arial"/>
          <w:color w:val="000000"/>
          <w:sz w:val="20"/>
        </w:rPr>
        <w:t>In October 2021, the Financial Accounting Standards Board (FASB) issued ASU 2021-08, Business Combinations (Topic 805): Accounting for Contract Assets and Contract Liabilities from Contracts with Customers. ASU 2021-08 requires contract assets and contract liabilities acquired in a business combination to be recognized in accordance with Topic 606 as if the acquirer had originated the contracts. The Company adopted the new guidance prospectively in the first quarter of fiscal year 2024 and applied its provisions to the Inmarsat Acquisition (see Note 4 – Acquisition).</w:t>
      </w:r>
    </w:p>
    <w:p>
      <w:pPr>
        <w:pStyle w:val="TextBody"/>
        <w:bidi w:val="0"/>
        <w:spacing w:before="180" w:after="283"/>
        <w:jc w:val="left"/>
        <w:rPr>
          <w:rFonts w:ascii="Arial" w:hAnsi="Arial"/>
          <w:color w:val="000000"/>
          <w:sz w:val="20"/>
        </w:rPr>
      </w:pPr>
      <w:r>
        <w:rPr>
          <w:rFonts w:ascii="Arial" w:hAnsi="Arial"/>
          <w:color w:val="000000"/>
          <w:sz w:val="20"/>
        </w:rPr>
        <w:t>In March 2022, the FASB issued ASU 2022-01, Derivatives and Hedging (Topic 815): Fair Value Hedging—Portfolio Layer Method. ASU 2022-01 clarifies the accounting and promotes consistency in reporting for hedges where the portfolio layer method is applied. The Company adopted the new guidance in the first quarter of fiscal year 2024 and the guidance did not have a material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March 2022, the FASB issued ASU 2022-02, Financial Instruments – Credit Losses (Topic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Company adopted the new guidance prospectively in the first quarter of fiscal year 2024 and the guidance did not have a material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 xml:space="preserve">In June 2022, the FASB issued ASU 2022-03, Fair Value Measurement (Topic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Company beginning in fiscal year 2025.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2022, the FASB issued ASU 2022-04, Liabilities – Supplier Finance Programs (Subtopic 405-50): Disclosure of Supplier 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the interim period. The Company adopted the new guidance in the first quarter of fiscal year 2024 (including early adoption of the amendment on the rollforward information) and the guidance did not have a material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March 2023, the FASB issued ASU 2023-01, Leases (Topic 842) – Common Control Agreements. The amendments in this update that apply to public business entities clarify the accounting for leasehold improvements associated with common control leases. The new standard will become effective for the Company beginning in fiscal year 2025.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July 2023, the FASB issued ASU 2023-03, Presentation of Financial Statements (Topic 205), Income Statement – Reporting Comprehensive Income (Topic 220), Distinguishing Liabilities from Equity (Topic 480), Equity (Topic 505), and Compensation – Stock Compensation (Topic 718). This ASU amends various paragraphs in the accounting codification pursuant to the issuance of Commission Staff Accounting Bulletin (SAB) number 120. The ASU provides clarifying guidance related to employee and non-employee share-based payment accounting, including guidance related to spring-loaded awards. ASU 2023-03 is effective upon issuance. The adoption of this guidance upon issuance did not have a material impact on the Company’s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2023, the FASB issued ASU 2023-07, Segment Reporting (Topic 280): Improvements to Reportable Segment Disclosures. This ASU requires public entities to enhance disclosures about their reportable segments' significant expenses on an interim and annual basis. The new standard will become effective for the Company's annual disclosures beginning in fiscal year 2025 and for interim disclosures beginning in fiscal year 2026 on a retrospective basis. Early adoption is permitted.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should be applied either prospectively or retrospectively. The Company is currently evaluating the impact of this standard on its consolidated financial statement disclosures.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9019" w:type="dxa"/>
        <w:jc w:val="left"/>
        <w:tblInd w:w="0" w:type="dxa"/>
        <w:tblLayout w:type="fixed"/>
        <w:tblCellMar>
          <w:top w:w="28" w:type="dxa"/>
          <w:left w:w="28" w:type="dxa"/>
          <w:bottom w:w="28" w:type="dxa"/>
          <w:right w:w="28" w:type="dxa"/>
        </w:tblCellMar>
      </w:tblPr>
      <w:tblGrid>
        <w:gridCol w:w="6096"/>
        <w:gridCol w:w="146"/>
        <w:gridCol w:w="211"/>
        <w:gridCol w:w="929"/>
        <w:gridCol w:w="151"/>
        <w:gridCol w:w="146"/>
        <w:gridCol w:w="181"/>
        <w:gridCol w:w="766"/>
        <w:gridCol w:w="393"/>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As of </w:t>
              <w:br/>
              <w:t> December 31, 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As of</w:t>
              <w:br/>
              <w:t> March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4" w:type="dxa"/>
            <w:gridSpan w:val="6"/>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(In thousands)</w:t>
            </w:r>
          </w:p>
        </w:tc>
        <w:tc>
          <w:tcPr>
            <w:tcW w:w="393" w:type="dxa"/>
            <w:tcBorders/>
            <w:shd w:fill="FFFFFF" w:val="cle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Accounts receivable, net:</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2"/>
              <w:jc w:val="right"/>
              <w:rPr/>
            </w:pPr>
            <w:r>
              <w:rPr/>
              <w:t> </w:t>
            </w:r>
          </w:p>
        </w:tc>
      </w:tr>
      <w:tr>
        <w:trPr/>
        <w:tc>
          <w:tcPr>
            <w:tcW w:w="6096" w:type="dxa"/>
            <w:tcBorders/>
            <w:shd w:fill="FFFFFF" w:val="clear"/>
            <w:vAlign w:val="center"/>
          </w:tcPr>
          <w:p>
            <w:pPr>
              <w:pStyle w:val="TableContents"/>
              <w:bidi w:val="0"/>
              <w:spacing w:before="0" w:after="283"/>
              <w:ind w:left="202" w:right="0" w:firstLine="202"/>
              <w:jc w:val="left"/>
              <w:rPr>
                <w:rFonts w:ascii="Arial" w:hAnsi="Arial"/>
                <w:color w:val="000000"/>
                <w:sz w:val="13"/>
              </w:rPr>
            </w:pPr>
            <w:r>
              <w:rPr>
                <w:rFonts w:ascii="Arial" w:hAnsi="Arial"/>
                <w:color w:val="000000"/>
                <w:sz w:val="13"/>
              </w:rPr>
              <w:t>Billed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550,000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327,148</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Unbilled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148,064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104,889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Allowance for doubtful accounts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(22,218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(12,103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675,846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419,934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Inventories: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93,722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68,655</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40,202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25,347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219,627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174,561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353,551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268,563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Insurance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770,000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154,254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115,701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131,429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60,928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1,055,683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176,629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Property, equipment and satellites, net: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Equipment and software (estimated useful life of 3-7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2,644,427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1,917,243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CPE leased equipment (estimated useful life of 4-7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585,205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395,427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3"/>
              </w:rPr>
              <w:t>Furniture and fixtures (estimated useful life of</w:t>
            </w:r>
            <w:r>
              <w:rPr>
                <w:rFonts w:ascii="Times New Roman" w:hAnsi="Times New Roman"/>
                <w:color w:val="000000"/>
                <w:sz w:val="20"/>
              </w:rPr>
              <w:t xml:space="preserve"> </w:t>
            </w:r>
            <w:r>
              <w:rPr>
                <w:rFonts w:ascii="Arial" w:hAnsi="Arial"/>
                <w:color w:val="000000"/>
                <w:sz w:val="13"/>
              </w:rPr>
              <w:t>7</w:t>
            </w:r>
            <w:r>
              <w:rPr>
                <w:rFonts w:ascii="Times New Roman" w:hAnsi="Times New Roman"/>
                <w:color w:val="000000"/>
                <w:sz w:val="20"/>
              </w:rPr>
              <w:t> </w:t>
            </w:r>
            <w:r>
              <w:rPr>
                <w:rFonts w:ascii="Arial" w:hAnsi="Arial"/>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62,701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58,807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Leasehold improvements (estimated useful life of 2-17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176,658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151,827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Buildings (estimated useful life of 12-38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16,755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12,487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29,498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3,873</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1,324,922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685,646</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Satellites (estimated useful life of 7-17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3,349,663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1,056,313</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Satellite Ka-band capacity obtained under finance leases (estimated useful life of 7-11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177,576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175,712</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Satellites under construction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1,863,690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2,252,908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10,231,095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6,710,243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(2,856,753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(2,331,960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60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7,374,342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4,378,283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Other acquired intangible assets, net: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3"/>
              </w:rPr>
              <w:t>Contracts and customer relationships (weighted average useful life of 11</w:t>
            </w:r>
            <w:r>
              <w:rPr>
                <w:rFonts w:ascii="Times New Roman" w:hAnsi="Times New Roman"/>
                <w:color w:val="000000"/>
                <w:sz w:val="20"/>
              </w:rPr>
              <w:t> </w:t>
            </w:r>
            <w:r>
              <w:rPr>
                <w:rFonts w:ascii="Arial" w:hAnsi="Arial"/>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1,478,672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132,563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Orbital slots and spectrum assets (weighted average useful life of 12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1,018,600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8,600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3"/>
              </w:rPr>
              <w:t>Technology (weighted average useful life of 7</w:t>
            </w:r>
            <w:r>
              <w:rPr>
                <w:rFonts w:ascii="Times New Roman" w:hAnsi="Times New Roman"/>
                <w:color w:val="000000"/>
                <w:sz w:val="20"/>
              </w:rPr>
              <w:t> </w:t>
            </w:r>
            <w:r>
              <w:rPr>
                <w:rFonts w:ascii="Arial" w:hAnsi="Arial"/>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253,414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151,327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3"/>
              </w:rPr>
              <w:t>Trade name (weighted average useful life of 8</w:t>
            </w:r>
            <w:r>
              <w:rPr>
                <w:rFonts w:ascii="Times New Roman" w:hAnsi="Times New Roman"/>
                <w:color w:val="000000"/>
                <w:sz w:val="20"/>
              </w:rPr>
              <w:t> </w:t>
            </w:r>
            <w:r>
              <w:rPr>
                <w:rFonts w:ascii="Arial" w:hAnsi="Arial"/>
                <w:color w:val="000000"/>
                <w:sz w:val="13"/>
              </w:rPr>
              <w:t>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117,390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32,253</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3"/>
              </w:rPr>
              <w:t>Other (weighted average useful life of 5</w:t>
            </w:r>
            <w:r>
              <w:rPr>
                <w:rFonts w:ascii="Times New Roman" w:hAnsi="Times New Roman"/>
                <w:color w:val="000000"/>
                <w:sz w:val="20"/>
              </w:rPr>
              <w:t> </w:t>
            </w:r>
            <w:r>
              <w:rPr>
                <w:rFonts w:ascii="Arial" w:hAnsi="Arial"/>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253,375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21,782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3,121,451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346,525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Less: accumulated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(347,786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(145,320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2,773,665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201,205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Other assets:</w:t>
            </w:r>
          </w:p>
        </w:tc>
        <w:tc>
          <w:tcPr>
            <w:tcW w:w="146" w:type="dxa"/>
            <w:tcBorders/>
            <w:shd w:fill="CFF0FC" w:val="clear"/>
            <w:vAlign w:val="center"/>
          </w:tcPr>
          <w:p>
            <w:pPr>
              <w:pStyle w:val="TableContents"/>
              <w:bidi w:val="0"/>
              <w:spacing w:before="0" w:after="283"/>
              <w:jc w:val="center"/>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Deferred income taxes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181,072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23,724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Capitalized software costs, net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235,064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222,155</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Patents, orbital slots and other licenses, net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103,584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73,932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224,547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146,227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744,267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466,038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Accrued and other liabilities:</w:t>
            </w:r>
          </w:p>
        </w:tc>
        <w:tc>
          <w:tcPr>
            <w:tcW w:w="146" w:type="dxa"/>
            <w:tcBorders/>
            <w:shd w:fill="CFF0FC" w:val="clear"/>
            <w:vAlign w:val="center"/>
          </w:tcPr>
          <w:p>
            <w:pPr>
              <w:pStyle w:val="TableContents"/>
              <w:bidi w:val="0"/>
              <w:spacing w:before="0" w:after="283"/>
              <w:jc w:val="center"/>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Collections in excess of revenues and deferred revenues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266,147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132,187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Accrued employee compensation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170,348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125,349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Accrued vacation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45,595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45,177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Operating lease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75,002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50,639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Income taxes payable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39,007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113,905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402,969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179,975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999,068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647,232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color w:val="000000"/>
                <w:sz w:val="13"/>
              </w:rPr>
            </w:pPr>
            <w:r>
              <w:rPr>
                <w:rFonts w:ascii="Arial" w:hAnsi="Arial"/>
                <w:color w:val="000000"/>
                <w:sz w:val="13"/>
              </w:rPr>
              <w:t>Other liabilities:</w:t>
            </w:r>
          </w:p>
        </w:tc>
        <w:tc>
          <w:tcPr>
            <w:tcW w:w="146" w:type="dxa"/>
            <w:tcBorders/>
            <w:shd w:fill="CFF0FC" w:val="clear"/>
            <w:vAlign w:val="center"/>
          </w:tcPr>
          <w:p>
            <w:pPr>
              <w:pStyle w:val="TableContents"/>
              <w:bidi w:val="0"/>
              <w:spacing w:before="0" w:after="283"/>
              <w:jc w:val="center"/>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Deferred revenues, long-term portion</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905,373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FFFFFF" w:val="clear"/>
            <w:vAlign w:val="center"/>
          </w:tcPr>
          <w:p>
            <w:pPr>
              <w:pStyle w:val="TableContents"/>
              <w:bidi w:val="0"/>
              <w:spacing w:before="0" w:after="283"/>
              <w:jc w:val="right"/>
              <w:rPr>
                <w:rFonts w:ascii="Arial" w:hAnsi="Arial"/>
                <w:color w:val="000000"/>
                <w:sz w:val="13"/>
              </w:rPr>
            </w:pPr>
            <w:r>
              <w:rPr>
                <w:rFonts w:ascii="Arial" w:hAnsi="Arial"/>
                <w:color w:val="000000"/>
                <w:sz w:val="13"/>
              </w:rPr>
              <w:t>84,747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Deferred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1,292,495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13"/>
              </w:rPr>
            </w:pPr>
            <w:r>
              <w:rPr>
                <w:rFonts w:ascii="Arial" w:hAnsi="Arial"/>
                <w:color w:val="000000"/>
                <w:sz w:val="13"/>
              </w:rPr>
              <w:t>85,989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color w:val="000000"/>
                <w:sz w:val="13"/>
              </w:rPr>
            </w:pPr>
            <w:r>
              <w:rPr>
                <w:rFonts w:ascii="Arial" w:hAnsi="Arial"/>
                <w:color w:val="000000"/>
                <w:sz w:val="13"/>
              </w:rPr>
              <w:t>Other</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324,281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47,806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2,522,149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218,542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color w:val="000000"/>
          <w:sz w:val="20"/>
        </w:rPr>
      </w:pPr>
      <w:r>
        <w:rPr>
          <w:rFonts w:ascii="Arial" w:hAnsi="Arial"/>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color w:val="000000"/>
          <w:sz w:val="20"/>
        </w:rPr>
      </w:pPr>
      <w:r>
        <w:rPr>
          <w:rFonts w:ascii="Arial" w:hAnsi="Arial"/>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color w:val="000000"/>
          <w:sz w:val="20"/>
        </w:rPr>
      </w:pPr>
      <w:r>
        <w:rPr>
          <w:rFonts w:ascii="Arial" w:hAnsi="Arial"/>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December 31, 2023 and March 31, 2023.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December 31, 2023 and March 31, 2023.</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4441"/>
        <w:gridCol w:w="146"/>
        <w:gridCol w:w="339"/>
        <w:gridCol w:w="1281"/>
        <w:gridCol w:w="146"/>
        <w:gridCol w:w="146"/>
        <w:gridCol w:w="211"/>
        <w:gridCol w:w="796"/>
        <w:gridCol w:w="146"/>
        <w:gridCol w:w="146"/>
        <w:gridCol w:w="211"/>
        <w:gridCol w:w="691"/>
        <w:gridCol w:w="146"/>
        <w:gridCol w:w="146"/>
        <w:gridCol w:w="250"/>
        <w:gridCol w:w="410"/>
        <w:gridCol w:w="47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65"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center"/>
              <w:rPr/>
            </w:pPr>
            <w:r>
              <w:rPr/>
              <w:t> </w:t>
            </w:r>
          </w:p>
        </w:tc>
        <w:tc>
          <w:tcPr>
            <w:tcW w:w="3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532,112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532,112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center"/>
              <w:rPr/>
            </w:pPr>
            <w:r>
              <w:rPr/>
              <w:t> </w:t>
            </w:r>
          </w:p>
        </w:tc>
        <w:tc>
          <w:tcPr>
            <w:tcW w:w="33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0"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rate cap contracts</w:t>
            </w:r>
          </w:p>
        </w:tc>
        <w:tc>
          <w:tcPr>
            <w:tcW w:w="146" w:type="dxa"/>
            <w:tcBorders/>
            <w:shd w:fill="FFFFFF" w:val="cle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w:t>
              <w:br/>
              <w:t>   basis</w:t>
            </w:r>
          </w:p>
        </w:tc>
        <w:tc>
          <w:tcPr>
            <w:tcW w:w="146" w:type="dxa"/>
            <w:tcBorders/>
            <w:shd w:fill="CFF0FC" w:val="clear"/>
            <w:vAlign w:val="center"/>
          </w:tcPr>
          <w:p>
            <w:pPr>
              <w:pStyle w:val="TableContents"/>
              <w:bidi w:val="0"/>
              <w:spacing w:before="0" w:after="283"/>
              <w:jc w:val="center"/>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right"/>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65"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4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w:t>
              <w:br/>
              <w:t>   basis</w:t>
            </w:r>
          </w:p>
        </w:tc>
        <w:tc>
          <w:tcPr>
            <w:tcW w:w="146" w:type="dxa"/>
            <w:tcBorders/>
            <w:shd w:fill="CFF0FC" w:val="clear"/>
            <w:vAlign w:val="center"/>
          </w:tcPr>
          <w:p>
            <w:pPr>
              <w:pStyle w:val="TableContents"/>
              <w:bidi w:val="0"/>
              <w:spacing w:before="0" w:after="283"/>
              <w:jc w:val="center"/>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i/>
          <w:color w:val="000000"/>
          <w:sz w:val="20"/>
        </w:rPr>
        <w:t xml:space="preserve">Cash equivalents </w:t>
      </w:r>
      <w:r>
        <w:rPr>
          <w:rFonts w:ascii="Times New Roman" w:hAnsi="Times New Roman"/>
          <w:color w:val="000000"/>
          <w:sz w:val="20"/>
        </w:rPr>
        <w:t xml:space="preserve">— </w:t>
      </w:r>
      <w:r>
        <w:rPr>
          <w:rFonts w:ascii="Arial" w:hAnsi="Arial"/>
          <w:color w:val="000000"/>
          <w:sz w:val="20"/>
        </w:rPr>
        <w:t>The Company’s cash equivalents consist of money market funds, with a significant portion held in U.S. government backed qualified money market securities.</w:t>
      </w:r>
    </w:p>
    <w:p>
      <w:pPr>
        <w:pStyle w:val="TextBody"/>
        <w:bidi w:val="0"/>
        <w:spacing w:before="180" w:after="283"/>
        <w:jc w:val="left"/>
        <w:rPr>
          <w:rFonts w:ascii="Times New Roman" w:hAnsi="Times New Roman"/>
          <w:sz w:val="20"/>
        </w:rPr>
      </w:pPr>
      <w:r>
        <w:rPr>
          <w:rFonts w:ascii="Arial" w:hAnsi="Arial"/>
          <w:i/>
          <w:color w:val="000000"/>
          <w:sz w:val="20"/>
        </w:rPr>
        <w:t xml:space="preserve">Short-term investments </w:t>
      </w:r>
      <w:r>
        <w:rPr>
          <w:rFonts w:ascii="Times New Roman" w:hAnsi="Times New Roman"/>
          <w:color w:val="000000"/>
          <w:sz w:val="20"/>
        </w:rPr>
        <w:t xml:space="preserve">— </w:t>
      </w:r>
      <w:r>
        <w:rPr>
          <w:rFonts w:ascii="Arial" w:hAnsi="Arial"/>
          <w:color w:val="000000"/>
          <w:sz w:val="20"/>
        </w:rPr>
        <w:t>The Company’s short-term investments consist of deposits held with banks, money market funds, certificate of deposits and other short-term, highly liquid investments with an original maturity of between 91 and 120 days.</w:t>
      </w:r>
    </w:p>
    <w:p>
      <w:pPr>
        <w:pStyle w:val="TextBody"/>
        <w:bidi w:val="0"/>
        <w:spacing w:before="180" w:after="283"/>
        <w:jc w:val="left"/>
        <w:rPr>
          <w:rFonts w:ascii="Times New Roman" w:hAnsi="Times New Roman"/>
          <w:sz w:val="20"/>
        </w:rPr>
      </w:pPr>
      <w:r>
        <w:rPr>
          <w:rFonts w:ascii="Arial" w:hAnsi="Arial"/>
          <w:i/>
          <w:color w:val="000000"/>
          <w:sz w:val="20"/>
        </w:rPr>
        <w:t xml:space="preserve">Interest rate cap contracts </w:t>
      </w:r>
      <w:r>
        <w:rPr>
          <w:rFonts w:ascii="Times New Roman" w:hAnsi="Times New Roman"/>
          <w:color w:val="000000"/>
          <w:sz w:val="20"/>
        </w:rPr>
        <w:t xml:space="preserve">— </w:t>
      </w:r>
      <w:r>
        <w:rPr>
          <w:rFonts w:ascii="Arial" w:hAnsi="Arial"/>
          <w:color w:val="000000"/>
          <w:sz w:val="20"/>
        </w:rPr>
        <w:t>The Company assumed interest rate cap contracts to hedge the variable interest rate under the Inmarsat Term Loan Facility (see Note 1 – Basis of Presentation – Derivatives for more information). The Company’s interest rate cap contracts are valued using the forward interest rate curve at each reporting date (Level 2).</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Contingencies</w:t>
      </w:r>
      <w:r>
        <w:rPr>
          <w:rFonts w:ascii="Times New Roman" w:hAnsi="Times New Roman"/>
          <w:color w:val="000000"/>
          <w:sz w:val="20"/>
        </w:rPr>
        <w:t xml:space="preserve"> — </w:t>
      </w:r>
      <w:r>
        <w:rPr>
          <w:rFonts w:ascii="Arial" w:hAnsi="Arial"/>
          <w:color w:val="000000"/>
          <w:sz w:val="20"/>
        </w:rPr>
        <w:t>In connection with the acquisition of the remaining 51% interest in Euro Broadband Infrastructure Sàrl (EBI) on April 30, 2021,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condensed consolidated statements of operations and comprehensive income (loss).</w:t>
      </w:r>
      <w:r>
        <w:rPr>
          <w:rFonts w:ascii="Times New Roman" w:hAnsi="Times New Roman"/>
          <w:color w:val="000000"/>
          <w:sz w:val="20"/>
        </w:rPr>
        <w:t xml:space="preserve"> </w:t>
      </w:r>
      <w:r>
        <w:rPr>
          <w:rFonts w:ascii="Arial" w:hAnsi="Arial"/>
          <w:color w:val="000000"/>
          <w:sz w:val="20"/>
        </w:rPr>
        <w:t>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 The fair value amount was recorded in other current assets within the prepaid expenses and other current assets caption on the Company's condensed consolidated balance sheets as of March 31, 2023 and any change to fair value was recorded in the Company’s condensed consolidated statements of operations each reporting period. As of March 31, 2023, and for the three and nine months ended December 31, 2023 and 2022, the Company’s fair value estimate, and change in fair value of the contingent consideration were none or immaterial.</w:t>
      </w:r>
    </w:p>
    <w:p>
      <w:pPr>
        <w:pStyle w:val="TextBody"/>
        <w:bidi w:val="0"/>
        <w:spacing w:before="180" w:after="283"/>
        <w:jc w:val="left"/>
        <w:rPr>
          <w:rFonts w:ascii="Times New Roman" w:hAnsi="Times New Roman"/>
          <w:sz w:val="20"/>
        </w:rPr>
      </w:pPr>
      <w:r>
        <w:rPr>
          <w:rFonts w:ascii="Arial" w:hAnsi="Arial"/>
          <w:i/>
          <w:color w:val="000000"/>
          <w:sz w:val="20"/>
        </w:rPr>
        <w:t xml:space="preserve">Long-term debt </w:t>
      </w:r>
      <w:r>
        <w:rPr>
          <w:rFonts w:ascii="Times New Roman" w:hAnsi="Times New Roman"/>
          <w:color w:val="000000"/>
          <w:sz w:val="20"/>
        </w:rPr>
        <w:t xml:space="preserve">— </w:t>
      </w:r>
      <w:r>
        <w:rPr>
          <w:rFonts w:ascii="Arial" w:hAnsi="Arial"/>
          <w:color w:val="000000"/>
          <w:sz w:val="20"/>
        </w:rPr>
        <w:t>The Company’s long-term debt consists of borrowings under the Viasat Credit Facilities and Inmarsat's $2.45 billion senior secured credit facility (the Inmarsat Secured Credit Facility), $700.0 million in aggregate principal amount of 2025 Notes, $600.0 million in aggregate principal amount of 2027 Notes, $400.0 million in aggregate principal amount of 2028 Notes, $733.4 million in aggregate principal amount of 2031 Notes, $2.08 billion in aggregate principal amount of Inmarsat 2026 Notes (together with the 2025 Notes, the 2027 Notes, the 2028 Notes and the 2031 Notes, the Notes) and finance lease obligations reported at the present value of future minimum lease payments with current accrued interest. Long-term debt related to Viasat's $647.5 million revolving credit facility (the Viasat Revolving Credit Facility) and Inmarsat's $700.0 million revolving line of credit under the Inmarsat Secured Credit Facility (the Inmarsat Revolving Credit Facility) is reported at the outstanding principal amount of borrowings, while long-term debt related to the Viasat Credit Facilities, the Inmarsat Term Loan Facility and the Notes is reported at amortized cost. However, for disclosure purposes, the Company is required to measure the fair value of outstanding debt on a recurring basis. The fair value of the Company’s long-term debt related to the Viasat Term Loan Facilities, the Viasat Revolving Credit Facility and the Inmarsat Secured Credit Facility approximates its carrying amount due to its variable interest rate, which approximates a market interest rate. As of December 31, 2023 and March 31, 2023, the fair value of the Company’s long-term debt related to the Ex-Im Credit Facility was Level 2 and was approximately $38.3</w:t>
      </w:r>
      <w:r>
        <w:rPr>
          <w:rFonts w:ascii="Times New Roman" w:hAnsi="Times New Roman"/>
          <w:color w:val="000000"/>
          <w:sz w:val="20"/>
        </w:rPr>
        <w:t xml:space="preserve"> </w:t>
      </w:r>
      <w:r>
        <w:rPr>
          <w:rFonts w:ascii="Arial" w:hAnsi="Arial"/>
          <w:color w:val="000000"/>
          <w:sz w:val="20"/>
        </w:rPr>
        <w:t>million and $57.1</w:t>
      </w:r>
      <w:r>
        <w:rPr>
          <w:rFonts w:ascii="Times New Roman" w:hAnsi="Times New Roman"/>
          <w:color w:val="000000"/>
          <w:sz w:val="20"/>
        </w:rPr>
        <w:t xml:space="preserve"> </w:t>
      </w:r>
      <w:r>
        <w:rPr>
          <w:rFonts w:ascii="Arial" w:hAnsi="Arial"/>
          <w:color w:val="000000"/>
          <w:sz w:val="20"/>
        </w:rPr>
        <w:t>million, respectively. As of December 31, 2023 and March 31, 2023, the estimated fair value of the Company’s outstanding long-term debt related to each series of Notes was Level 2 and was $681.6</w:t>
      </w:r>
      <w:r>
        <w:rPr>
          <w:rFonts w:ascii="Times New Roman" w:hAnsi="Times New Roman"/>
          <w:color w:val="000000"/>
          <w:sz w:val="20"/>
        </w:rPr>
        <w:t xml:space="preserve"> </w:t>
      </w:r>
      <w:r>
        <w:rPr>
          <w:rFonts w:ascii="Arial" w:hAnsi="Arial"/>
          <w:color w:val="000000"/>
          <w:sz w:val="20"/>
        </w:rPr>
        <w:t>million and $661.5</w:t>
      </w:r>
      <w:r>
        <w:rPr>
          <w:rFonts w:ascii="Times New Roman" w:hAnsi="Times New Roman"/>
          <w:color w:val="000000"/>
          <w:sz w:val="20"/>
        </w:rPr>
        <w:t xml:space="preserve"> </w:t>
      </w:r>
      <w:r>
        <w:rPr>
          <w:rFonts w:ascii="Arial" w:hAnsi="Arial"/>
          <w:color w:val="000000"/>
          <w:sz w:val="20"/>
        </w:rPr>
        <w:t>million, respectively, for the 2025 Notes, $580.5</w:t>
      </w:r>
      <w:r>
        <w:rPr>
          <w:rFonts w:ascii="Times New Roman" w:hAnsi="Times New Roman"/>
          <w:color w:val="000000"/>
          <w:sz w:val="20"/>
        </w:rPr>
        <w:t xml:space="preserve"> </w:t>
      </w:r>
      <w:r>
        <w:rPr>
          <w:rFonts w:ascii="Arial" w:hAnsi="Arial"/>
          <w:color w:val="000000"/>
          <w:sz w:val="20"/>
        </w:rPr>
        <w:t>million and $561.7</w:t>
      </w:r>
      <w:r>
        <w:rPr>
          <w:rFonts w:ascii="Times New Roman" w:hAnsi="Times New Roman"/>
          <w:color w:val="000000"/>
          <w:sz w:val="20"/>
        </w:rPr>
        <w:t xml:space="preserve"> </w:t>
      </w:r>
      <w:r>
        <w:rPr>
          <w:rFonts w:ascii="Arial" w:hAnsi="Arial"/>
          <w:color w:val="000000"/>
          <w:sz w:val="20"/>
        </w:rPr>
        <w:t>million, respectively, for the 2027 Notes, and $327.5</w:t>
      </w:r>
      <w:r>
        <w:rPr>
          <w:rFonts w:ascii="Times New Roman" w:hAnsi="Times New Roman"/>
          <w:color w:val="000000"/>
          <w:sz w:val="20"/>
        </w:rPr>
        <w:t xml:space="preserve"> </w:t>
      </w:r>
      <w:r>
        <w:rPr>
          <w:rFonts w:ascii="Arial" w:hAnsi="Arial"/>
          <w:color w:val="000000"/>
          <w:sz w:val="20"/>
        </w:rPr>
        <w:t>million and $292.0</w:t>
      </w:r>
      <w:r>
        <w:rPr>
          <w:rFonts w:ascii="Times New Roman" w:hAnsi="Times New Roman"/>
          <w:color w:val="000000"/>
          <w:sz w:val="20"/>
        </w:rPr>
        <w:t xml:space="preserve"> </w:t>
      </w:r>
      <w:r>
        <w:rPr>
          <w:rFonts w:ascii="Arial" w:hAnsi="Arial"/>
          <w:color w:val="000000"/>
          <w:sz w:val="20"/>
        </w:rPr>
        <w:t>million, respectively, for the 2028 Notes. As of December 31, 2023, the fair value of the Company's long-term debt related to the 2031 Notes and the Inmarsat 2026 Notes was Level 2 and was $572.0</w:t>
      </w:r>
      <w:r>
        <w:rPr>
          <w:rFonts w:ascii="Times New Roman" w:hAnsi="Times New Roman"/>
          <w:color w:val="000000"/>
          <w:sz w:val="20"/>
        </w:rPr>
        <w:t xml:space="preserve"> </w:t>
      </w:r>
      <w:r>
        <w:rPr>
          <w:rFonts w:ascii="Arial" w:hAnsi="Arial"/>
          <w:color w:val="000000"/>
          <w:sz w:val="20"/>
        </w:rPr>
        <w:t>million and</w:t>
      </w:r>
      <w:r>
        <w:rPr>
          <w:rFonts w:ascii="Times New Roman" w:hAnsi="Times New Roman"/>
          <w:color w:val="000000"/>
          <w:sz w:val="20"/>
        </w:rPr>
        <w:t xml:space="preserve"> </w:t>
      </w:r>
      <w:r>
        <w:rPr>
          <w:rFonts w:ascii="Arial" w:hAnsi="Arial"/>
          <w:color w:val="000000"/>
          <w:sz w:val="20"/>
        </w:rPr>
        <w:t>$2.05</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2023 and March 31, 2023, the Company’s estimated satellite performance incentive obligations relating to certain satellites in commercial service, including accrued interest, were $17.0</w:t>
      </w:r>
      <w:r>
        <w:rPr>
          <w:rFonts w:ascii="Times New Roman" w:hAnsi="Times New Roman"/>
          <w:color w:val="000000"/>
          <w:sz w:val="20"/>
        </w:rPr>
        <w:t xml:space="preserve"> </w:t>
      </w:r>
      <w:r>
        <w:rPr>
          <w:rFonts w:ascii="Arial" w:hAnsi="Arial"/>
          <w:color w:val="000000"/>
          <w:sz w:val="20"/>
        </w:rPr>
        <w:t>million and $20.0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80" w:after="283"/>
        <w:jc w:val="left"/>
        <w:rPr/>
      </w:pPr>
      <w:r>
        <w:rPr/>
        <w:t> </w:t>
      </w:r>
    </w:p>
    <w:p>
      <w:pPr>
        <w:pStyle w:val="TextBody"/>
        <w:bidi w:val="0"/>
        <w:spacing w:before="80" w:after="283"/>
        <w:jc w:val="left"/>
        <w:rPr>
          <w:rFonts w:ascii="Arial" w:hAnsi="Arial"/>
          <w:b/>
          <w:color w:val="000000"/>
          <w:sz w:val="20"/>
        </w:rPr>
      </w:pPr>
      <w:r>
        <w:rPr>
          <w:rFonts w:ascii="Arial" w:hAnsi="Arial"/>
          <w:b/>
          <w:color w:val="000000"/>
          <w:sz w:val="20"/>
        </w:rPr>
        <w:t>Note 4 — Acquisition</w:t>
      </w:r>
    </w:p>
    <w:p>
      <w:pPr>
        <w:pStyle w:val="TextBody"/>
        <w:bidi w:val="0"/>
        <w:spacing w:before="80" w:after="283"/>
        <w:jc w:val="left"/>
        <w:rPr>
          <w:rFonts w:ascii="Times New Roman" w:hAnsi="Times New Roman"/>
          <w:sz w:val="20"/>
        </w:rPr>
      </w:pPr>
      <w:r>
        <w:rPr>
          <w:rFonts w:ascii="Arial" w:hAnsi="Arial"/>
          <w:color w:val="000000"/>
          <w:sz w:val="20"/>
        </w:rPr>
        <w:t>On May 30,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preliminary estimated goodwill of $969.2</w:t>
      </w:r>
      <w:r>
        <w:rPr>
          <w:rFonts w:ascii="Times New Roman" w:hAnsi="Times New Roman"/>
          <w:color w:val="000000"/>
          <w:sz w:val="20"/>
        </w:rPr>
        <w:t xml:space="preserve"> </w:t>
      </w:r>
      <w:r>
        <w:rPr>
          <w:rFonts w:ascii="Arial" w:hAnsi="Arial"/>
          <w:color w:val="000000"/>
          <w:sz w:val="20"/>
        </w:rPr>
        <w:t>million and $484.6</w:t>
      </w:r>
      <w:r>
        <w:rPr>
          <w:rFonts w:ascii="Times New Roman" w:hAnsi="Times New Roman"/>
          <w:color w:val="000000"/>
          <w:sz w:val="20"/>
        </w:rPr>
        <w:t xml:space="preserve"> </w:t>
      </w:r>
      <w:r>
        <w:rPr>
          <w:rFonts w:ascii="Arial" w:hAnsi="Arial"/>
          <w:color w:val="000000"/>
          <w:sz w:val="20"/>
        </w:rPr>
        <w:t>million which was recognized in the Company's satellite services and government systems segments, respectively. The goodwill recognized was not deductible for U.S. and foreign income tax purposes.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w:t>
      </w:r>
      <w:r>
        <w:rPr>
          <w:rFonts w:ascii="Times New Roman" w:hAnsi="Times New Roman"/>
          <w:color w:val="000000"/>
          <w:sz w:val="20"/>
        </w:rPr>
        <w:t xml:space="preserve"> </w:t>
      </w:r>
      <w:r>
        <w:rPr>
          <w:rFonts w:ascii="Arial" w:hAnsi="Arial"/>
          <w:color w:val="000000"/>
          <w:sz w:val="20"/>
        </w:rPr>
        <w:t>consideration transferred of approximately $2.7</w:t>
      </w:r>
      <w:r>
        <w:rPr>
          <w:rFonts w:ascii="Times New Roman" w:hAnsi="Times New Roman"/>
          <w:color w:val="000000"/>
          <w:sz w:val="20"/>
        </w:rPr>
        <w:t xml:space="preserve"> </w:t>
      </w:r>
      <w:r>
        <w:rPr>
          <w:rFonts w:ascii="Arial" w:hAnsi="Arial"/>
          <w:color w:val="000000"/>
          <w:sz w:val="20"/>
        </w:rPr>
        <w:t>billion was comprised of $2.1</w:t>
      </w:r>
      <w:r>
        <w:rPr>
          <w:rFonts w:ascii="Times New Roman" w:hAnsi="Times New Roman"/>
          <w:color w:val="000000"/>
          <w:sz w:val="20"/>
        </w:rPr>
        <w:t xml:space="preserve"> </w:t>
      </w:r>
      <w:r>
        <w:rPr>
          <w:rFonts w:ascii="Arial" w:hAnsi="Arial"/>
          <w:color w:val="000000"/>
          <w:sz w:val="20"/>
        </w:rPr>
        <w:t>billion of the fair value of approximately 46.36</w:t>
      </w:r>
      <w:r>
        <w:rPr>
          <w:rFonts w:ascii="Times New Roman" w:hAnsi="Times New Roman"/>
          <w:color w:val="000000"/>
          <w:sz w:val="20"/>
        </w:rPr>
        <w:t xml:space="preserve"> </w:t>
      </w:r>
      <w:r>
        <w:rPr>
          <w:rFonts w:ascii="Arial" w:hAnsi="Arial"/>
          <w:color w:val="000000"/>
          <w:sz w:val="20"/>
        </w:rPr>
        <w:t>million shares of the Company’s common stock issued at the closing of the transaction and $550.7</w:t>
      </w:r>
      <w:r>
        <w:rPr>
          <w:rFonts w:ascii="Times New Roman" w:hAnsi="Times New Roman"/>
          <w:color w:val="000000"/>
          <w:sz w:val="20"/>
        </w:rPr>
        <w:t xml:space="preserve"> </w:t>
      </w:r>
      <w:r>
        <w:rPr>
          <w:rFonts w:ascii="Arial" w:hAnsi="Arial"/>
          <w:color w:val="000000"/>
          <w:sz w:val="20"/>
        </w:rPr>
        <w:t>million in cash consideration. In connection with the Inmarsat Acquisition, the Company recorded acquisition-related transaction costs of an insignificant amount and $30.8</w:t>
      </w:r>
      <w:r>
        <w:rPr>
          <w:rFonts w:ascii="Times New Roman" w:hAnsi="Times New Roman"/>
          <w:color w:val="000000"/>
          <w:sz w:val="20"/>
        </w:rPr>
        <w:t xml:space="preserve"> </w:t>
      </w:r>
      <w:r>
        <w:rPr>
          <w:rFonts w:ascii="Arial" w:hAnsi="Arial"/>
          <w:color w:val="000000"/>
          <w:sz w:val="20"/>
        </w:rPr>
        <w:t>million during the three and nine months ended December 31, 2023, respectively, and $9.7</w:t>
      </w:r>
      <w:r>
        <w:rPr>
          <w:rFonts w:ascii="Times New Roman" w:hAnsi="Times New Roman"/>
          <w:color w:val="000000"/>
          <w:sz w:val="20"/>
        </w:rPr>
        <w:t xml:space="preserve"> </w:t>
      </w:r>
      <w:r>
        <w:rPr>
          <w:rFonts w:ascii="Arial" w:hAnsi="Arial"/>
          <w:color w:val="000000"/>
          <w:sz w:val="20"/>
        </w:rPr>
        <w:t>million and $32.0</w:t>
      </w:r>
      <w:r>
        <w:rPr>
          <w:rFonts w:ascii="Times New Roman" w:hAnsi="Times New Roman"/>
          <w:color w:val="000000"/>
          <w:sz w:val="20"/>
        </w:rPr>
        <w:t xml:space="preserve"> </w:t>
      </w:r>
      <w:r>
        <w:rPr>
          <w:rFonts w:ascii="Arial" w:hAnsi="Arial"/>
          <w:color w:val="000000"/>
          <w:sz w:val="20"/>
        </w:rPr>
        <w:t>million for the three and nine months ended December 31, 2022, respectively, included in selling, general and administrative expenses.</w:t>
      </w:r>
    </w:p>
    <w:p>
      <w:pPr>
        <w:pStyle w:val="TextBody"/>
        <w:bidi w:val="0"/>
        <w:spacing w:before="180" w:after="283"/>
        <w:jc w:val="left"/>
        <w:rPr>
          <w:rFonts w:ascii="Arial" w:hAnsi="Arial"/>
          <w:color w:val="000000"/>
          <w:sz w:val="20"/>
        </w:rPr>
      </w:pPr>
      <w:r>
        <w:rPr>
          <w:rFonts w:ascii="Arial" w:hAnsi="Arial"/>
          <w:color w:val="000000"/>
          <w:sz w:val="20"/>
        </w:rPr>
        <w:t>The purchase price allocation is preliminary primarily due to the pending finalization of the Company’s valuation analysis and review of various tax attributes. The Company allocated the purchase price to tangible and intangible assets acquired and liabilities assumed based on the preliminary estimates of their fair values, which is subject to adjustment for up to one year after the closing of the Inmarsat Acquisition as additional information is obtained. The preliminary purchase price allocation of the acquired assets and assumed liabilities in the Inmarsat Acquisition based on the preliminary estimated fair values as of May 30, 2023, adjusted since the closing of the Inmarsat Acquisition, primarily between property, equipment and satellites, identifiable intangible assets and goodwill, is as follows:</w:t>
      </w:r>
    </w:p>
    <w:p>
      <w:pPr>
        <w:pStyle w:val="TextBody"/>
        <w:bidi w:val="0"/>
        <w:jc w:val="left"/>
        <w:rPr/>
      </w:pPr>
      <w:r>
        <w:rPr/>
        <w:t> </w:t>
      </w:r>
    </w:p>
    <w:tbl>
      <w:tblPr>
        <w:tblW w:w="5873" w:type="dxa"/>
        <w:jc w:val="left"/>
        <w:tblInd w:w="0" w:type="dxa"/>
        <w:tblLayout w:type="fixed"/>
        <w:tblCellMar>
          <w:top w:w="28" w:type="dxa"/>
          <w:left w:w="28" w:type="dxa"/>
          <w:bottom w:w="28" w:type="dxa"/>
          <w:right w:w="28" w:type="dxa"/>
        </w:tblCellMar>
      </w:tblPr>
      <w:tblGrid>
        <w:gridCol w:w="3961"/>
        <w:gridCol w:w="146"/>
        <w:gridCol w:w="218"/>
        <w:gridCol w:w="1057"/>
        <w:gridCol w:w="4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651,679</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4,164,139</w:t>
            </w:r>
          </w:p>
        </w:tc>
        <w:tc>
          <w:tcPr>
            <w:tcW w:w="49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2,769,045</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411,931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7,996,794</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(592,237</w:t>
            </w:r>
          </w:p>
        </w:tc>
        <w:tc>
          <w:tcPr>
            <w:tcW w:w="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excluding short-term portion</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(3,519,774</w:t>
            </w:r>
          </w:p>
        </w:tc>
        <w:tc>
          <w:tcPr>
            <w:tcW w:w="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(2,659,376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liabilities assumed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(6,771,387</w:t>
            </w:r>
          </w:p>
        </w:tc>
        <w:tc>
          <w:tcPr>
            <w:tcW w:w="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1,453,685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consideration transferred</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Current liabilities and other long-term liabilities include approximately $29.6</w:t>
      </w:r>
      <w:r>
        <w:rPr>
          <w:rFonts w:ascii="Times New Roman" w:hAnsi="Times New Roman"/>
          <w:color w:val="000000"/>
          <w:sz w:val="20"/>
        </w:rPr>
        <w:t xml:space="preserve"> </w:t>
      </w:r>
      <w:r>
        <w:rPr>
          <w:rFonts w:ascii="Arial" w:hAnsi="Arial"/>
          <w:color w:val="000000"/>
          <w:sz w:val="20"/>
        </w:rPr>
        <w:t>million and $248.3</w:t>
      </w:r>
      <w:r>
        <w:rPr>
          <w:rFonts w:ascii="Times New Roman" w:hAnsi="Times New Roman"/>
          <w:color w:val="000000"/>
          <w:sz w:val="20"/>
        </w:rPr>
        <w:t xml:space="preserve"> </w:t>
      </w:r>
      <w:r>
        <w:rPr>
          <w:rFonts w:ascii="Arial" w:hAnsi="Arial"/>
          <w:color w:val="000000"/>
          <w:sz w:val="20"/>
        </w:rPr>
        <w:t>million, respectively, of unfavorable contract liabilities amortized into service revenue over a weighted average estimated useful life of approximately nine years.</w:t>
      </w:r>
      <w:r>
        <w:rPr>
          <w:rFonts w:ascii="Times New Roman" w:hAnsi="Times New Roman"/>
          <w:color w:val="000000"/>
          <w:sz w:val="20"/>
        </w:rPr>
        <w:t xml:space="preserve"> </w:t>
      </w:r>
      <w:r>
        <w:rPr>
          <w:rFonts w:ascii="Arial" w:hAnsi="Arial"/>
          <w:color w:val="000000"/>
          <w:sz w:val="20"/>
        </w:rPr>
        <w:t>Estimated amounts assigned to identifiable intangible assets are being amortized on a straight-line basis over their estimated useful lives (which approximates the economic pattern of benefit) and are as follows as of May 30, 2023:</w:t>
      </w:r>
    </w:p>
    <w:p>
      <w:pPr>
        <w:pStyle w:val="TextBody"/>
        <w:bidi w:val="0"/>
        <w:jc w:val="left"/>
        <w:rPr/>
      </w:pPr>
      <w:r>
        <w:rPr/>
        <w:t> </w:t>
      </w:r>
    </w:p>
    <w:tbl>
      <w:tblPr>
        <w:tblW w:w="7920" w:type="dxa"/>
        <w:jc w:val="left"/>
        <w:tblInd w:w="0" w:type="dxa"/>
        <w:tblLayout w:type="fixed"/>
        <w:tblCellMar>
          <w:top w:w="28" w:type="dxa"/>
          <w:left w:w="28" w:type="dxa"/>
          <w:bottom w:w="28" w:type="dxa"/>
          <w:right w:w="28" w:type="dxa"/>
        </w:tblCellMar>
      </w:tblPr>
      <w:tblGrid>
        <w:gridCol w:w="3076"/>
        <w:gridCol w:w="146"/>
        <w:gridCol w:w="310"/>
        <w:gridCol w:w="1415"/>
        <w:gridCol w:w="146"/>
        <w:gridCol w:w="146"/>
        <w:gridCol w:w="785"/>
        <w:gridCol w:w="1705"/>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Estimated Useful Life</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Orbital slots and spectrum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identifiable intangible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intangible assets acquired in the Inmarsat Acquisition were determined in accordance with the authoritative guidance for business combinations (ASC 805), based on estimated fair values using valuation techniques consistent with the market approach, income approach and/or cost approach to measure fair value.</w:t>
      </w:r>
    </w:p>
    <w:p>
      <w:pPr>
        <w:pStyle w:val="TextBody"/>
        <w:bidi w:val="0"/>
        <w:spacing w:before="180" w:after="283"/>
        <w:jc w:val="left"/>
        <w:rPr>
          <w:rFonts w:ascii="Times New Roman" w:hAnsi="Times New Roman"/>
          <w:sz w:val="20"/>
        </w:rPr>
      </w:pPr>
      <w:r>
        <w:rPr>
          <w:rFonts w:ascii="Arial" w:hAnsi="Arial"/>
          <w:color w:val="000000"/>
          <w:sz w:val="20"/>
        </w:rPr>
        <w:t>The condensed consolidated financial statements include the operating results of Inmarsat from the date of acquisition. Since the acquisition date on May 30, 2023, the Company recorded approximately $443.1</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billion in revenue during the three and nine months ended December 31, 2023, respectively, and $24.2</w:t>
      </w:r>
      <w:r>
        <w:rPr>
          <w:rFonts w:ascii="Times New Roman" w:hAnsi="Times New Roman"/>
          <w:color w:val="000000"/>
          <w:sz w:val="20"/>
        </w:rPr>
        <w:t xml:space="preserve"> </w:t>
      </w:r>
      <w:r>
        <w:rPr>
          <w:rFonts w:ascii="Arial" w:hAnsi="Arial"/>
          <w:color w:val="000000"/>
          <w:sz w:val="20"/>
        </w:rPr>
        <w:t>million and $159.3</w:t>
      </w:r>
      <w:r>
        <w:rPr>
          <w:rFonts w:ascii="Times New Roman" w:hAnsi="Times New Roman"/>
          <w:color w:val="000000"/>
          <w:sz w:val="20"/>
        </w:rPr>
        <w:t xml:space="preserve"> </w:t>
      </w:r>
      <w:r>
        <w:rPr>
          <w:rFonts w:ascii="Arial" w:hAnsi="Arial"/>
          <w:color w:val="000000"/>
          <w:sz w:val="20"/>
        </w:rPr>
        <w:t>million of net loss during the three and nine months ended December 31, 2023, respectively, with respect to the Inmarsat business (primarily in the Company’s satellite services segment, with a portion included in its government systems segment and an insignificant amount included in its commercial networks segment) in the condensed consolidated statements of operations.</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November 2023, as a part of an important milestone in the Company’s integration program following the Inmarsat Acquisition and as part of the Company’s ongoing strategy to streamline operations and better serve the Company’s growing customer base, the Company completed work on the rationalization of roles in the Company’s global business, which is intended to achieve both operational and cost efficiencies. As part of the role rationalization, the Company reduced its global workforce and recorded total costs (primarily related to employee severance payments, benefits and related termination costs) of approximately $45</w:t>
      </w:r>
      <w:r>
        <w:rPr>
          <w:rFonts w:ascii="Times New Roman" w:hAnsi="Times New Roman"/>
          <w:color w:val="000000"/>
          <w:sz w:val="20"/>
        </w:rPr>
        <w:t xml:space="preserve"> </w:t>
      </w:r>
      <w:r>
        <w:rPr>
          <w:rFonts w:ascii="Arial" w:hAnsi="Arial"/>
          <w:color w:val="000000"/>
          <w:sz w:val="20"/>
        </w:rPr>
        <w:t>million during the three and nine months ended December 31, 2023. These one-time costs were recorded within operating expenses in the Company’s condensed consolidated statements of operations across all three of the Company’s segments, with insignificant amounts remaining to be incurred and paid.</w:t>
      </w:r>
    </w:p>
    <w:p>
      <w:pPr>
        <w:pStyle w:val="TextBody"/>
        <w:bidi w:val="0"/>
        <w:spacing w:before="180" w:after="283"/>
        <w:jc w:val="left"/>
        <w:rPr>
          <w:rFonts w:ascii="Arial" w:hAnsi="Arial"/>
          <w:i/>
          <w:color w:val="000000"/>
          <w:sz w:val="20"/>
        </w:rPr>
      </w:pPr>
      <w:r>
        <w:rPr>
          <w:rFonts w:ascii="Arial" w:hAnsi="Arial"/>
          <w:i/>
          <w:color w:val="000000"/>
          <w:sz w:val="20"/>
        </w:rPr>
        <w:t>Unaudited Pro Forma Financial Information</w:t>
      </w:r>
    </w:p>
    <w:p>
      <w:pPr>
        <w:pStyle w:val="TextBody"/>
        <w:bidi w:val="0"/>
        <w:spacing w:before="80" w:after="283"/>
        <w:jc w:val="left"/>
        <w:rPr>
          <w:rFonts w:ascii="Arial" w:hAnsi="Arial"/>
          <w:color w:val="000000"/>
          <w:sz w:val="20"/>
        </w:rPr>
      </w:pPr>
      <w:r>
        <w:rPr>
          <w:rFonts w:ascii="Arial" w:hAnsi="Arial"/>
          <w:color w:val="000000"/>
          <w:sz w:val="20"/>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 months ended December 31, 2022 and nine months ended December 31, 2023 and December 31, 2022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pStyle w:val="TextBody"/>
        <w:bidi w:val="0"/>
        <w:spacing w:before="80" w:after="283"/>
        <w:jc w:val="left"/>
        <w:rPr/>
      </w:pPr>
      <w:r>
        <w:rPr/>
        <w:t> </w:t>
      </w:r>
    </w:p>
    <w:tbl>
      <w:tblPr>
        <w:tblW w:w="8557" w:type="dxa"/>
        <w:jc w:val="left"/>
        <w:tblInd w:w="0" w:type="dxa"/>
        <w:tblLayout w:type="fixed"/>
        <w:tblCellMar>
          <w:top w:w="28" w:type="dxa"/>
          <w:left w:w="28" w:type="dxa"/>
          <w:bottom w:w="28" w:type="dxa"/>
          <w:right w:w="28" w:type="dxa"/>
        </w:tblCellMar>
      </w:tblPr>
      <w:tblGrid>
        <w:gridCol w:w="2671"/>
        <w:gridCol w:w="146"/>
        <w:gridCol w:w="316"/>
        <w:gridCol w:w="1439"/>
        <w:gridCol w:w="166"/>
        <w:gridCol w:w="146"/>
        <w:gridCol w:w="283"/>
        <w:gridCol w:w="1292"/>
        <w:gridCol w:w="166"/>
        <w:gridCol w:w="146"/>
        <w:gridCol w:w="283"/>
        <w:gridCol w:w="1292"/>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29"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1,070,021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3,415,480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3,084,753</w:t>
            </w:r>
          </w:p>
        </w:tc>
        <w:tc>
          <w:tcPr>
            <w:tcW w:w="21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w:t>
              <w:br/>
              <w:t>   to Viasat, Inc.</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(33,972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(922,451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(297,647</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80" w:after="283"/>
        <w:jc w:val="left"/>
        <w:rPr>
          <w:rFonts w:ascii="Arial" w:hAnsi="Arial"/>
          <w:b/>
          <w:color w:val="000000"/>
          <w:sz w:val="20"/>
        </w:rPr>
      </w:pPr>
      <w:r>
        <w:rPr>
          <w:rFonts w:ascii="Arial" w:hAnsi="Arial"/>
          <w:b/>
          <w:color w:val="000000"/>
          <w:sz w:val="20"/>
        </w:rPr>
        <w:t>Note 5 — Discontinued Operations</w:t>
      </w:r>
    </w:p>
    <w:p>
      <w:pPr>
        <w:pStyle w:val="TextBody"/>
        <w:bidi w:val="0"/>
        <w:spacing w:before="80" w:after="283"/>
        <w:jc w:val="left"/>
        <w:rPr>
          <w:rFonts w:ascii="Times New Roman" w:hAnsi="Times New Roman"/>
          <w:sz w:val="20"/>
        </w:rPr>
      </w:pPr>
      <w:r>
        <w:rPr>
          <w:rFonts w:ascii="Arial" w:hAnsi="Arial"/>
          <w:color w:val="000000"/>
          <w:sz w:val="20"/>
        </w:rPr>
        <w:t>On October 1, 2022, the Company entered into an Asset Purchase Agreement to sell the Link-16 TDL Business in its government systems segment to L3Harris in exchange for approximately $1.96</w:t>
      </w:r>
      <w:r>
        <w:rPr>
          <w:rFonts w:ascii="Times New Roman" w:hAnsi="Times New Roman"/>
          <w:color w:val="000000"/>
          <w:sz w:val="20"/>
        </w:rPr>
        <w:t xml:space="preserve"> </w:t>
      </w:r>
      <w:r>
        <w:rPr>
          <w:rFonts w:ascii="Arial" w:hAnsi="Arial"/>
          <w:color w:val="000000"/>
          <w:sz w:val="20"/>
        </w:rPr>
        <w:t>billion in cash, subject to adjustments. In accordance with ASC 205-20, the Company determined that the Link-16 TDL Business met held-for sale and discontinued operations accounting criteria at the end of the second quarter of fiscal year 2023. On January 3, 2023, the Company completed the Link-16 TDL Sale. Accordingly, the Company classified the results of the Link-16 TDL Business as discontinued operations in its condensed consolidated statements of operations for the three and nine months ended December 31, 2022.</w:t>
      </w:r>
    </w:p>
    <w:p>
      <w:pPr>
        <w:pStyle w:val="TextBody"/>
        <w:bidi w:val="0"/>
        <w:spacing w:before="180" w:after="283"/>
        <w:jc w:val="left"/>
        <w:rPr>
          <w:rFonts w:ascii="Arial" w:hAnsi="Arial"/>
          <w:color w:val="000000"/>
          <w:sz w:val="20"/>
        </w:rPr>
      </w:pPr>
      <w:r>
        <w:rPr>
          <w:rFonts w:ascii="Arial" w:hAnsi="Arial"/>
          <w:color w:val="000000"/>
          <w:sz w:val="20"/>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condensed consolidated financial statements was not significant.</w:t>
      </w:r>
    </w:p>
    <w:p>
      <w:pPr>
        <w:pStyle w:val="TextBody"/>
        <w:bidi w:val="0"/>
        <w:spacing w:before="180" w:after="283"/>
        <w:jc w:val="left"/>
        <w:rPr>
          <w:rFonts w:ascii="Arial" w:hAnsi="Arial"/>
          <w:color w:val="000000"/>
          <w:sz w:val="20"/>
        </w:rPr>
      </w:pPr>
      <w:r>
        <w:rPr>
          <w:rFonts w:ascii="Arial" w:hAnsi="Arial"/>
          <w:color w:val="000000"/>
          <w:sz w:val="20"/>
        </w:rPr>
        <w:t>The operating results of the discontinued operations only reflect revenues and expenses that are directly attributable to the Link-16 TDL Business that have been eliminated from continuing operations. The following table presents key components of “Net income (loss) from discontinued operations, net of tax” for the three and nine months ended December 31, 2022:</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01"/>
        <w:gridCol w:w="146"/>
        <w:gridCol w:w="404"/>
        <w:gridCol w:w="1325"/>
        <w:gridCol w:w="166"/>
        <w:gridCol w:w="146"/>
        <w:gridCol w:w="344"/>
        <w:gridCol w:w="1300"/>
        <w:gridCol w:w="473"/>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5"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vAlign w:val="center"/>
          </w:tcPr>
          <w:p>
            <w:pPr>
              <w:pStyle w:val="TableContents"/>
              <w:bidi w:val="0"/>
              <w:spacing w:before="0" w:after="283"/>
              <w:jc w:val="center"/>
              <w:rPr/>
            </w:pPr>
            <w:r>
              <w:rPr/>
              <w:t> </w:t>
            </w:r>
          </w:p>
        </w:tc>
      </w:tr>
      <w:tr>
        <w:trPr/>
        <w:tc>
          <w:tcPr>
            <w:tcW w:w="5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247,069</w:t>
            </w:r>
          </w:p>
        </w:tc>
        <w:tc>
          <w:tcPr>
            <w:tcW w:w="473" w:type="dxa"/>
            <w:tcBorders/>
            <w:shd w:fill="CFF0FC" w:val="clear"/>
            <w:vAlign w:val="center"/>
          </w:tcPr>
          <w:p>
            <w:pPr>
              <w:pStyle w:val="TableContents"/>
              <w:bidi w:val="0"/>
              <w:spacing w:before="0" w:after="283"/>
              <w:jc w:val="left"/>
              <w:rPr/>
            </w:pPr>
            <w:r>
              <w:rPr/>
              <w:t> </w:t>
            </w:r>
          </w:p>
        </w:tc>
      </w:tr>
      <w:tr>
        <w:trPr/>
        <w:tc>
          <w:tcPr>
            <w:tcW w:w="5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7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44" w:type="dxa"/>
            <w:gridSpan w:val="2"/>
            <w:tcBorders/>
            <w:shd w:fill="FFFFFF" w:val="clear"/>
            <w:vAlign w:val="center"/>
          </w:tcPr>
          <w:p>
            <w:pPr>
              <w:pStyle w:val="TableContents"/>
              <w:bidi w:val="0"/>
              <w:spacing w:before="0" w:after="283"/>
              <w:jc w:val="right"/>
              <w:rPr/>
            </w:pPr>
            <w:r>
              <w:rPr/>
              <w:t> </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590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3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157,355</w:t>
            </w:r>
          </w:p>
        </w:tc>
        <w:tc>
          <w:tcPr>
            <w:tcW w:w="473" w:type="dxa"/>
            <w:tcBorders/>
            <w:shd w:fill="CFF0FC" w:val="clear"/>
            <w:vAlign w:val="center"/>
          </w:tcPr>
          <w:p>
            <w:pPr>
              <w:pStyle w:val="TableContents"/>
              <w:bidi w:val="0"/>
              <w:spacing w:before="0" w:after="283"/>
              <w:ind w:left="0" w:right="0" w:firstLine="280"/>
              <w:jc w:val="left"/>
              <w:rPr/>
            </w:pPr>
            <w:r>
              <w:rPr/>
              <w:t> </w:t>
            </w:r>
          </w:p>
        </w:tc>
      </w:tr>
      <w:tr>
        <w:trPr/>
        <w:tc>
          <w:tcPr>
            <w:tcW w:w="590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24,062</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 before income taxes</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65,652</w:t>
            </w:r>
          </w:p>
        </w:tc>
        <w:tc>
          <w:tcPr>
            <w:tcW w:w="473" w:type="dxa"/>
            <w:tcBorders/>
            <w:shd w:fill="CFF0FC" w:val="clear"/>
            <w:vAlign w:val="center"/>
          </w:tcPr>
          <w:p>
            <w:pPr>
              <w:pStyle w:val="TableContents"/>
              <w:bidi w:val="0"/>
              <w:spacing w:before="0" w:after="283"/>
              <w:jc w:val="left"/>
              <w:rPr/>
            </w:pPr>
            <w:r>
              <w:rPr/>
              <w:t> </w:t>
            </w:r>
          </w:p>
        </w:tc>
      </w:tr>
      <w:tr>
        <w:trPr/>
        <w:tc>
          <w:tcPr>
            <w:tcW w:w="5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(21,607</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 net of tax</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44,045</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cash flows related to discontinued operations have not been segregated and are included in the condensed consolidated statements of cash flows. The following table presents key cash flow and non-cash information related to discontinued operations for the nine months ended December 31, 2022:</w:t>
      </w:r>
    </w:p>
    <w:p>
      <w:pPr>
        <w:pStyle w:val="TextBody"/>
        <w:bidi w:val="0"/>
        <w:jc w:val="left"/>
        <w:rPr/>
      </w:pPr>
      <w:r>
        <w:rPr/>
        <w:t> </w:t>
      </w:r>
    </w:p>
    <w:tbl>
      <w:tblPr>
        <w:tblW w:w="4973" w:type="dxa"/>
        <w:jc w:val="left"/>
        <w:tblInd w:w="0" w:type="dxa"/>
        <w:tblLayout w:type="fixed"/>
        <w:tblCellMar>
          <w:top w:w="28" w:type="dxa"/>
          <w:left w:w="28" w:type="dxa"/>
          <w:bottom w:w="28" w:type="dxa"/>
          <w:right w:w="28" w:type="dxa"/>
        </w:tblCellMar>
      </w:tblPr>
      <w:tblGrid>
        <w:gridCol w:w="2971"/>
        <w:gridCol w:w="146"/>
        <w:gridCol w:w="389"/>
        <w:gridCol w:w="127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w:t>
            </w:r>
          </w:p>
        </w:tc>
        <w:tc>
          <w:tcPr>
            <w:tcW w:w="146" w:type="dxa"/>
            <w:tcBorders/>
            <w:shd w:fill="CFF0FC" w:val="clear"/>
            <w:vAlign w:val="center"/>
          </w:tcPr>
          <w:p>
            <w:pPr>
              <w:pStyle w:val="TableContents"/>
              <w:bidi w:val="0"/>
              <w:spacing w:before="0" w:after="283"/>
              <w:jc w:val="center"/>
              <w:rPr/>
            </w:pPr>
            <w:r>
              <w:rPr/>
              <w:t> </w:t>
            </w:r>
          </w:p>
        </w:tc>
        <w:tc>
          <w:tcPr>
            <w:tcW w:w="3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5,909</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of intangible assets</w:t>
            </w:r>
          </w:p>
        </w:tc>
        <w:tc>
          <w:tcPr>
            <w:tcW w:w="146" w:type="dxa"/>
            <w:tcBorders/>
            <w:shd w:fill="FFFFFF" w:val="clear"/>
            <w:vAlign w:val="center"/>
          </w:tcPr>
          <w:p>
            <w:pPr>
              <w:pStyle w:val="TableContents"/>
              <w:bidi w:val="0"/>
              <w:spacing w:before="0" w:after="283"/>
              <w:jc w:val="center"/>
              <w:rPr/>
            </w:pPr>
            <w:r>
              <w:rPr/>
              <w:t> </w:t>
            </w:r>
          </w:p>
        </w:tc>
        <w:tc>
          <w:tcPr>
            <w:tcW w:w="38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897</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w:t>
            </w:r>
          </w:p>
        </w:tc>
        <w:tc>
          <w:tcPr>
            <w:tcW w:w="146" w:type="dxa"/>
            <w:tcBorders/>
            <w:shd w:fill="CFF0FC" w:val="clear"/>
            <w:vAlign w:val="center"/>
          </w:tcPr>
          <w:p>
            <w:pPr>
              <w:pStyle w:val="TableContents"/>
              <w:bidi w:val="0"/>
              <w:spacing w:before="0" w:after="283"/>
              <w:jc w:val="center"/>
              <w:rPr/>
            </w:pPr>
            <w:r>
              <w:rPr/>
              <w:t> </w:t>
            </w:r>
          </w:p>
        </w:tc>
        <w:tc>
          <w:tcPr>
            <w:tcW w:w="389"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6 — Shares Used In Computing Diluted Net Income (Loss) Per Share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weighted average number of shares used to calculate basic and diluted net loss per share attributable to Viasat, Inc. common stockholders is the same for the three and nine months ended December 31, 2023 and for the three and nine months ended December 31, 2022, as the Company incurred a net loss from continuing operations (excluding income (loss) from continuing operations attributable to the noncontrolling interest) for such periods and inclusion of potentially dilutive weighted average shares of common stock would be antidilutive.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three months ended December 31, 2023 and 2022</w:t>
      </w:r>
      <w:r>
        <w:rPr>
          <w:rFonts w:ascii="Times New Roman" w:hAnsi="Times New Roman"/>
          <w:color w:val="000000"/>
          <w:sz w:val="20"/>
        </w:rPr>
        <w:t xml:space="preserve"> </w:t>
      </w:r>
      <w:r>
        <w:rPr>
          <w:rFonts w:ascii="Arial" w:hAnsi="Arial"/>
          <w:color w:val="000000"/>
          <w:sz w:val="20"/>
        </w:rPr>
        <w:t>consisted of 255,329</w:t>
      </w:r>
      <w:r>
        <w:rPr>
          <w:rFonts w:ascii="Times New Roman" w:hAnsi="Times New Roman"/>
          <w:color w:val="000000"/>
          <w:sz w:val="20"/>
        </w:rPr>
        <w:t xml:space="preserve"> </w:t>
      </w:r>
      <w:r>
        <w:rPr>
          <w:rFonts w:ascii="Arial" w:hAnsi="Arial"/>
          <w:color w:val="000000"/>
          <w:sz w:val="20"/>
        </w:rPr>
        <w:t>shares and 439,578</w:t>
      </w:r>
      <w:r>
        <w:rPr>
          <w:rFonts w:ascii="Times New Roman" w:hAnsi="Times New Roman"/>
          <w:color w:val="000000"/>
          <w:sz w:val="20"/>
        </w:rPr>
        <w:t xml:space="preserve"> </w:t>
      </w:r>
      <w:r>
        <w:rPr>
          <w:rFonts w:ascii="Arial" w:hAnsi="Arial"/>
          <w:color w:val="000000"/>
          <w:sz w:val="20"/>
        </w:rPr>
        <w:t>shares, respectively, related to stock options (other than market-based performance stock options), no</w:t>
      </w:r>
      <w:r>
        <w:rPr>
          <w:rFonts w:ascii="Times New Roman" w:hAnsi="Times New Roman"/>
          <w:color w:val="000000"/>
          <w:sz w:val="20"/>
        </w:rPr>
        <w:t xml:space="preserve"> </w:t>
      </w:r>
      <w:r>
        <w:rPr>
          <w:rFonts w:ascii="Arial" w:hAnsi="Arial"/>
          <w:color w:val="000000"/>
          <w:sz w:val="20"/>
        </w:rPr>
        <w:t>shares related to market-based performance stock options, 3,533,492</w:t>
      </w:r>
      <w:r>
        <w:rPr>
          <w:rFonts w:ascii="Times New Roman" w:hAnsi="Times New Roman"/>
          <w:color w:val="000000"/>
          <w:sz w:val="20"/>
        </w:rPr>
        <w:t xml:space="preserve"> </w:t>
      </w:r>
      <w:r>
        <w:rPr>
          <w:rFonts w:ascii="Arial" w:hAnsi="Arial"/>
          <w:color w:val="000000"/>
          <w:sz w:val="20"/>
        </w:rPr>
        <w:t>shares and 2,543,157</w:t>
      </w:r>
      <w:r>
        <w:rPr>
          <w:rFonts w:ascii="Times New Roman" w:hAnsi="Times New Roman"/>
          <w:color w:val="000000"/>
          <w:sz w:val="20"/>
        </w:rPr>
        <w:t xml:space="preserve"> </w:t>
      </w:r>
      <w:r>
        <w:rPr>
          <w:rFonts w:ascii="Arial" w:hAnsi="Arial"/>
          <w:color w:val="000000"/>
          <w:sz w:val="20"/>
        </w:rPr>
        <w:t>shares, respectively, related to restricted stock units and 802,165</w:t>
      </w:r>
      <w:r>
        <w:rPr>
          <w:rFonts w:ascii="Times New Roman" w:hAnsi="Times New Roman"/>
          <w:color w:val="000000"/>
          <w:sz w:val="20"/>
        </w:rPr>
        <w:t xml:space="preserve"> </w:t>
      </w:r>
      <w:r>
        <w:rPr>
          <w:rFonts w:ascii="Arial" w:hAnsi="Arial"/>
          <w:color w:val="000000"/>
          <w:sz w:val="20"/>
        </w:rPr>
        <w:t>shares and 750,549</w:t>
      </w:r>
      <w:r>
        <w:rPr>
          <w:rFonts w:ascii="Times New Roman" w:hAnsi="Times New Roman"/>
          <w:color w:val="000000"/>
          <w:sz w:val="20"/>
        </w:rPr>
        <w:t xml:space="preserve"> </w:t>
      </w:r>
      <w:r>
        <w:rPr>
          <w:rFonts w:ascii="Arial" w:hAnsi="Arial"/>
          <w:color w:val="000000"/>
          <w:sz w:val="20"/>
        </w:rPr>
        <w:t>shares, respectively, related to certain terms of the Viasat 401(k) Profit Sharing Plan and Employee Stock Purchase Plan.</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nine months ended December 31, 2023 and 2022</w:t>
      </w:r>
      <w:r>
        <w:rPr>
          <w:rFonts w:ascii="Times New Roman" w:hAnsi="Times New Roman"/>
          <w:color w:val="000000"/>
          <w:sz w:val="20"/>
        </w:rPr>
        <w:t xml:space="preserve"> </w:t>
      </w:r>
      <w:r>
        <w:rPr>
          <w:rFonts w:ascii="Arial" w:hAnsi="Arial"/>
          <w:color w:val="000000"/>
          <w:sz w:val="20"/>
        </w:rPr>
        <w:t>consisted of 248,568</w:t>
      </w:r>
      <w:r>
        <w:rPr>
          <w:rFonts w:ascii="Times New Roman" w:hAnsi="Times New Roman"/>
          <w:color w:val="000000"/>
          <w:sz w:val="20"/>
        </w:rPr>
        <w:t xml:space="preserve"> </w:t>
      </w:r>
      <w:r>
        <w:rPr>
          <w:rFonts w:ascii="Arial" w:hAnsi="Arial"/>
          <w:color w:val="000000"/>
          <w:sz w:val="20"/>
        </w:rPr>
        <w:t>shares and 565,751</w:t>
      </w:r>
      <w:r>
        <w:rPr>
          <w:rFonts w:ascii="Times New Roman" w:hAnsi="Times New Roman"/>
          <w:color w:val="000000"/>
          <w:sz w:val="20"/>
        </w:rPr>
        <w:t xml:space="preserve"> </w:t>
      </w:r>
      <w:r>
        <w:rPr>
          <w:rFonts w:ascii="Arial" w:hAnsi="Arial"/>
          <w:color w:val="000000"/>
          <w:sz w:val="20"/>
        </w:rPr>
        <w:t>shares, respectively, related to stock options (other than market-based performance stock options), no</w:t>
      </w:r>
      <w:r>
        <w:rPr>
          <w:rFonts w:ascii="Times New Roman" w:hAnsi="Times New Roman"/>
          <w:color w:val="000000"/>
          <w:sz w:val="20"/>
        </w:rPr>
        <w:t xml:space="preserve"> </w:t>
      </w:r>
      <w:r>
        <w:rPr>
          <w:rFonts w:ascii="Arial" w:hAnsi="Arial"/>
          <w:color w:val="000000"/>
          <w:sz w:val="20"/>
        </w:rPr>
        <w:t>shares related to market-based performance stock options, 2,068,956</w:t>
      </w:r>
      <w:r>
        <w:rPr>
          <w:rFonts w:ascii="Times New Roman" w:hAnsi="Times New Roman"/>
          <w:color w:val="000000"/>
          <w:sz w:val="20"/>
        </w:rPr>
        <w:t xml:space="preserve"> </w:t>
      </w:r>
      <w:r>
        <w:rPr>
          <w:rFonts w:ascii="Arial" w:hAnsi="Arial"/>
          <w:color w:val="000000"/>
          <w:sz w:val="20"/>
        </w:rPr>
        <w:t>shares and 2,661,902</w:t>
      </w:r>
      <w:r>
        <w:rPr>
          <w:rFonts w:ascii="Times New Roman" w:hAnsi="Times New Roman"/>
          <w:color w:val="000000"/>
          <w:sz w:val="20"/>
        </w:rPr>
        <w:t xml:space="preserve"> </w:t>
      </w:r>
      <w:r>
        <w:rPr>
          <w:rFonts w:ascii="Arial" w:hAnsi="Arial"/>
          <w:color w:val="000000"/>
          <w:sz w:val="20"/>
        </w:rPr>
        <w:t>shares, respectively, related to restricted stock units and 610,170</w:t>
      </w:r>
      <w:r>
        <w:rPr>
          <w:rFonts w:ascii="Times New Roman" w:hAnsi="Times New Roman"/>
          <w:color w:val="000000"/>
          <w:sz w:val="20"/>
        </w:rPr>
        <w:t xml:space="preserve"> </w:t>
      </w:r>
      <w:r>
        <w:rPr>
          <w:rFonts w:ascii="Arial" w:hAnsi="Arial"/>
          <w:color w:val="000000"/>
          <w:sz w:val="20"/>
        </w:rPr>
        <w:t>shares and 654,091</w:t>
      </w:r>
      <w:r>
        <w:rPr>
          <w:rFonts w:ascii="Times New Roman" w:hAnsi="Times New Roman"/>
          <w:color w:val="000000"/>
          <w:sz w:val="20"/>
        </w:rPr>
        <w:t xml:space="preserve"> </w:t>
      </w:r>
      <w:r>
        <w:rPr>
          <w:rFonts w:ascii="Arial" w:hAnsi="Arial"/>
          <w:color w:val="000000"/>
          <w:sz w:val="20"/>
        </w:rPr>
        <w:t>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Note 7 — Goodwill and Acquired Intangible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During the nine months ended December 31, 2023, the increase in the Company’s goodwill primarily related to the Inmarsat Acquisition (see Note 4 — Acquisition for more information) and foreign currency translation effect recorded within all three of the Company's segments. During the nine months ended December 31, 2022, the decrease in the Company’s goodwill relating to its continuing operations primarily related to a foreign currency translation effect recorded within all three of the Company’s segments.</w:t>
      </w:r>
    </w:p>
    <w:p>
      <w:pPr>
        <w:pStyle w:val="TextBody"/>
        <w:bidi w:val="0"/>
        <w:spacing w:before="180" w:after="283"/>
        <w:jc w:val="left"/>
        <w:rPr>
          <w:rFonts w:ascii="Times New Roman" w:hAnsi="Times New Roman"/>
          <w:sz w:val="20"/>
        </w:rPr>
      </w:pPr>
      <w:r>
        <w:rPr>
          <w:rFonts w:ascii="Arial" w:hAnsi="Arial"/>
          <w:color w:val="000000"/>
          <w:sz w:val="20"/>
        </w:rPr>
        <w:t>Other acquired intangible assets are amortized using the straight-line method over their estimated useful lives of two to 20 years (which approximates the economic pattern of benefit).</w:t>
      </w:r>
      <w:r>
        <w:rPr>
          <w:rFonts w:ascii="Times New Roman" w:hAnsi="Times New Roman"/>
          <w:color w:val="000000"/>
          <w:sz w:val="20"/>
        </w:rPr>
        <w:t xml:space="preserve"> </w:t>
      </w:r>
      <w:r>
        <w:rPr>
          <w:rFonts w:ascii="Arial" w:hAnsi="Arial"/>
          <w:color w:val="000000"/>
          <w:sz w:val="20"/>
        </w:rPr>
        <w:t>Amortization expense related to other acquired intangible assets was $91.7</w:t>
      </w:r>
      <w:r>
        <w:rPr>
          <w:rFonts w:ascii="Times New Roman" w:hAnsi="Times New Roman"/>
          <w:color w:val="000000"/>
          <w:sz w:val="20"/>
        </w:rPr>
        <w:t xml:space="preserve"> </w:t>
      </w:r>
      <w:r>
        <w:rPr>
          <w:rFonts w:ascii="Arial" w:hAnsi="Arial"/>
          <w:color w:val="000000"/>
          <w:sz w:val="20"/>
        </w:rPr>
        <w:t>million and $7.4</w:t>
      </w:r>
      <w:r>
        <w:rPr>
          <w:rFonts w:ascii="Times New Roman" w:hAnsi="Times New Roman"/>
          <w:color w:val="000000"/>
          <w:sz w:val="20"/>
        </w:rPr>
        <w:t xml:space="preserve"> </w:t>
      </w:r>
      <w:r>
        <w:rPr>
          <w:rFonts w:ascii="Arial" w:hAnsi="Arial"/>
          <w:color w:val="000000"/>
          <w:sz w:val="20"/>
        </w:rPr>
        <w:t>million for the three months ended December 31, 2023 and 2022, respectively, and $200.9</w:t>
      </w:r>
      <w:r>
        <w:rPr>
          <w:rFonts w:ascii="Times New Roman" w:hAnsi="Times New Roman"/>
          <w:color w:val="000000"/>
          <w:sz w:val="20"/>
        </w:rPr>
        <w:t xml:space="preserve"> </w:t>
      </w:r>
      <w:r>
        <w:rPr>
          <w:rFonts w:ascii="Arial" w:hAnsi="Arial"/>
          <w:color w:val="000000"/>
          <w:sz w:val="20"/>
        </w:rPr>
        <w:t>million and $22.3</w:t>
      </w:r>
      <w:r>
        <w:rPr>
          <w:rFonts w:ascii="Times New Roman" w:hAnsi="Times New Roman"/>
          <w:color w:val="000000"/>
          <w:sz w:val="20"/>
        </w:rPr>
        <w:t xml:space="preserve"> </w:t>
      </w:r>
      <w:r>
        <w:rPr>
          <w:rFonts w:ascii="Arial" w:hAnsi="Arial"/>
          <w:color w:val="000000"/>
          <w:sz w:val="20"/>
        </w:rPr>
        <w:t>million for the nine months ended December 31, 2023 and 2022, respectively.</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p>
      <w:pPr>
        <w:pStyle w:val="TextBody"/>
        <w:bidi w:val="0"/>
        <w:jc w:val="left"/>
        <w:rPr/>
      </w:pPr>
      <w:r>
        <w:rPr/>
        <w:t> </w:t>
      </w:r>
    </w:p>
    <w:tbl>
      <w:tblPr>
        <w:tblW w:w="5813" w:type="dxa"/>
        <w:jc w:val="left"/>
        <w:tblInd w:w="0" w:type="dxa"/>
        <w:tblLayout w:type="fixed"/>
        <w:tblCellMar>
          <w:top w:w="28" w:type="dxa"/>
          <w:left w:w="28" w:type="dxa"/>
          <w:bottom w:w="28" w:type="dxa"/>
          <w:right w:w="28" w:type="dxa"/>
        </w:tblCellMar>
      </w:tblPr>
      <w:tblGrid>
        <w:gridCol w:w="4201"/>
        <w:gridCol w:w="146"/>
        <w:gridCol w:w="229"/>
        <w:gridCol w:w="104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 the nine months ended December 31,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200,904</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91,395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364,819</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364,667</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295,938</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285,005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284,260</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1,087,581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Note 8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Total long-term debt consisted of the following as of December 31, 2023 and March 31, 2023:</w:t>
      </w:r>
      <w:r>
        <w:rPr>
          <w:rFonts w:ascii="Times New Roman" w:hAnsi="Times New Roman"/>
          <w:color w:val="000000"/>
          <w:sz w:val="20"/>
        </w:rPr>
        <w:t xml:space="preserve"> </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4201"/>
        <w:gridCol w:w="146"/>
        <w:gridCol w:w="291"/>
        <w:gridCol w:w="1329"/>
        <w:gridCol w:w="166"/>
        <w:gridCol w:w="146"/>
        <w:gridCol w:w="235"/>
        <w:gridCol w:w="1070"/>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 Notes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700,000</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689,500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694,750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615,158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Ex-Im Credit Facility</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58,957</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Inmarsat 2026 Notes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Inmarsat Term Loan Facility</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1,684,375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1)</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7,566,577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2,490,112</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(281,159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7,222,580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2,421,501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March 2022, the Company entered into a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 March 4, 2029. At December 31, 2023, the Company had $689.5</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December 31, 2023, the effective interest rate on the Company’s outstanding borrowings under the 2022 Term Loan Facility was 10.39%.</w:t>
      </w:r>
      <w:r>
        <w:rPr>
          <w:rFonts w:ascii="Times New Roman" w:hAnsi="Times New Roman"/>
          <w:color w:val="000000"/>
          <w:sz w:val="20"/>
        </w:rPr>
        <w:t xml:space="preserve"> </w:t>
      </w:r>
      <w:r>
        <w:rPr>
          <w:rFonts w:ascii="Arial" w:hAnsi="Arial"/>
          <w:color w:val="000000"/>
          <w:sz w:val="20"/>
        </w:rPr>
        <w:t>The 2022 Term Loan Facility is required to be guaranteed by certain significant domestic subsidiaries of the Company (as defined in the 2022 Term Loan Facility) and secured by substantially all of the Company’s and any such subsidiaries’ assets. As of December 31, 2023, none of the Company’s subsidiaries guaranteed the 2022 Term Loan Facility.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2022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financial covenants under the 2022 Term Loan Facility as of December 31, 2023.</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color w:val="000000"/>
          <w:sz w:val="20"/>
        </w:rPr>
        <w:t>In connection with the closing of the Inmarsat Acquisition, on May 30, 2023, the Company entered into a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December 31, 2023, the Company had $615.2</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December 31, 2023, the effective interest rate on the Company’s outstanding borrowings under the 2023 Term Loan Facility was 10.94%. The 2023 Term Loan Facility is required to be guaranteed by certain significant domestic subsidiaries of the Company (as defined in the 2023 Term Loan Facility) and secured by substantially all of the Company’s assets and any such subsidiaries' assets. As of December 31, 2023,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financial covenants under the 2023 Term Loan Facility as of December 31, 2023.</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Bridge Facility</w:t>
      </w:r>
    </w:p>
    <w:p>
      <w:pPr>
        <w:pStyle w:val="TextBody"/>
        <w:bidi w:val="0"/>
        <w:spacing w:before="80" w:after="283"/>
        <w:jc w:val="left"/>
        <w:rPr>
          <w:rFonts w:ascii="Arial" w:hAnsi="Arial"/>
          <w:color w:val="000000"/>
          <w:sz w:val="20"/>
        </w:rPr>
      </w:pPr>
      <w:r>
        <w:rPr>
          <w:rFonts w:ascii="Arial" w:hAnsi="Arial"/>
          <w:color w:val="000000"/>
          <w:sz w:val="20"/>
        </w:rPr>
        <w:t>In connection with the closing of the Inmarsat Acquisition, on May 30, 2023, the Company entered into a $733.4 million unsecured Bridge Facility, which was fully drawn at closing and had an initial maturity date of May 30, 2024 (automatically converting to a term loan if not repaid by such date). On September 28, 2023, the Company replaced the Bridge Facility with the 2031 Notes, in the same principal amount and at the same interest rate.</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December 31, 2023,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 and (B) t</w:t>
      </w:r>
      <w:r>
        <w:rPr>
          <w:rFonts w:ascii="Arial" w:hAnsi="Arial"/>
          <w:color w:val="212529"/>
          <w:sz w:val="20"/>
        </w:rPr>
        <w: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w:t>
      </w:r>
      <w:r>
        <w:rPr>
          <w:rFonts w:ascii="Arial" w:hAnsi="Arial"/>
          <w:color w:val="000000"/>
          <w:sz w:val="20"/>
        </w:rPr>
        <w:t>. At December 31, 2023, the Company had no</w:t>
      </w:r>
      <w:r>
        <w:rPr>
          <w:rFonts w:ascii="Times New Roman" w:hAnsi="Times New Roman"/>
          <w:color w:val="000000"/>
          <w:sz w:val="20"/>
        </w:rPr>
        <w:t xml:space="preserve"> </w:t>
      </w:r>
      <w:r>
        <w:rPr>
          <w:rFonts w:ascii="Arial" w:hAnsi="Arial"/>
          <w:color w:val="000000"/>
          <w:sz w:val="20"/>
        </w:rPr>
        <w:t>outstanding borrowings under the Viasat Revolving Credit Facility and $55.3</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as of December 31, 2023 of $592.2</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December 31, 2023, none of the Company’s subsidiaries guaranteed the Viasat Revolving Credit Facility.</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December 31, 2023.</w:t>
      </w:r>
    </w:p>
    <w:p>
      <w:pPr>
        <w:pStyle w:val="TextBody"/>
        <w:bidi w:val="0"/>
        <w:spacing w:before="28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Ex-Im Credit Facility originally provided a $362.4</w:t>
      </w:r>
      <w:r>
        <w:rPr>
          <w:rFonts w:ascii="Times New Roman" w:hAnsi="Times New Roman"/>
          <w:color w:val="000000"/>
          <w:sz w:val="20"/>
        </w:rPr>
        <w:t xml:space="preserve"> </w:t>
      </w:r>
      <w:r>
        <w:rPr>
          <w:rFonts w:ascii="Arial" w:hAnsi="Arial"/>
          <w:color w:val="000000"/>
          <w:sz w:val="20"/>
        </w:rPr>
        <w:t>million senior secured direct loan facility, which was fully drawn. Of the $362.4</w:t>
      </w:r>
      <w:r>
        <w:rPr>
          <w:rFonts w:ascii="Times New Roman" w:hAnsi="Times New Roman"/>
          <w:color w:val="000000"/>
          <w:sz w:val="20"/>
        </w:rPr>
        <w:t xml:space="preserve"> </w:t>
      </w:r>
      <w:r>
        <w:rPr>
          <w:rFonts w:ascii="Arial" w:hAnsi="Arial"/>
          <w:color w:val="000000"/>
          <w:sz w:val="20"/>
        </w:rPr>
        <w:t>million in principal amount of borrowings made under the Ex-Im Credit Facility, $321.2</w:t>
      </w:r>
      <w:r>
        <w:rPr>
          <w:rFonts w:ascii="Times New Roman" w:hAnsi="Times New Roman"/>
          <w:color w:val="000000"/>
          <w:sz w:val="20"/>
        </w:rPr>
        <w:t xml:space="preserve"> </w:t>
      </w:r>
      <w:r>
        <w:rPr>
          <w:rFonts w:ascii="Arial" w:hAnsi="Arial"/>
          <w:color w:val="000000"/>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color w:val="000000"/>
          <w:sz w:val="20"/>
        </w:rPr>
        <w:t xml:space="preserve"> </w:t>
      </w:r>
      <w:r>
        <w:rPr>
          <w:rFonts w:ascii="Arial" w:hAnsi="Arial"/>
          <w:color w:val="000000"/>
          <w:sz w:val="20"/>
        </w:rPr>
        <w:t>million used to finance the total exposure fees incurred under the Ex-Im Credit Facility (which included all previously accrued completion exposure fees). As of December 31, 2023, the Company had $39.3</w:t>
      </w:r>
      <w:r>
        <w:rPr>
          <w:rFonts w:ascii="Times New Roman" w:hAnsi="Times New Roman"/>
          <w:color w:val="000000"/>
          <w:sz w:val="20"/>
        </w:rPr>
        <w:t xml:space="preserve"> </w:t>
      </w:r>
      <w:r>
        <w:rPr>
          <w:rFonts w:ascii="Arial" w:hAnsi="Arial"/>
          <w:color w:val="000000"/>
          <w:sz w:val="20"/>
        </w:rPr>
        <w:t>million in principal amount of outstanding borrowings under the Ex-Im Credit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w:t>
      </w:r>
      <w:r>
        <w:rPr>
          <w:rFonts w:ascii="Times New Roman" w:hAnsi="Times New Roman"/>
          <w:color w:val="000000"/>
          <w:sz w:val="20"/>
        </w:rPr>
        <w:t xml:space="preserve"> </w:t>
      </w:r>
      <w:r>
        <w:rPr>
          <w:rFonts w:ascii="Arial" w:hAnsi="Arial"/>
          <w:color w:val="000000"/>
          <w:sz w:val="20"/>
        </w:rPr>
        <w:t>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financial covenants under the Ex-Im Credit Facility as of December 31, 2023.</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are recorded as current portion of long-term debt and as other long-term debt, net of unamortized discount and debt issuance costs, in the Company’s condensed consolidated financial statements. The discount of $42.3</w:t>
      </w:r>
      <w:r>
        <w:rPr>
          <w:rFonts w:ascii="Times New Roman" w:hAnsi="Times New Roman"/>
          <w:color w:val="000000"/>
          <w:sz w:val="20"/>
        </w:rPr>
        <w:t xml:space="preserve"> </w:t>
      </w:r>
      <w:r>
        <w:rPr>
          <w:rFonts w:ascii="Arial" w:hAnsi="Arial"/>
          <w:color w:val="000000"/>
          <w:sz w:val="20"/>
        </w:rPr>
        <w:t>million (consisting of the initial $6.0</w:t>
      </w:r>
      <w:r>
        <w:rPr>
          <w:rFonts w:ascii="Times New Roman" w:hAnsi="Times New Roman"/>
          <w:color w:val="000000"/>
          <w:sz w:val="20"/>
        </w:rPr>
        <w:t xml:space="preserve"> </w:t>
      </w:r>
      <w:r>
        <w:rPr>
          <w:rFonts w:ascii="Arial" w:hAnsi="Arial"/>
          <w:color w:val="000000"/>
          <w:sz w:val="20"/>
        </w:rPr>
        <w:t>million pre-exposure fee, $35.3</w:t>
      </w:r>
      <w:r>
        <w:rPr>
          <w:rFonts w:ascii="Times New Roman" w:hAnsi="Times New Roman"/>
          <w:color w:val="000000"/>
          <w:sz w:val="20"/>
        </w:rPr>
        <w:t xml:space="preserve"> </w:t>
      </w:r>
      <w:r>
        <w:rPr>
          <w:rFonts w:ascii="Arial" w:hAnsi="Arial"/>
          <w:color w:val="000000"/>
          <w:sz w:val="20"/>
        </w:rPr>
        <w:t>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pStyle w:val="TextBody"/>
        <w:bidi w:val="0"/>
        <w:spacing w:before="180" w:after="283"/>
        <w:jc w:val="left"/>
        <w:rPr>
          <w:rFonts w:ascii="Times New Roman" w:hAnsi="Times New Roman"/>
          <w:sz w:val="20"/>
        </w:rPr>
      </w:pPr>
      <w:r>
        <w:rPr>
          <w:rFonts w:ascii="Arial" w:hAnsi="Arial"/>
          <w:color w:val="000000"/>
          <w:sz w:val="20"/>
        </w:rPr>
        <w:t>In September 2023, the Company amended the Ex-Im Credit Facility to provide additional covenant flexibility.</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Facility</w:t>
      </w:r>
    </w:p>
    <w:p>
      <w:pPr>
        <w:pStyle w:val="TextBody"/>
        <w:bidi w:val="0"/>
        <w:spacing w:before="80" w:after="283"/>
        <w:jc w:val="left"/>
        <w:rPr>
          <w:rFonts w:ascii="Times New Roman" w:hAnsi="Times New Roman"/>
          <w:sz w:val="20"/>
        </w:rPr>
      </w:pPr>
      <w:r>
        <w:rPr>
          <w:rFonts w:ascii="Arial" w:hAnsi="Arial"/>
          <w:color w:val="000000"/>
          <w:sz w:val="20"/>
        </w:rPr>
        <w:t>As of December 31, 2023, the Inmarsat Secured Credit Facility comprised the $1.75 billion Inmarsat Term Loan Facility and the $700.0 million Inmarsat Revolving Credit Facility.</w:t>
      </w:r>
      <w:r>
        <w:rPr>
          <w:rFonts w:ascii="Times New Roman" w:hAnsi="Times New Roman"/>
          <w:color w:val="000000"/>
          <w:sz w:val="20"/>
        </w:rPr>
        <w:t xml:space="preserve"> </w:t>
      </w:r>
      <w:r>
        <w:rPr>
          <w:rFonts w:ascii="Arial" w:hAnsi="Arial"/>
          <w:color w:val="000000"/>
          <w:sz w:val="20"/>
        </w:rPr>
        <w:t>As of December 31, 2023, Inmarsat had $1.68</w:t>
      </w:r>
      <w:r>
        <w:rPr>
          <w:rFonts w:ascii="Times New Roman" w:hAnsi="Times New Roman"/>
          <w:color w:val="000000"/>
          <w:sz w:val="20"/>
        </w:rPr>
        <w:t xml:space="preserve"> </w:t>
      </w:r>
      <w:r>
        <w:rPr>
          <w:rFonts w:ascii="Arial" w:hAnsi="Arial"/>
          <w:color w:val="000000"/>
          <w:sz w:val="20"/>
        </w:rPr>
        <w:t>billion in principal amount of outstanding borrowings under the Inmarsat Term Loan Facility and the Inmarsat Revolving Credit Facility was undrawn. The maturity date for the Inmarsat Term Loan Facility is December 12, 2026, and the maturity date for the Inmarsat Revolving Credit Facility is December 12, 2024. The Inmarsat Term Loan Facility is repayable in quarterly installments of $4.4</w:t>
      </w:r>
      <w:r>
        <w:rPr>
          <w:rFonts w:ascii="Times New Roman" w:hAnsi="Times New Roman"/>
          <w:color w:val="000000"/>
          <w:sz w:val="20"/>
        </w:rPr>
        <w:t xml:space="preserve"> </w:t>
      </w:r>
      <w:r>
        <w:rPr>
          <w:rFonts w:ascii="Arial" w:hAnsi="Arial"/>
          <w:color w:val="000000"/>
          <w:sz w:val="20"/>
        </w:rPr>
        <w:t>million, followed by a final installment on the maturity date.</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Borrowings (other than borrowings denominated in Sterling) under the Inmarsat Secured Credit Facility bear interest, at Inmarsat's option, at either (x) the highest of (i) the greater of the federal funds rate or the overnight banking fund rate for such day plus 0.50%, (ii) the forward-looking one-month term SOFR rate plus 1.00% or (iii) the administrative agent's prime rate as announced from time to time, or (y) the forward-looking term SOFR rate for the applicable interest period (subject to, in the case of the Inmarsat Term Loan Facility, a floor of 1.00% per annum and, in the case of the Inmarsat Revolving Credit Facility, a floor of 0.00% per annum), and borrowings denominated in Sterling under the Inmarsat Secured Credit Facility bear interest at Sterling Overnight Index Average (SONIA) (subject to, in the case of the Inmarsat Term Loan Facility, a floor of 1.00% per annum and, in the case of the Inmarsat Revolving Credit Facility, a floor of 0.00% per annum) plus, in all cases, an applicable margin. The applicable margin for the Inmarsat Term Loan Facility is 2.50% per annum for base rate loans and 3.50% per annum for SOFR loans. The applicable margin for borrowings under the Inmarsat Revolving Credit Facility is based on Inmarsat’s senior secured first lien net leverage ratio. As of December 31, 2023, the weighted average effective interest rate on the Company's outstanding borrowings under the Inmarsat Term Loan Facility, including the impact of interest rate cap contracts (see Note 1 — Basis of Presentation – Derivatives for more information), was approximately 9.66%. The Inmarsat Secured Credit Facility is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Facility contains covenants that restrict, among other things, Inmarsat’s ability to incur additional debt, grant liens, sell assets, make investments and acquisitions, pay dividends and make certain other restricted payments. In addition, a financial covenant regarding Inmarsat’s senior secured first lien leverage ratio applies in the event borrowings under the Inmarsat Revolving Credit Facility exceed the greater of $280.0 million and 40% of the revolving credit commitment thereunder. The borrowers under the Inmarsat Secured Credit Facility were in compliance with the financial covenants under the Inmarsat Secured Credit Facility as of December 31, 2023.</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Facility are recorded as current portion of long-term debt and as other long-term debt, net of unamortized fair value adjustment made in purchase accounting, in the Company’s condensed consolidated financial statements.</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80"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On September 28,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Bridge Facility. The 2031 Notes were issued at face value and are recorded as long-term debt, net of debt issuance costs, in the Company’s condensed consolidated financial statements. The 2031 Notes bear interest at the rate of 7.500% per year, payable semi-annually in cash in arrears, which interest payments will commence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December 31, 2023,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80" w:after="283"/>
        <w:jc w:val="left"/>
        <w:rPr>
          <w:rFonts w:ascii="Arial" w:hAnsi="Arial"/>
          <w:i/>
          <w:color w:val="000000"/>
          <w:sz w:val="20"/>
        </w:rPr>
      </w:pPr>
      <w:r>
        <w:rPr>
          <w:rFonts w:ascii="Arial" w:hAnsi="Arial"/>
          <w:i/>
          <w:color w:val="000000"/>
          <w:sz w:val="20"/>
        </w:rPr>
        <w:t>Senior Notes due 2028</w:t>
      </w:r>
    </w:p>
    <w:p>
      <w:pPr>
        <w:pStyle w:val="TextBody"/>
        <w:bidi w:val="0"/>
        <w:spacing w:before="8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 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December 31, 2023,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Arial" w:hAnsi="Arial"/>
          <w:i/>
          <w:color w:val="000000"/>
          <w:sz w:val="20"/>
        </w:rPr>
      </w:pPr>
      <w:r>
        <w:rPr>
          <w:rFonts w:ascii="Arial" w:hAnsi="Arial"/>
          <w:i/>
          <w:color w:val="000000"/>
          <w:sz w:val="20"/>
        </w:rPr>
        <w:t>Senior Secured Notes due 2027</w:t>
      </w:r>
    </w:p>
    <w:p>
      <w:pPr>
        <w:pStyle w:val="TextBody"/>
        <w:bidi w:val="0"/>
        <w:spacing w:before="8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December 31, 2023,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2027 Notes may be redeemed, in whole or in part, at any time during the 12 months beginning on April 15, 2023 at a redemption price of 101.406%, and at any time on or after April 15, 2024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Arial" w:hAnsi="Arial"/>
          <w:i/>
          <w:color w:val="000000"/>
          <w:sz w:val="20"/>
        </w:rPr>
      </w:pPr>
      <w:r>
        <w:rPr>
          <w:rFonts w:ascii="Arial" w:hAnsi="Arial"/>
          <w:i/>
          <w:color w:val="000000"/>
          <w:sz w:val="20"/>
        </w:rPr>
        <w:t>Senior Notes due 2025</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2025</w:t>
      </w:r>
      <w:r>
        <w:rPr>
          <w:rFonts w:ascii="Times New Roman" w:hAnsi="Times New Roman"/>
          <w:color w:val="000000"/>
          <w:sz w:val="20"/>
        </w:rPr>
        <w:t xml:space="preserve"> </w:t>
      </w:r>
      <w:r>
        <w:rPr>
          <w:rFonts w:ascii="Arial" w:hAnsi="Arial"/>
          <w:color w:val="000000"/>
          <w:sz w:val="20"/>
        </w:rPr>
        <w:t>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2025 Notes are required to be guaranteed on an unsecured senior basis by each of the Company’s existing and future subsidiaries that guarantees the Viasat Revolving Credit Facility. As of December 31, 2023,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2025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180" w:after="283"/>
        <w:jc w:val="left"/>
        <w:rPr>
          <w:rFonts w:ascii="Arial" w:hAnsi="Arial"/>
          <w:i/>
          <w:color w:val="000000"/>
          <w:sz w:val="20"/>
        </w:rPr>
      </w:pPr>
      <w:r>
        <w:rPr>
          <w:rFonts w:ascii="Arial" w:hAnsi="Arial"/>
          <w:i/>
          <w:color w:val="000000"/>
          <w:sz w:val="20"/>
        </w:rPr>
        <w:t>Inmarsat Senior Secured Notes due 2026</w:t>
      </w:r>
    </w:p>
    <w:p>
      <w:pPr>
        <w:pStyle w:val="TextBody"/>
        <w:bidi w:val="0"/>
        <w:spacing w:before="80" w:after="283"/>
        <w:jc w:val="left"/>
        <w:rPr>
          <w:rFonts w:ascii="Times New Roman" w:hAnsi="Times New Roman"/>
          <w:sz w:val="20"/>
        </w:rPr>
      </w:pPr>
      <w:r>
        <w:rPr>
          <w:rFonts w:ascii="Arial" w:hAnsi="Arial"/>
          <w:color w:val="000000"/>
          <w:sz w:val="20"/>
        </w:rPr>
        <w:t>In October 2019, certain subsidiaries of Inmarsat Holdings issued $2.08</w:t>
      </w:r>
      <w:r>
        <w:rPr>
          <w:rFonts w:ascii="Times New Roman" w:hAnsi="Times New Roman"/>
          <w:color w:val="000000"/>
          <w:sz w:val="20"/>
        </w:rPr>
        <w:t xml:space="preserve"> </w:t>
      </w:r>
      <w:r>
        <w:rPr>
          <w:rFonts w:ascii="Arial" w:hAnsi="Arial"/>
          <w:color w:val="000000"/>
          <w:sz w:val="20"/>
        </w:rPr>
        <w:t>billion in principal amount of Inmarsat 2026 Notes in a private placement to institutional buyers. The Inmarsat 2026 Notes bear interest at the rate of 6.750% per year, payable semi-annually in cash in arrears.</w:t>
      </w:r>
    </w:p>
    <w:p>
      <w:pPr>
        <w:pStyle w:val="TextBody"/>
        <w:bidi w:val="0"/>
        <w:spacing w:before="180" w:after="283"/>
        <w:jc w:val="left"/>
        <w:rPr>
          <w:rFonts w:ascii="Arial" w:hAnsi="Arial"/>
          <w:color w:val="000000"/>
          <w:sz w:val="20"/>
        </w:rPr>
      </w:pPr>
      <w:r>
        <w:rPr>
          <w:rFonts w:ascii="Arial" w:hAnsi="Arial"/>
          <w:color w:val="000000"/>
          <w:sz w:val="20"/>
        </w:rPr>
        <w:t>The Inmarsat 2026 Notes are secured by pari passu first priority liens on the collateral securing the Inmarsat Secured Credit Facility, and are required to be guaranteed on a senior secured basis by restricted subsidiaries of Inmarsat Holdings that guarantee or are borrowers under Inmarsat’s senior secured indebtedness, subject to exceptions. The Inmarsat 2026 Notes are required to be guaranteed by the subsidiaries guaranteeing the Inmarsat Secured Credit Facility.</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2026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The Inmarsat 2026 Notes may be redeemed, in whole or in part, at any time</w:t>
      </w:r>
      <w:r>
        <w:rPr>
          <w:rFonts w:ascii="Times New Roman" w:hAnsi="Times New Roman"/>
          <w:color w:val="000000"/>
          <w:sz w:val="20"/>
        </w:rPr>
        <w:t xml:space="preserve"> </w:t>
      </w:r>
      <w:r>
        <w:rPr>
          <w:rFonts w:ascii="Arial" w:hAnsi="Arial"/>
          <w:color w:val="000000"/>
          <w:sz w:val="20"/>
        </w:rPr>
        <w:t>during the 12 months beginning on October 1, 2023 at a redemption price of 101.688%, and at any time on or after October 1, 2024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2026 Notes), each holder will have the right to require Inmarsat to repurchase all or any part of such holder’s Inmarsat 2026 Notes at a purchase price in cash equal to 101% of the aggregate principal amount of the Inmarsat 2026 Notes repurchased, plus accrued and unpaid interest, if any, to the date of purchase (subject to the right of holders of record on the relevant record date to receive interest due on the relevant interest payment date). The consummation of the Inmarsat Acquisition did not give rise to a “change of control” under the indenture governing the Inmarsat 2026 Notes.</w:t>
      </w:r>
    </w:p>
    <w:p>
      <w:pPr>
        <w:pStyle w:val="TextBody"/>
        <w:bidi w:val="0"/>
        <w:spacing w:before="180" w:after="283"/>
        <w:jc w:val="left"/>
        <w:rPr>
          <w:rFonts w:ascii="Arial" w:hAnsi="Arial"/>
          <w:color w:val="000000"/>
          <w:sz w:val="20"/>
        </w:rPr>
      </w:pPr>
      <w:r>
        <w:rPr>
          <w:rFonts w:ascii="Arial" w:hAnsi="Arial"/>
          <w:color w:val="000000"/>
          <w:sz w:val="20"/>
        </w:rPr>
        <w:t>The Inmarsat 2026 Notes are recorded as other long-term debt, net of unamortized fair value adjustment made in purchase accounting, in the Company’s condensed consolidated financial statements.</w:t>
      </w:r>
    </w:p>
    <w:p>
      <w:pPr>
        <w:pStyle w:val="TextBody"/>
        <w:bidi w:val="0"/>
        <w:spacing w:before="280" w:after="283"/>
        <w:jc w:val="left"/>
        <w:rPr>
          <w:rFonts w:ascii="Times New Roman" w:hAnsi="Times New Roman"/>
          <w:sz w:val="20"/>
        </w:rPr>
      </w:pPr>
      <w:r>
        <w:rPr>
          <w:rFonts w:ascii="Arial" w:hAnsi="Arial"/>
          <w:b/>
          <w:color w:val="000000"/>
          <w:sz w:val="20"/>
        </w:rPr>
        <w:t>Note 9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investments (Navarino UK and JSAT Mobile), which are considered related-party transactions. The Company recognized revenue from Navarino UK and JSAT Mobile for the three and nine months ended December 31, 2023</w:t>
      </w:r>
      <w:r>
        <w:rPr>
          <w:rFonts w:ascii="Times New Roman" w:hAnsi="Times New Roman"/>
          <w:color w:val="000000"/>
          <w:sz w:val="20"/>
        </w:rPr>
        <w:t xml:space="preserve"> </w:t>
      </w:r>
      <w:r>
        <w:rPr>
          <w:rFonts w:ascii="Arial" w:hAnsi="Arial"/>
          <w:color w:val="000000"/>
          <w:sz w:val="20"/>
        </w:rPr>
        <w:t>of $17.3</w:t>
      </w:r>
      <w:r>
        <w:rPr>
          <w:rFonts w:ascii="Times New Roman" w:hAnsi="Times New Roman"/>
          <w:color w:val="000000"/>
          <w:sz w:val="20"/>
        </w:rPr>
        <w:t xml:space="preserve"> </w:t>
      </w:r>
      <w:r>
        <w:rPr>
          <w:rFonts w:ascii="Arial" w:hAnsi="Arial"/>
          <w:color w:val="000000"/>
          <w:sz w:val="20"/>
        </w:rPr>
        <w:t>million and $42.6</w:t>
      </w:r>
      <w:r>
        <w:rPr>
          <w:rFonts w:ascii="Times New Roman" w:hAnsi="Times New Roman"/>
          <w:color w:val="000000"/>
          <w:sz w:val="20"/>
        </w:rPr>
        <w:t xml:space="preserve"> </w:t>
      </w:r>
      <w:r>
        <w:rPr>
          <w:rFonts w:ascii="Arial" w:hAnsi="Arial"/>
          <w:color w:val="000000"/>
          <w:sz w:val="20"/>
        </w:rPr>
        <w:t>million, respectively. The Company received cash of $18.0</w:t>
      </w:r>
      <w:r>
        <w:rPr>
          <w:rFonts w:ascii="Times New Roman" w:hAnsi="Times New Roman"/>
          <w:color w:val="000000"/>
          <w:sz w:val="20"/>
        </w:rPr>
        <w:t xml:space="preserve"> </w:t>
      </w:r>
      <w:r>
        <w:rPr>
          <w:rFonts w:ascii="Arial" w:hAnsi="Arial"/>
          <w:color w:val="000000"/>
          <w:sz w:val="20"/>
        </w:rPr>
        <w:t>million and $43.1</w:t>
      </w:r>
      <w:r>
        <w:rPr>
          <w:rFonts w:ascii="Times New Roman" w:hAnsi="Times New Roman"/>
          <w:color w:val="000000"/>
          <w:sz w:val="20"/>
        </w:rPr>
        <w:t xml:space="preserve"> </w:t>
      </w:r>
      <w:r>
        <w:rPr>
          <w:rFonts w:ascii="Arial" w:hAnsi="Arial"/>
          <w:color w:val="000000"/>
          <w:sz w:val="20"/>
        </w:rPr>
        <w:t>million from Navarino UK and JSAT Mobile for the three and nine months ended December 31, 2023, respectively. Accounts receivable from Navarino UK and JSAT Mobile as of December 31, 2023</w:t>
      </w:r>
      <w:r>
        <w:rPr>
          <w:rFonts w:ascii="Times New Roman" w:hAnsi="Times New Roman"/>
          <w:color w:val="000000"/>
          <w:sz w:val="20"/>
        </w:rPr>
        <w:t xml:space="preserve"> </w:t>
      </w:r>
      <w:r>
        <w:rPr>
          <w:rFonts w:ascii="Arial" w:hAnsi="Arial"/>
          <w:color w:val="000000"/>
          <w:sz w:val="20"/>
        </w:rPr>
        <w:t>was $11.7</w:t>
      </w:r>
      <w:r>
        <w:rPr>
          <w:rFonts w:ascii="Times New Roman" w:hAnsi="Times New Roman"/>
          <w:color w:val="000000"/>
          <w:sz w:val="20"/>
        </w:rPr>
        <w:t xml:space="preserve"> </w:t>
      </w:r>
      <w:r>
        <w:rPr>
          <w:rFonts w:ascii="Arial" w:hAnsi="Arial"/>
          <w:color w:val="000000"/>
          <w:sz w:val="20"/>
        </w:rPr>
        <w:t>million.</w:t>
      </w:r>
    </w:p>
    <w:p>
      <w:pPr>
        <w:pStyle w:val="TextBody"/>
        <w:bidi w:val="0"/>
        <w:spacing w:before="100" w:after="283"/>
        <w:jc w:val="left"/>
        <w:rPr>
          <w:rFonts w:ascii="Times New Roman" w:hAnsi="Times New Roman"/>
          <w:sz w:val="20"/>
        </w:rPr>
      </w:pPr>
      <w:r>
        <w:rPr>
          <w:rFonts w:ascii="Arial" w:hAnsi="Arial"/>
          <w:b/>
          <w:color w:val="000000"/>
          <w:sz w:val="20"/>
        </w:rPr>
        <w:t>Note 10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13 – Commitments to the consolidated financial statements included in the Company’s Annual Report on Form 10-K for the year ended March 31, 2023 for information regarding the Company’s future minimum payments under its satellite construction contracts and other satellite-related purchase commitments.</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December 31,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$16.6</w:t>
      </w:r>
      <w:r>
        <w:rPr>
          <w:rFonts w:ascii="Times New Roman" w:hAnsi="Times New Roman"/>
          <w:color w:val="000000"/>
          <w:sz w:val="20"/>
        </w:rPr>
        <w:t xml:space="preserve"> </w:t>
      </w:r>
      <w:r>
        <w:rPr>
          <w:rFonts w:ascii="Arial" w:hAnsi="Arial"/>
          <w:color w:val="000000"/>
          <w:sz w:val="20"/>
        </w:rPr>
        <w:t>million and $12.9</w:t>
      </w:r>
      <w:r>
        <w:rPr>
          <w:rFonts w:ascii="Times New Roman" w:hAnsi="Times New Roman"/>
          <w:color w:val="000000"/>
          <w:sz w:val="20"/>
        </w:rPr>
        <w:t xml:space="preserve"> </w:t>
      </w:r>
      <w:r>
        <w:rPr>
          <w:rFonts w:ascii="Arial" w:hAnsi="Arial"/>
          <w:color w:val="000000"/>
          <w:sz w:val="20"/>
        </w:rPr>
        <w:t>million as of December 31, 2023 and March 31, 2023,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180" w:after="283"/>
        <w:jc w:val="left"/>
        <w:rPr>
          <w:rFonts w:ascii="Times New Roman" w:hAnsi="Times New Roman"/>
          <w:sz w:val="20"/>
        </w:rPr>
      </w:pPr>
      <w:r>
        <w:rPr>
          <w:rFonts w:ascii="Arial" w:hAnsi="Arial"/>
          <w:color w:val="000000"/>
          <w:sz w:val="20"/>
        </w:rPr>
        <w:t>On July 8, 2022, Cisco Systems, Inc. (Cisco), which previously acquired Acacia Communications, Inc. (Acacia), paid the Company $62.2</w:t>
      </w:r>
      <w:r>
        <w:rPr>
          <w:rFonts w:ascii="Times New Roman" w:hAnsi="Times New Roman"/>
          <w:color w:val="000000"/>
          <w:sz w:val="20"/>
        </w:rPr>
        <w:t xml:space="preserve"> </w:t>
      </w:r>
      <w:r>
        <w:rPr>
          <w:rFonts w:ascii="Arial" w:hAnsi="Arial"/>
          <w:color w:val="000000"/>
          <w:sz w:val="20"/>
        </w:rPr>
        <w:t>million in full satisfaction of the July 2019 judgment previously entered against Acacia related to Acacia's breach of contract and misuse of the Company's soft decision forward error correction technology. For the three and six months ended September 30, 2022, the Company recorded $55.8</w:t>
      </w:r>
      <w:r>
        <w:rPr>
          <w:rFonts w:ascii="Times New Roman" w:hAnsi="Times New Roman"/>
          <w:color w:val="000000"/>
          <w:sz w:val="20"/>
        </w:rPr>
        <w:t xml:space="preserve"> </w:t>
      </w:r>
      <w:r>
        <w:rPr>
          <w:rFonts w:ascii="Arial" w:hAnsi="Arial"/>
          <w:color w:val="000000"/>
          <w:sz w:val="20"/>
        </w:rPr>
        <w:t>million as product revenues in the Company's commercial networks segment and $6.4</w:t>
      </w:r>
      <w:r>
        <w:rPr>
          <w:rFonts w:ascii="Times New Roman" w:hAnsi="Times New Roman"/>
          <w:color w:val="000000"/>
          <w:sz w:val="20"/>
        </w:rPr>
        <w:t xml:space="preserve"> </w:t>
      </w:r>
      <w:r>
        <w:rPr>
          <w:rFonts w:ascii="Arial" w:hAnsi="Arial"/>
          <w:color w:val="000000"/>
          <w:sz w:val="20"/>
        </w:rPr>
        <w:t>million as interest income with respect to this payment. On May 8, 2023, Cisco paid the Company an additional $97.5</w:t>
      </w:r>
      <w:r>
        <w:rPr>
          <w:rFonts w:ascii="Times New Roman" w:hAnsi="Times New Roman"/>
          <w:color w:val="000000"/>
          <w:sz w:val="20"/>
        </w:rPr>
        <w:t xml:space="preserve"> </w:t>
      </w:r>
      <w:r>
        <w:rPr>
          <w:rFonts w:ascii="Arial" w:hAnsi="Arial"/>
          <w:color w:val="000000"/>
          <w:sz w:val="20"/>
        </w:rPr>
        <w:t>million under protest, pursuant to a judgment entered against Acacia on May 4, 2023 also related to Acacia's continued use of the Company's soft decision forward error correction technology. The 2023 judgment obligated Acacia to make contractual royalty payments to the Company based on the quarterly sales of certain of its products. Acacia appealed the May 2023 judgment and on September 29, 2023, the Company and Acacia settled all pending litigation between them. As a result, in the second quarter of fiscal year 2024 the Company recorded $99.9</w:t>
      </w:r>
      <w:r>
        <w:rPr>
          <w:rFonts w:ascii="Times New Roman" w:hAnsi="Times New Roman"/>
          <w:color w:val="000000"/>
          <w:sz w:val="20"/>
        </w:rPr>
        <w:t xml:space="preserve"> </w:t>
      </w:r>
      <w:r>
        <w:rPr>
          <w:rFonts w:ascii="Arial" w:hAnsi="Arial"/>
          <w:color w:val="000000"/>
          <w:sz w:val="20"/>
        </w:rPr>
        <w:t>million as product revenues in the Company's commercial networks segment and $7.2</w:t>
      </w:r>
      <w:r>
        <w:rPr>
          <w:rFonts w:ascii="Times New Roman" w:hAnsi="Times New Roman"/>
          <w:color w:val="000000"/>
          <w:sz w:val="20"/>
        </w:rPr>
        <w:t xml:space="preserve"> </w:t>
      </w:r>
      <w:r>
        <w:rPr>
          <w:rFonts w:ascii="Arial" w:hAnsi="Arial"/>
          <w:color w:val="000000"/>
          <w:sz w:val="20"/>
        </w:rPr>
        <w:t>million as interest income. Additionally, the Company may receive ongoing licensing and royalty payments under the settlement agreement.</w:t>
      </w:r>
    </w:p>
    <w:p>
      <w:pPr>
        <w:pStyle w:val="TextBody"/>
        <w:bidi w:val="0"/>
        <w:spacing w:before="280" w:after="283"/>
        <w:jc w:val="left"/>
        <w:rPr>
          <w:rFonts w:ascii="Arial" w:hAnsi="Arial"/>
          <w:b/>
          <w:color w:val="000000"/>
          <w:sz w:val="20"/>
        </w:rPr>
      </w:pPr>
      <w:r>
        <w:rPr>
          <w:rFonts w:ascii="Arial" w:hAnsi="Arial"/>
          <w:b/>
          <w:color w:val="000000"/>
          <w:sz w:val="20"/>
        </w:rPr>
        <w:t>Note 11 — Income Taxes</w:t>
      </w:r>
    </w:p>
    <w:p>
      <w:pPr>
        <w:pStyle w:val="TextBody"/>
        <w:bidi w:val="0"/>
        <w:spacing w:before="80" w:after="283"/>
        <w:jc w:val="left"/>
        <w:rPr>
          <w:rFonts w:ascii="Times New Roman" w:hAnsi="Times New Roman"/>
          <w:sz w:val="20"/>
        </w:rPr>
      </w:pPr>
      <w:r>
        <w:rPr>
          <w:rFonts w:ascii="Arial" w:hAnsi="Arial"/>
          <w:color w:val="000000"/>
          <w:sz w:val="20"/>
        </w:rPr>
        <w:t>For the three and nine months ended December 31, 2023, the Company recorded an income tax benefit of $34.5</w:t>
      </w:r>
      <w:r>
        <w:rPr>
          <w:rFonts w:ascii="Times New Roman" w:hAnsi="Times New Roman"/>
          <w:color w:val="000000"/>
          <w:sz w:val="20"/>
        </w:rPr>
        <w:t xml:space="preserve"> </w:t>
      </w:r>
      <w:r>
        <w:rPr>
          <w:rFonts w:ascii="Arial" w:hAnsi="Arial"/>
          <w:color w:val="000000"/>
          <w:sz w:val="20"/>
        </w:rPr>
        <w:t>million and $128.1</w:t>
      </w:r>
      <w:r>
        <w:rPr>
          <w:rFonts w:ascii="Times New Roman" w:hAnsi="Times New Roman"/>
          <w:color w:val="000000"/>
          <w:sz w:val="20"/>
        </w:rPr>
        <w:t xml:space="preserve"> </w:t>
      </w:r>
      <w:r>
        <w:rPr>
          <w:rFonts w:ascii="Arial" w:hAnsi="Arial"/>
          <w:color w:val="000000"/>
          <w:sz w:val="20"/>
        </w:rPr>
        <w:t>million, respectively, resulting in effective tax rates of 22%</w:t>
      </w:r>
      <w:r>
        <w:rPr>
          <w:rFonts w:ascii="Times New Roman" w:hAnsi="Times New Roman"/>
          <w:color w:val="000000"/>
          <w:sz w:val="20"/>
        </w:rPr>
        <w:t xml:space="preserve"> </w:t>
      </w:r>
      <w:r>
        <w:rPr>
          <w:rFonts w:ascii="Arial" w:hAnsi="Arial"/>
          <w:color w:val="000000"/>
          <w:sz w:val="20"/>
        </w:rPr>
        <w:t>and 12%, respectively. The effective tax rate for the three months ended December 31, 2023 did not differ significantly from the U.S. statutory rate despite a valuation allowance recorded against the Company's U.S. net deferred tax assets primarily due to the impacts of Inmarsat purchase price allocation adjustments recorded in the third quarter of fiscal year 2024. While the effective tax rate for the three months ended December 31, 2023 did not significantly differ from the U.S. statutory rate, the effective tax rate for the nine months ended December 31, 2023 differed from the U.S. statutory rate primarily due to a valuation allowance recorded against the Company's U.S. net deferred tax assets during the second quarter of fiscal year 2024.</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For the three and nine months ended December 31, 2022, the Company recorded an income tax provision of $5.2</w:t>
      </w:r>
      <w:r>
        <w:rPr>
          <w:rFonts w:ascii="Times New Roman" w:hAnsi="Times New Roman"/>
          <w:color w:val="000000"/>
          <w:sz w:val="20"/>
        </w:rPr>
        <w:t xml:space="preserve"> </w:t>
      </w:r>
      <w:r>
        <w:rPr>
          <w:rFonts w:ascii="Arial" w:hAnsi="Arial"/>
          <w:color w:val="000000"/>
          <w:sz w:val="20"/>
        </w:rPr>
        <w:t>million and $59.0</w:t>
      </w:r>
      <w:r>
        <w:rPr>
          <w:rFonts w:ascii="Times New Roman" w:hAnsi="Times New Roman"/>
          <w:color w:val="000000"/>
          <w:sz w:val="20"/>
        </w:rPr>
        <w:t xml:space="preserve"> </w:t>
      </w:r>
      <w:r>
        <w:rPr>
          <w:rFonts w:ascii="Arial" w:hAnsi="Arial"/>
          <w:color w:val="000000"/>
          <w:sz w:val="20"/>
        </w:rPr>
        <w:t>million, respectively, resulting in effective tax rates of negative 13%</w:t>
      </w:r>
      <w:r>
        <w:rPr>
          <w:rFonts w:ascii="Times New Roman" w:hAnsi="Times New Roman"/>
          <w:color w:val="000000"/>
          <w:sz w:val="20"/>
        </w:rPr>
        <w:t xml:space="preserve"> </w:t>
      </w:r>
      <w:r>
        <w:rPr>
          <w:rFonts w:ascii="Arial" w:hAnsi="Arial"/>
          <w:color w:val="000000"/>
          <w:sz w:val="20"/>
        </w:rPr>
        <w:t>and negative 63%, respectively. The effective tax rates for such periods differed from the U.S. statutory rate primarily due to the expense for tax deficiencies upon settlement of stock-based compensation during the periods and, in the nine months ended December 31, 2022, due to the establishment of a valuation allowance on the deferred tax asset for California Research and Development (R&amp;D) tax credits that was partially offset by the benefit of federal R&amp;D tax credits.</w:t>
      </w:r>
    </w:p>
    <w:p>
      <w:pPr>
        <w:pStyle w:val="TextBody"/>
        <w:bidi w:val="0"/>
        <w:spacing w:before="180" w:after="283"/>
        <w:jc w:val="left"/>
        <w:rPr>
          <w:rFonts w:ascii="Arial" w:hAnsi="Arial"/>
          <w:color w:val="000000"/>
          <w:sz w:val="20"/>
        </w:rPr>
      </w:pPr>
      <w:r>
        <w:rPr>
          <w:rFonts w:ascii="Arial" w:hAnsi="Arial"/>
          <w:color w:val="000000"/>
          <w:sz w:val="20"/>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As a result, the Company’s tax benefit for the nine months ended December 31, 2023 was reduced by a valuation allowance recorded against its U.S. losses for the periods.</w:t>
      </w:r>
    </w:p>
    <w:p>
      <w:pPr>
        <w:pStyle w:val="TextBody"/>
        <w:bidi w:val="0"/>
        <w:spacing w:before="180" w:after="283"/>
        <w:jc w:val="left"/>
        <w:rPr>
          <w:rFonts w:ascii="Times New Roman" w:hAnsi="Times New Roman"/>
          <w:sz w:val="20"/>
        </w:rPr>
      </w:pPr>
      <w:r>
        <w:rPr>
          <w:rFonts w:ascii="Arial" w:hAnsi="Arial"/>
          <w:color w:val="000000"/>
          <w:sz w:val="20"/>
        </w:rPr>
        <w:t>During the second quarter of fiscal year 2023, the Company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w:t>
      </w:r>
      <w:r>
        <w:rPr>
          <w:rFonts w:ascii="Times New Roman" w:hAnsi="Times New Roman"/>
          <w:color w:val="000000"/>
          <w:sz w:val="20"/>
        </w:rPr>
        <w:t xml:space="preserve"> </w:t>
      </w:r>
      <w:r>
        <w:rPr>
          <w:rFonts w:ascii="Arial" w:hAnsi="Arial"/>
          <w:color w:val="000000"/>
          <w:sz w:val="20"/>
        </w:rPr>
        <w:t>million against its R&amp;D tax credit carryforwards.</w:t>
      </w:r>
    </w:p>
    <w:p>
      <w:pPr>
        <w:pStyle w:val="TextBody"/>
        <w:bidi w:val="0"/>
        <w:spacing w:before="180" w:after="283"/>
        <w:jc w:val="left"/>
        <w:rPr>
          <w:rFonts w:ascii="Times New Roman" w:hAnsi="Times New Roman"/>
          <w:sz w:val="20"/>
        </w:rPr>
      </w:pPr>
      <w:r>
        <w:rPr>
          <w:rFonts w:ascii="Arial" w:hAnsi="Arial"/>
          <w:color w:val="000000"/>
          <w:sz w:val="20"/>
        </w:rPr>
        <w:t>The Company's total valuation allowance increased from $150.0</w:t>
      </w:r>
      <w:r>
        <w:rPr>
          <w:rFonts w:ascii="Times New Roman" w:hAnsi="Times New Roman"/>
          <w:color w:val="000000"/>
          <w:sz w:val="20"/>
        </w:rPr>
        <w:t xml:space="preserve"> </w:t>
      </w:r>
      <w:r>
        <w:rPr>
          <w:rFonts w:ascii="Arial" w:hAnsi="Arial"/>
          <w:color w:val="000000"/>
          <w:sz w:val="20"/>
        </w:rPr>
        <w:t>million at March 31, 2023 to $285.1</w:t>
      </w:r>
      <w:r>
        <w:rPr>
          <w:rFonts w:ascii="Times New Roman" w:hAnsi="Times New Roman"/>
          <w:color w:val="000000"/>
          <w:sz w:val="20"/>
        </w:rPr>
        <w:t xml:space="preserve"> </w:t>
      </w:r>
      <w:r>
        <w:rPr>
          <w:rFonts w:ascii="Arial" w:hAnsi="Arial"/>
          <w:color w:val="000000"/>
          <w:sz w:val="20"/>
        </w:rPr>
        <w:t>million at December 31, 2023 relating to carryforwards for federal, state, and foreign net operating losses, federal and state R&amp;D tax credits, and foreign tax credits.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For the three and nine months ended December 31, 2023, the Company’s gross unrecognized tax benefits decreased by $28.3</w:t>
      </w:r>
      <w:r>
        <w:rPr>
          <w:rFonts w:ascii="Times New Roman" w:hAnsi="Times New Roman"/>
          <w:color w:val="000000"/>
          <w:sz w:val="20"/>
        </w:rPr>
        <w:t xml:space="preserve"> </w:t>
      </w:r>
      <w:r>
        <w:rPr>
          <w:rFonts w:ascii="Arial" w:hAnsi="Arial"/>
          <w:color w:val="000000"/>
          <w:sz w:val="20"/>
        </w:rPr>
        <w:t>million and increased by $49.6</w:t>
      </w:r>
      <w:r>
        <w:rPr>
          <w:rFonts w:ascii="Times New Roman" w:hAnsi="Times New Roman"/>
          <w:color w:val="000000"/>
          <w:sz w:val="20"/>
        </w:rPr>
        <w:t xml:space="preserve"> </w:t>
      </w:r>
      <w:r>
        <w:rPr>
          <w:rFonts w:ascii="Arial" w:hAnsi="Arial"/>
          <w:color w:val="000000"/>
          <w:sz w:val="20"/>
        </w:rPr>
        <w:t>million, respectively, and interest and penalties decreased by $7.6</w:t>
      </w:r>
      <w:r>
        <w:rPr>
          <w:rFonts w:ascii="Times New Roman" w:hAnsi="Times New Roman"/>
          <w:color w:val="000000"/>
          <w:sz w:val="20"/>
        </w:rPr>
        <w:t xml:space="preserve"> </w:t>
      </w:r>
      <w:r>
        <w:rPr>
          <w:rFonts w:ascii="Arial" w:hAnsi="Arial"/>
          <w:color w:val="000000"/>
          <w:sz w:val="20"/>
        </w:rPr>
        <w:t>million and increased by $10.1</w:t>
      </w:r>
      <w:r>
        <w:rPr>
          <w:rFonts w:ascii="Times New Roman" w:hAnsi="Times New Roman"/>
          <w:color w:val="000000"/>
          <w:sz w:val="20"/>
        </w:rPr>
        <w:t xml:space="preserve"> </w:t>
      </w:r>
      <w:r>
        <w:rPr>
          <w:rFonts w:ascii="Arial" w:hAnsi="Arial"/>
          <w:color w:val="000000"/>
          <w:sz w:val="20"/>
        </w:rPr>
        <w:t>million, respectively. Of the total increases for the nine months ended December 31, 2023, gross unrecognized tax benefits of $51.6</w:t>
      </w:r>
      <w:r>
        <w:rPr>
          <w:rFonts w:ascii="Times New Roman" w:hAnsi="Times New Roman"/>
          <w:color w:val="000000"/>
          <w:sz w:val="20"/>
        </w:rPr>
        <w:t xml:space="preserve"> </w:t>
      </w:r>
      <w:r>
        <w:rPr>
          <w:rFonts w:ascii="Arial" w:hAnsi="Arial"/>
          <w:color w:val="000000"/>
          <w:sz w:val="20"/>
        </w:rPr>
        <w:t>million and interest and penalties of $14.9</w:t>
      </w:r>
      <w:r>
        <w:rPr>
          <w:rFonts w:ascii="Times New Roman" w:hAnsi="Times New Roman"/>
          <w:color w:val="000000"/>
          <w:sz w:val="20"/>
        </w:rPr>
        <w:t xml:space="preserve"> </w:t>
      </w:r>
      <w:r>
        <w:rPr>
          <w:rFonts w:ascii="Arial" w:hAnsi="Arial"/>
          <w:color w:val="000000"/>
          <w:sz w:val="20"/>
        </w:rPr>
        <w:t>million were recorded through goodwill as part of the purchase accounting for the Inmarsat Acquisition. Of the total $179.3</w:t>
      </w:r>
      <w:r>
        <w:rPr>
          <w:rFonts w:ascii="Times New Roman" w:hAnsi="Times New Roman"/>
          <w:color w:val="000000"/>
          <w:sz w:val="20"/>
        </w:rPr>
        <w:t xml:space="preserve"> </w:t>
      </w:r>
      <w:r>
        <w:rPr>
          <w:rFonts w:ascii="Arial" w:hAnsi="Arial"/>
          <w:color w:val="000000"/>
          <w:sz w:val="20"/>
        </w:rPr>
        <w:t>million gross unrecognized tax benefits at December 31, 2023, $14.5</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December 31, 2023.</w:t>
      </w:r>
      <w:r>
        <w:rPr>
          <w:rFonts w:ascii="Times New Roman" w:hAnsi="Times New Roman"/>
          <w:color w:val="000000"/>
          <w:sz w:val="20"/>
        </w:rPr>
        <w:t xml:space="preserve"> </w:t>
      </w:r>
      <w:r>
        <w:rPr>
          <w:rFonts w:ascii="Arial" w:hAnsi="Arial"/>
          <w:color w:val="000000"/>
          <w:sz w:val="20"/>
        </w:rPr>
        <w:t>Along with the other acquired tax attributes and positions, the unrecognized tax benefits are subject to adjustments during the measurement period, which may be up to one year from the acquisition date.</w:t>
      </w:r>
    </w:p>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b/>
          <w:color w:val="000000"/>
          <w:sz w:val="20"/>
        </w:rPr>
        <w:t>Note 12 — Segment Information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Company’s reportable segments (satellite services, commercial networks and government systems) are primarily distinguished by the type of customer and the related contractual requirements. The Company’s satellite services segment provides satellite-based broadband and related services to commercial airlines and other aircraft, residential customers and enterprises, maritime vessels (acquired through the Inmarsat Acquisition) and other mobile broadband customers, and Prepaid Internet users.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provides global mobile broadband services and narrowband products and services (acquired through the Inmarsat Acquisition)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As described in Note 1 — Basis of Presentation and Note 5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However, the discontinued operations have been excluded from segment results for all periods presented. Further, as the discontinued operation is part of a reportable segment but not the entire reportable segment, the costs previously allocated to a discontinued operation have been reasonably reallocated to the remaining operating segments. Therefore, certain corporate and other indirect costs previously allocated to the Link-16 TDL Business have been allocated across all three segments for the periods presented. On January 3, 2023, the Company completed the Link-16 TDL Sale. See Note 5 — Discontinued Operations for additional information.</w:t>
      </w:r>
    </w:p>
    <w:p>
      <w:pPr>
        <w:pStyle w:val="TextBody"/>
        <w:bidi w:val="0"/>
        <w:spacing w:before="180" w:after="283"/>
        <w:jc w:val="left"/>
        <w:rPr>
          <w:rFonts w:ascii="Arial" w:hAnsi="Arial"/>
          <w:color w:val="000000"/>
          <w:sz w:val="20"/>
        </w:rPr>
      </w:pPr>
      <w:r>
        <w:rPr>
          <w:rFonts w:ascii="Arial" w:hAnsi="Arial"/>
          <w:color w:val="000000"/>
          <w:sz w:val="20"/>
        </w:rPr>
        <w:t>Segment revenues and operating profits (losses) for the three and nine months ended December 31, 2023 and 2022 were as follows:</w:t>
      </w:r>
    </w:p>
    <w:tbl>
      <w:tblPr>
        <w:tblW w:w="10205" w:type="dxa"/>
        <w:jc w:val="left"/>
        <w:tblInd w:w="0" w:type="dxa"/>
        <w:tblLayout w:type="fixed"/>
        <w:tblCellMar>
          <w:top w:w="28" w:type="dxa"/>
          <w:left w:w="28" w:type="dxa"/>
          <w:bottom w:w="28" w:type="dxa"/>
          <w:right w:w="28" w:type="dxa"/>
        </w:tblCellMar>
      </w:tblPr>
      <w:tblGrid>
        <w:gridCol w:w="2764"/>
        <w:gridCol w:w="146"/>
        <w:gridCol w:w="243"/>
        <w:gridCol w:w="1110"/>
        <w:gridCol w:w="166"/>
        <w:gridCol w:w="146"/>
        <w:gridCol w:w="264"/>
        <w:gridCol w:w="999"/>
        <w:gridCol w:w="166"/>
        <w:gridCol w:w="146"/>
        <w:gridCol w:w="243"/>
        <w:gridCol w:w="1110"/>
        <w:gridCol w:w="166"/>
        <w:gridCol w:w="146"/>
        <w:gridCol w:w="243"/>
        <w:gridCol w:w="1110"/>
        <w:gridCol w:w="1037"/>
      </w:tblGrid>
      <w:tr>
        <w:trPr/>
        <w:tc>
          <w:tcPr>
            <w:tcW w:w="2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5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037" w:type="dxa"/>
            <w:tcBorders/>
            <w:shd w:fill="FFFFFF" w:val="clear"/>
            <w:vAlign w:val="center"/>
          </w:tcPr>
          <w:p>
            <w:pPr>
              <w:pStyle w:val="TableContents"/>
              <w:bidi w:val="0"/>
              <w:spacing w:before="0" w:after="283"/>
              <w:jc w:val="center"/>
              <w:rPr/>
            </w:pPr>
            <w:r>
              <w:rPr/>
              <w:t> </w:t>
            </w:r>
          </w:p>
        </w:tc>
      </w:tr>
      <w:tr>
        <w:trPr/>
        <w:tc>
          <w:tcPr>
            <w:tcW w:w="27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037" w:type="dxa"/>
            <w:tcBorders/>
            <w:shd w:fill="CFF0FC" w:val="clear"/>
            <w:vAlign w:val="center"/>
          </w:tcPr>
          <w:p>
            <w:pPr>
              <w:pStyle w:val="TableContents"/>
              <w:bidi w:val="0"/>
              <w:spacing w:before="0" w:after="283"/>
              <w:ind w:left="0" w:right="0" w:firstLine="280"/>
              <w:jc w:val="righ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037" w:type="dxa"/>
            <w:tcBorders/>
            <w:shd w:fill="FFFFFF" w:val="clear"/>
            <w:vAlign w:val="center"/>
          </w:tcPr>
          <w:p>
            <w:pPr>
              <w:pStyle w:val="TableContents"/>
              <w:bidi w:val="0"/>
              <w:spacing w:before="0" w:after="283"/>
              <w:ind w:left="0" w:right="0" w:firstLine="560"/>
              <w:jc w:val="right"/>
              <w:rPr/>
            </w:pPr>
            <w:r>
              <w:rPr/>
              <w:t> </w:t>
            </w:r>
          </w:p>
        </w:tc>
      </w:tr>
      <w:tr>
        <w:trPr/>
        <w:tc>
          <w:tcPr>
            <w:tcW w:w="276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037" w:type="dxa"/>
            <w:tcBorders/>
            <w:shd w:fill="CFF0FC" w:val="clear"/>
            <w:vAlign w:val="center"/>
          </w:tcPr>
          <w:p>
            <w:pPr>
              <w:pStyle w:val="TableContents"/>
              <w:bidi w:val="0"/>
              <w:spacing w:before="0" w:after="283"/>
              <w:ind w:left="0" w:right="0" w:firstLine="560"/>
              <w:jc w:val="left"/>
              <w:rPr/>
            </w:pPr>
            <w:r>
              <w:rPr/>
              <w:t> </w:t>
            </w:r>
          </w:p>
        </w:tc>
      </w:tr>
      <w:tr>
        <w:trPr/>
        <w:tc>
          <w:tcPr>
            <w:tcW w:w="276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915,059</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64"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302,412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1,565,247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915,059</w:t>
            </w:r>
          </w:p>
        </w:tc>
        <w:tc>
          <w:tcPr>
            <w:tcW w:w="1037" w:type="dxa"/>
            <w:tcBorders/>
            <w:shd w:fill="CFF0FC" w:val="clear"/>
            <w:vAlign w:val="center"/>
          </w:tcPr>
          <w:p>
            <w:pPr>
              <w:pStyle w:val="TableContents"/>
              <w:bidi w:val="0"/>
              <w:spacing w:before="0" w:after="283"/>
              <w:ind w:left="0" w:right="0" w:firstLine="280"/>
              <w:jc w:val="lef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ind w:left="0" w:right="0" w:firstLine="560"/>
              <w:jc w:val="left"/>
              <w:rPr/>
            </w:pPr>
            <w:r>
              <w:rPr/>
              <w:t> </w:t>
            </w:r>
          </w:p>
        </w:tc>
      </w:tr>
      <w:tr>
        <w:trPr/>
        <w:tc>
          <w:tcPr>
            <w:tcW w:w="276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523,517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400,569</w:t>
            </w:r>
          </w:p>
        </w:tc>
        <w:tc>
          <w:tcPr>
            <w:tcW w:w="1037" w:type="dxa"/>
            <w:tcBorders/>
            <w:shd w:fill="CFF0FC" w:val="clear"/>
            <w:vAlign w:val="center"/>
          </w:tcPr>
          <w:p>
            <w:pPr>
              <w:pStyle w:val="TableContents"/>
              <w:bidi w:val="0"/>
              <w:spacing w:before="0" w:after="283"/>
              <w:ind w:left="0" w:right="0" w:firstLine="560"/>
              <w:jc w:val="left"/>
              <w:rPr/>
            </w:pPr>
            <w:r>
              <w:rPr/>
              <w:t> </w:t>
            </w:r>
          </w:p>
        </w:tc>
      </w:tr>
      <w:tr>
        <w:trPr/>
        <w:tc>
          <w:tcPr>
            <w:tcW w:w="276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59,465</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64"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167,223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590,153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460,034</w:t>
            </w:r>
          </w:p>
        </w:tc>
        <w:tc>
          <w:tcPr>
            <w:tcW w:w="1037" w:type="dxa"/>
            <w:tcBorders/>
            <w:shd w:fill="CFF0FC" w:val="clear"/>
            <w:vAlign w:val="center"/>
          </w:tcPr>
          <w:p>
            <w:pPr>
              <w:pStyle w:val="TableContents"/>
              <w:bidi w:val="0"/>
              <w:spacing w:before="0" w:after="283"/>
              <w:ind w:left="0" w:right="0" w:firstLine="280"/>
              <w:jc w:val="lef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037" w:type="dxa"/>
            <w:tcBorders/>
            <w:shd w:fill="FFFFFF" w:val="clear"/>
            <w:vAlign w:val="center"/>
          </w:tcPr>
          <w:p>
            <w:pPr>
              <w:pStyle w:val="TableContents"/>
              <w:bidi w:val="0"/>
              <w:spacing w:before="0" w:after="283"/>
              <w:ind w:left="0" w:right="0" w:firstLine="560"/>
              <w:jc w:val="right"/>
              <w:rPr/>
            </w:pPr>
            <w:r>
              <w:rPr/>
              <w:t> </w:t>
            </w:r>
          </w:p>
        </w:tc>
      </w:tr>
      <w:tr>
        <w:trPr/>
        <w:tc>
          <w:tcPr>
            <w:tcW w:w="276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158,548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282,200</w:t>
            </w:r>
          </w:p>
        </w:tc>
        <w:tc>
          <w:tcPr>
            <w:tcW w:w="1037" w:type="dxa"/>
            <w:tcBorders/>
            <w:shd w:fill="CFF0FC" w:val="clear"/>
            <w:vAlign w:val="center"/>
          </w:tcPr>
          <w:p>
            <w:pPr>
              <w:pStyle w:val="TableContents"/>
              <w:bidi w:val="0"/>
              <w:spacing w:before="0" w:after="283"/>
              <w:ind w:left="0" w:right="0" w:firstLine="560"/>
              <w:jc w:val="left"/>
              <w:rPr/>
            </w:pPr>
            <w:r>
              <w:rPr/>
              <w:t> </w:t>
            </w:r>
          </w:p>
        </w:tc>
      </w:tr>
      <w:tr>
        <w:trPr/>
        <w:tc>
          <w:tcPr>
            <w:tcW w:w="276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232,766</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64"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978,345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514,966</w:t>
            </w:r>
          </w:p>
        </w:tc>
        <w:tc>
          <w:tcPr>
            <w:tcW w:w="1037" w:type="dxa"/>
            <w:tcBorders/>
            <w:shd w:fill="CFF0FC" w:val="clear"/>
            <w:vAlign w:val="center"/>
          </w:tcPr>
          <w:p>
            <w:pPr>
              <w:pStyle w:val="TableContents"/>
              <w:bidi w:val="0"/>
              <w:spacing w:before="0" w:after="283"/>
              <w:ind w:left="0" w:right="0" w:firstLine="280"/>
              <w:jc w:val="lef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Elimination of intersegment revenues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3,133,745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1,890,059</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left"/>
              <w:rPr/>
            </w:pPr>
            <w:r>
              <w:rPr/>
              <w:t> </w:t>
            </w:r>
          </w:p>
        </w:tc>
      </w:tr>
      <w:tr>
        <w:trPr/>
        <w:tc>
          <w:tcPr>
            <w:tcW w:w="27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profits (losses):</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037" w:type="dxa"/>
            <w:tcBorders/>
            <w:shd w:fill="CFF0FC" w:val="clear"/>
            <w:vAlign w:val="center"/>
          </w:tcPr>
          <w:p>
            <w:pPr>
              <w:pStyle w:val="TableContents"/>
              <w:bidi w:val="0"/>
              <w:spacing w:before="0" w:after="283"/>
              <w:ind w:left="0" w:right="0" w:firstLine="280"/>
              <w:jc w:val="righ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(779,493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(13,142</w:t>
            </w:r>
          </w:p>
        </w:tc>
        <w:tc>
          <w:tcPr>
            <w:tcW w:w="1037"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76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networks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(70,343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(40,266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(73,972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(90,442</w:t>
            </w:r>
          </w:p>
        </w:tc>
        <w:tc>
          <w:tcPr>
            <w:tcW w:w="1037"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42,655</w:t>
            </w:r>
          </w:p>
        </w:tc>
        <w:tc>
          <w:tcPr>
            <w:tcW w:w="1037" w:type="dxa"/>
            <w:tcBorders/>
            <w:shd w:fill="FFFFFF" w:val="clear"/>
            <w:vAlign w:val="center"/>
          </w:tcPr>
          <w:p>
            <w:pPr>
              <w:pStyle w:val="TableContents"/>
              <w:bidi w:val="0"/>
              <w:spacing w:before="0" w:after="283"/>
              <w:ind w:left="0" w:right="0" w:firstLine="280"/>
              <w:jc w:val="left"/>
              <w:rPr/>
            </w:pPr>
            <w:r>
              <w:rPr/>
              <w:t> </w:t>
            </w:r>
          </w:p>
        </w:tc>
      </w:tr>
      <w:tr>
        <w:trPr/>
        <w:tc>
          <w:tcPr>
            <w:tcW w:w="276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Elimination of intersegment operating</w:t>
              <w:br/>
              <w:t>   profits (losses)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 before corporate</w:t>
              <w:br/>
              <w:t>   and amortization of acquired intangible</w:t>
              <w:br/>
              <w:t>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(23,878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(689,197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(60,929</w:t>
            </w:r>
          </w:p>
        </w:tc>
        <w:tc>
          <w:tcPr>
            <w:tcW w:w="1037"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76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037" w:type="dxa"/>
            <w:tcBorders/>
            <w:shd w:fill="CFF0FC" w:val="clear"/>
            <w:vAlign w:val="center"/>
          </w:tcPr>
          <w:p>
            <w:pPr>
              <w:pStyle w:val="TableContents"/>
              <w:bidi w:val="0"/>
              <w:spacing w:before="0" w:after="283"/>
              <w:ind w:left="0" w:right="0" w:firstLine="280"/>
              <w:jc w:val="left"/>
              <w:rPr/>
            </w:pPr>
            <w:r>
              <w:rPr/>
              <w:t> </w:t>
            </w:r>
          </w:p>
        </w:tc>
      </w:tr>
      <w:tr>
        <w:trPr/>
        <w:tc>
          <w:tcPr>
            <w:tcW w:w="27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acquired intangible</w:t>
              <w:br/>
              <w:t>   assets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(22,335</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(83,264</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2023 and March 31, 2023 were as follows: </w:t>
      </w:r>
    </w:p>
    <w:p>
      <w:pPr>
        <w:pStyle w:val="TextBody"/>
        <w:bidi w:val="0"/>
        <w:jc w:val="left"/>
        <w:rPr/>
      </w:pPr>
      <w:r>
        <w:rPr/>
        <w:t> </w:t>
      </w:r>
    </w:p>
    <w:tbl>
      <w:tblPr>
        <w:tblW w:w="6125" w:type="dxa"/>
        <w:jc w:val="left"/>
        <w:tblInd w:w="0" w:type="dxa"/>
        <w:tblLayout w:type="fixed"/>
        <w:tblCellMar>
          <w:top w:w="28" w:type="dxa"/>
          <w:left w:w="28" w:type="dxa"/>
          <w:bottom w:w="28" w:type="dxa"/>
          <w:right w:w="28" w:type="dxa"/>
        </w:tblCellMar>
      </w:tblPr>
      <w:tblGrid>
        <w:gridCol w:w="2291"/>
        <w:gridCol w:w="146"/>
        <w:gridCol w:w="267"/>
        <w:gridCol w:w="1353"/>
        <w:gridCol w:w="146"/>
        <w:gridCol w:w="146"/>
        <w:gridCol w:w="235"/>
        <w:gridCol w:w="1070"/>
        <w:gridCol w:w="471"/>
      </w:tblGrid>
      <w:tr>
        <w:trPr/>
        <w:tc>
          <w:tcPr>
            <w:tcW w:w="2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1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2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3,729,631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424,881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2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networks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404,705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328,828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293,780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29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segment assets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5,415,432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1,047,489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assets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11,235,223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6,682,848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16,650,655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7,730,337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Other acquired intangible assets, net and goodwill included in segment assets as of December 31, 2023 and March 31, 2023 were as follows:</w:t>
      </w:r>
      <w:r>
        <w:rPr>
          <w:rFonts w:ascii="Times New Roman" w:hAnsi="Times New Roman"/>
          <w:color w:val="000000"/>
          <w:sz w:val="20"/>
        </w:rPr>
        <w:t xml:space="preserve"> </w:t>
      </w:r>
    </w:p>
    <w:tbl>
      <w:tblPr>
        <w:tblW w:w="9059" w:type="dxa"/>
        <w:jc w:val="left"/>
        <w:tblInd w:w="0" w:type="dxa"/>
        <w:tblLayout w:type="fixed"/>
        <w:tblCellMar>
          <w:top w:w="28" w:type="dxa"/>
          <w:left w:w="28" w:type="dxa"/>
          <w:bottom w:w="28" w:type="dxa"/>
          <w:right w:w="28" w:type="dxa"/>
        </w:tblCellMar>
      </w:tblPr>
      <w:tblGrid>
        <w:gridCol w:w="1996"/>
        <w:gridCol w:w="146"/>
        <w:gridCol w:w="291"/>
        <w:gridCol w:w="1329"/>
        <w:gridCol w:w="146"/>
        <w:gridCol w:w="146"/>
        <w:gridCol w:w="273"/>
        <w:gridCol w:w="1032"/>
        <w:gridCol w:w="146"/>
        <w:gridCol w:w="146"/>
        <w:gridCol w:w="291"/>
        <w:gridCol w:w="1329"/>
        <w:gridCol w:w="146"/>
        <w:gridCol w:w="146"/>
        <w:gridCol w:w="273"/>
        <w:gridCol w:w="103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Acquired Intangible</w:t>
              <w:br/>
              <w:t>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Goodwill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Satellite services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2,375,977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80,589</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41,014</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Government systems</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1,613,706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of acquired intangible assets by segment for the three and nine months ended December 31, 2023 and 2022 was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697"/>
        <w:gridCol w:w="146"/>
        <w:gridCol w:w="367"/>
        <w:gridCol w:w="1205"/>
        <w:gridCol w:w="146"/>
        <w:gridCol w:w="146"/>
        <w:gridCol w:w="415"/>
        <w:gridCol w:w="1157"/>
        <w:gridCol w:w="146"/>
        <w:gridCol w:w="146"/>
        <w:gridCol w:w="329"/>
        <w:gridCol w:w="1244"/>
        <w:gridCol w:w="146"/>
        <w:gridCol w:w="146"/>
        <w:gridCol w:w="367"/>
        <w:gridCol w:w="1205"/>
        <w:gridCol w:w="197"/>
      </w:tblGrid>
      <w:tr>
        <w:trPr/>
        <w:tc>
          <w:tcPr>
            <w:tcW w:w="2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65"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7" w:type="dxa"/>
            <w:tcBorders/>
            <w:shd w:fill="FFFFFF" w:val="clear"/>
            <w:vAlign w:val="center"/>
          </w:tcPr>
          <w:p>
            <w:pPr>
              <w:pStyle w:val="TableContents"/>
              <w:bidi w:val="0"/>
              <w:spacing w:before="0" w:after="283"/>
              <w:jc w:val="center"/>
              <w:rPr/>
            </w:pPr>
            <w:r>
              <w:rPr/>
              <w:t> </w:t>
            </w:r>
          </w:p>
        </w:tc>
      </w:tr>
      <w:tr>
        <w:trPr/>
        <w:tc>
          <w:tcPr>
            <w:tcW w:w="26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Satellite services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21,458</w:t>
            </w:r>
          </w:p>
        </w:tc>
        <w:tc>
          <w:tcPr>
            <w:tcW w:w="197" w:type="dxa"/>
            <w:tcBorders/>
            <w:shd w:fill="CFF0FC" w:val="cle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r>
      <w:tr>
        <w:trPr/>
        <w:tc>
          <w:tcPr>
            <w:tcW w:w="26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Government systems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amortization of acquired</w:t>
              <w:br/>
              <w:t>   intangible assets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Revenues by geographic area for the three and nine months ended December 31, 2023 and 2022 were as follows:</w:t>
      </w:r>
    </w:p>
    <w:p>
      <w:pPr>
        <w:pStyle w:val="TextBody"/>
        <w:bidi w:val="0"/>
        <w:jc w:val="left"/>
        <w:rPr/>
      </w:pPr>
      <w:r>
        <w:rPr/>
        <w:t> </w:t>
      </w:r>
    </w:p>
    <w:tbl>
      <w:tblPr>
        <w:tblW w:w="9360" w:type="dxa"/>
        <w:jc w:val="left"/>
        <w:tblInd w:w="0" w:type="dxa"/>
        <w:tblLayout w:type="fixed"/>
        <w:tblCellMar>
          <w:top w:w="28" w:type="dxa"/>
          <w:left w:w="28" w:type="dxa"/>
          <w:bottom w:w="28" w:type="dxa"/>
          <w:right w:w="28" w:type="dxa"/>
        </w:tblCellMar>
      </w:tblPr>
      <w:tblGrid>
        <w:gridCol w:w="5311"/>
        <w:gridCol w:w="146"/>
        <w:gridCol w:w="316"/>
        <w:gridCol w:w="1439"/>
        <w:gridCol w:w="146"/>
        <w:gridCol w:w="146"/>
        <w:gridCol w:w="299"/>
        <w:gridCol w:w="1366"/>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1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769,135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2,239,718</w:t>
            </w:r>
          </w:p>
        </w:tc>
        <w:tc>
          <w:tcPr>
            <w:tcW w:w="19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3,133,745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1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542,702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1,590,535</w:t>
            </w:r>
          </w:p>
        </w:tc>
        <w:tc>
          <w:tcPr>
            <w:tcW w:w="19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distinguishes revenues from external customers by geographic area based on customer location.</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the expected benefits, synergies, growth opportunities and other financial and operating benefits of the Inmarsat Acquisition (as defined below), and the expected charges and costs resulting from associated integration efforts;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commercial service, expected performance and benefits of satellites (including future satellites planned or under construction) and the timing thereof; the extent and impact of anomalies on the ViaSat-3 F1 and Inmarsat-6 (I-6) F2 satellites, the anticipated functionality or performance of such satellites and any potential remedial or mitigating measures that may be undertaken or insurance proceeds that may be recoverable in connection therewith; the expected capacity,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that the Inmarsat Acquisition disrupts current plans and operations or diverts management's attention from our business; the effect of the Inmarsat Acquisition on our ability to retain and hire key personnel and maintain relationships with our customers, suppliers and others with whom we do business; our ability to successfully integrate the operations, technologies and employees of Inmarsat (as defined herein); the ability to realize anticipated benefits and synergies of the Inmarsat Acquisition and our other acquisitions, including the expectation of enhancements to our products and services, greater revenue or growth opportunities, and the realization of operating efficiencies and cost savings (including the timing and amount thereof); the ability to ensure continued performance and market growth of our business following the closing of the Inmarsat Acquisition; our ability to realize the anticipated benefits of any existing or future satellite;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2023 (as updated by our Quarterly Report on Form 10-Q for the quarter ended June 30, 2023)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all. Our end-to-end platform of satellites, ground infrastructure and user terminals enables us to provide cost-effective, high-speed, high-quality broadband and other connectivity solutions to enterprises, consumers, military and government users around the globe, whether on the ground, in the air or at sea. In addition, our government business includes a portfolio of communications gateways; situational awareness products and services; satellite communication products and services, across using various frequency bands; cybersecurity and information assurance products and services; and tactical data link solutions. We believe that our diversification strategy— 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pStyle w:val="TextBody"/>
        <w:bidi w:val="0"/>
        <w:spacing w:before="180" w:after="283"/>
        <w:jc w:val="left"/>
        <w:rPr>
          <w:rFonts w:ascii="Arial" w:hAnsi="Arial"/>
          <w:color w:val="000000"/>
          <w:sz w:val="20"/>
        </w:rPr>
      </w:pPr>
      <w:r>
        <w:rPr>
          <w:rFonts w:ascii="Arial" w:hAnsi="Arial"/>
          <w:color w:val="000000"/>
          <w:sz w:val="20"/>
        </w:rPr>
        <w:t>We conduct our business through three segments: satellite services, commercial networks and government systems.</w:t>
      </w:r>
    </w:p>
    <w:p>
      <w:pPr>
        <w:pStyle w:val="TextBody"/>
        <w:bidi w:val="0"/>
        <w:spacing w:before="280" w:after="283"/>
        <w:jc w:val="left"/>
        <w:rPr>
          <w:rFonts w:ascii="Arial" w:hAnsi="Arial"/>
          <w:b/>
          <w:color w:val="000000"/>
          <w:sz w:val="20"/>
        </w:rPr>
      </w:pPr>
      <w:r>
        <w:rPr>
          <w:rFonts w:ascii="Arial" w:hAnsi="Arial"/>
          <w:b/>
          <w:color w:val="000000"/>
          <w:sz w:val="20"/>
        </w:rPr>
        <w:t>Inmarsat Acquisition</w:t>
      </w:r>
    </w:p>
    <w:p>
      <w:pPr>
        <w:pStyle w:val="TextBody"/>
        <w:bidi w:val="0"/>
        <w:spacing w:before="80" w:after="283"/>
        <w:jc w:val="left"/>
        <w:rPr>
          <w:rFonts w:ascii="Arial" w:hAnsi="Arial"/>
          <w:color w:val="000000"/>
          <w:sz w:val="20"/>
        </w:rPr>
      </w:pPr>
      <w:r>
        <w:rPr>
          <w:rFonts w:ascii="Arial" w:hAnsi="Arial"/>
          <w:color w:val="000000"/>
          <w:sz w:val="20"/>
        </w:rPr>
        <w:t>On May 30, 2023, we purchased all of the issued and outstanding shares of Connect Topco Limited, a private company limited by shares and incorporated in Guernsey (Inmarsat Holdings and, together with its subsidiaries, Inmarsat), in exchange for approximately $550.7 million in cash and 46.36 million shares of our common stock (the Inmarsat Acquisition). In connection with the closing of the Inmarsat Acquisition, we entered into a $616.7 million senior secured term loan facility (the 2023 Term Loan Facility) and a $733.4 million unsecured bridge loan facility (the Bridge Facility), which were fully drawn at closing. On September 28, 2023, we replaced the Bridge Facility with the 7.500% Senior Notes due 2031, in the same principal amount and at the same interest rate.</w:t>
      </w:r>
    </w:p>
    <w:p>
      <w:pPr>
        <w:pStyle w:val="TextBody"/>
        <w:bidi w:val="0"/>
        <w:spacing w:before="280" w:after="283"/>
        <w:jc w:val="left"/>
        <w:rPr>
          <w:rFonts w:ascii="Arial" w:hAnsi="Arial"/>
          <w:b/>
          <w:color w:val="000000"/>
          <w:sz w:val="20"/>
        </w:rPr>
      </w:pPr>
      <w:r>
        <w:rPr>
          <w:rFonts w:ascii="Arial" w:hAnsi="Arial"/>
          <w:b/>
          <w:color w:val="000000"/>
          <w:sz w:val="20"/>
        </w:rPr>
        <w:t>Sale of Link-16 TDL Business</w:t>
      </w:r>
    </w:p>
    <w:p>
      <w:pPr>
        <w:pStyle w:val="TextBody"/>
        <w:bidi w:val="0"/>
        <w:spacing w:before="80" w:after="283"/>
        <w:jc w:val="left"/>
        <w:rPr>
          <w:rFonts w:ascii="Arial" w:hAnsi="Arial"/>
          <w:color w:val="000000"/>
          <w:sz w:val="20"/>
        </w:rPr>
      </w:pPr>
      <w:r>
        <w:rPr>
          <w:rFonts w:ascii="Arial" w:hAnsi="Arial"/>
          <w:color w:val="000000"/>
          <w:sz w:val="20"/>
        </w:rPr>
        <w:t>On January 3, 2023, we completed the sale of certain assets and liabilities comprising our Link-16 Tactical Data Links business (the Link-16 TDL Business) to L3Harris Technologies, Inc. (L3Harris) in exchange for approximately $1.96 billion in cash, subject to certain adjustments (the Link-16 TDL Sale). Unless otherwise noted, discussion throughout this Quarterly Report on Form 10-Q relates to our continuing operations only and excludes the Link-16 TDL Business. See Note 5 — Discontinued Operations to our condensed consolidated financial statements for additional information.</w:t>
      </w:r>
    </w:p>
    <w:p>
      <w:pPr>
        <w:pStyle w:val="TextBody"/>
        <w:bidi w:val="0"/>
        <w:spacing w:before="280" w:after="283"/>
        <w:jc w:val="left"/>
        <w:rPr>
          <w:rFonts w:ascii="Times New Roman" w:hAnsi="Times New Roman"/>
          <w:sz w:val="20"/>
        </w:rPr>
      </w:pPr>
      <w:r>
        <w:rPr>
          <w:rFonts w:ascii="Arial" w:hAnsi="Arial"/>
          <w:b/>
          <w:color w:val="000000"/>
          <w:sz w:val="20"/>
        </w:rPr>
        <w:t>Satellite Services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satellite services segment uses our proprietary technology platform to provide both high-speed broadband and narrowband services via satellite around the globe for use in commercial applications.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Our complementary fleet of 21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IFC services to commercial airlines in Europe, and an I-6 class hybrid Ka-/L-band satellite (the I-6 F1 satellite), with additional satellites under development. Our expanded satellite fleet enables us to provide near global coverage (including strong oceanic coverage and polar reach) with greater redundancy and resiliency. 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suffered a power subsystem anomaly during its orbit raising phase, and concluded that the satellite would not operate as intended (see Note 1 — Basis of Presentation — Property, equipment and satellites to our condensed consolidated financial statements for more information).</w:t>
      </w:r>
    </w:p>
    <w:p>
      <w:pPr>
        <w:pStyle w:val="TextBody"/>
        <w:bidi w:val="0"/>
        <w:spacing w:before="80" w:after="283"/>
        <w:jc w:val="left"/>
        <w:rPr>
          <w:rFonts w:ascii="Arial" w:hAnsi="Arial"/>
          <w:color w:val="000000"/>
          <w:sz w:val="20"/>
        </w:rPr>
      </w:pPr>
      <w:r>
        <w:rPr>
          <w:rFonts w:ascii="Arial" w:hAnsi="Arial"/>
          <w:color w:val="000000"/>
          <w:sz w:val="20"/>
        </w:rPr>
        <w:t>The primary services offered by our satellite services segment are comprised of: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In-flight services, which provide industry-leading IFC services and wireless in-flight entertainment services, as well as cockpit, data safety, surveillance, electronic flightbag and other aviation software services. As of December 31, 2023, we had our IFC systems installed and in service on approximately 3,540 commercial aircraft of which approximately 40 were inactive at quarter end (mostly due to standard aircraft maintenance). We anticipate that approximately 1,430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Additionally, due to the nature of commercial airline contracts, there can be no assurance that anticipated IFC services will be activated on all such additional commercial aircraft.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Fixed broadband services, which provide consumers and businesses with high-speed, high-quality broadband internet access and Voice over Internet Protocol services, primarily in the United States as well as in various countries in Europe and Latin America.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Maritime services (acquired through the Inmarsat Acquisition), which offer satellite-based Ka-band high-speed broadband and L-band narrowband communications services, including safety services, to seagoing vessels (such as commercial shipping vessels, energy offshore vessels, cruise ships, consumer ferries and yachts).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Prepaid Internet services, which offer innovative, affordable, satellite-based connectivity in communities that have little or no access to the internet. These services help foster digital inclusion by enabling millions of people to connect to affordable, high-quality internet services via a centralized terminal connected to the internet via satellite, that is then used to provide community hotspots, home broadband and mobile broadband. We provide Prepaid Internet services in multiple regions in Mexico and Brazil.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broadband and narrowband services, which include high-speed, satellite-based internet, Internet-of-Things (IoT), telemetry, push-to-talk communications and L-band satellite phone services, as well as L-band managed services that enable real-time machine-to-machine (M2M) position tracking, management of remote assets and operations, and visibility into critical areas of the supply chain.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Energy services, which include ultra-secure solutions spanning global IP connectivity, bandwidth-optimized over-the-top applications, industrial IoT, big data enablement and industry-leading machine learning analytics.</w:t>
      </w:r>
    </w:p>
    <w:p>
      <w:pPr>
        <w:pStyle w:val="TextBody"/>
        <w:bidi w:val="0"/>
        <w:spacing w:before="180" w:after="283"/>
        <w:jc w:val="left"/>
        <w:rPr>
          <w:rFonts w:ascii="Arial" w:hAnsi="Arial"/>
          <w:color w:val="000000"/>
          <w:sz w:val="20"/>
        </w:rPr>
      </w:pPr>
      <w:r>
        <w:rPr>
          <w:rFonts w:ascii="Arial" w:hAnsi="Arial"/>
          <w:color w:val="000000"/>
          <w:sz w:val="20"/>
        </w:rPr>
        <w:t>The assets and results of operations of Inmarsat's commercial business are primarily included in our satellite services segment (with an insignificant amount included in our commercial networks segment and Inmarsat's government business included in our government systems segment) for the period following the closing of the Inmarsat Acquisition on May 30, 2023.</w:t>
      </w:r>
    </w:p>
    <w:p>
      <w:pPr>
        <w:pStyle w:val="TextBody"/>
        <w:bidi w:val="0"/>
        <w:spacing w:before="280" w:after="283"/>
        <w:jc w:val="left"/>
        <w:rPr>
          <w:rFonts w:ascii="Times New Roman" w:hAnsi="Times New Roman"/>
          <w:sz w:val="20"/>
        </w:rPr>
      </w:pPr>
      <w:r>
        <w:rPr>
          <w:rFonts w:ascii="Arial" w:hAnsi="Arial"/>
          <w:b/>
          <w:color w:val="000000"/>
          <w:sz w:val="20"/>
        </w:rPr>
        <w:t>Commercial Networks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commercial networks segment develops and sells a wide array of advanced satellite and wireless products, antenna systems and network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Mobile broadband satellite communication systems, designed for use in aircraft, land-mobile and seagoing vessels.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Fixed broadband satellite communication systems, including next-generation satellite network infrastructure, ground terminals and design and implementation for customer communication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Antenna systems, including state-of-the-art ground and airborne terminals, antennas and gateways for terrestrial and satellite customer applications, mobile satellite communication, Ka-band earth stations and other multi-band/multi-function antennas.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Space systems design and satellite networking development, including the design and development of the architecture of high-capacity Ka-band geosynchronous satellites and associated payload technologies (both for our own satellite fleet as well as for third parties) and special purpose LEO and MEO satellites and other small satellite platforms, as well as semiconductor design for application-specific integrated circuit and monolithic microwave integrated circuit chips. Satellite networking development includes specialized design and technology services covering all aspects of satellite communication system architecture, networks and technology.</w:t>
      </w:r>
    </w:p>
    <w:p>
      <w:pPr>
        <w:pStyle w:val="TextBody"/>
        <w:bidi w:val="0"/>
        <w:spacing w:before="280" w:after="283"/>
        <w:jc w:val="left"/>
        <w:rPr>
          <w:rFonts w:ascii="Times New Roman" w:hAnsi="Times New Roman"/>
          <w:sz w:val="20"/>
        </w:rPr>
      </w:pPr>
      <w:r>
        <w:rPr>
          <w:rFonts w:ascii="Arial" w:hAnsi="Arial"/>
          <w:b/>
          <w:color w:val="000000"/>
          <w:sz w:val="20"/>
        </w:rPr>
        <w:t>Government Systems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government systems segment offers a broad array of products and services,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narrowband products and services (primarily provided by Inmarsat prior to the Inmarsat Acquisition), which provide military and government users with L-band narrowband products and services such as Tactical Beyond Line of Sight (L-TAC) communications, L-band airborne ISR services and L-band Advanced Communications Element (LACE)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space-based systems and fixed applications.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Secure networking, cybersecurity and information assurance products and services, which provide advanced, high-speed IP-based “Type 1” and High Assurance Internet Protocol Encryption (HAIPE</w:t>
      </w:r>
      <w:r>
        <w:rPr>
          <w:rFonts w:ascii="Arial" w:hAnsi="Arial"/>
          <w:color w:val="000000"/>
          <w:sz w:val="13"/>
        </w:rPr>
        <w:t>®</w:t>
      </w:r>
      <w:r>
        <w:rPr>
          <w:rFonts w:ascii="Arial" w:hAnsi="Arial"/>
          <w:color w:val="000000"/>
          <w:sz w:val="20"/>
        </w:rPr>
        <w:t>)-compliant encryption solutions that enable military and government users to communicate information securely, and that protect the integrity of data stored on computers and storage devices.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Tactical data link solutions, which continue to provide certain solutions in the tactical data link space, including our Move Out/Jump Off tactical gateway family of products and simulation environments via our radio frequency generators which test our customers' tactical data links. On January 3, 2023 we sold the remainder of our Link-16 TDL Business to L3Harris. See Note 5 — Discontinued Operations to our condensed consolidated financial statements for additional information.</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a summary of factors and trends affecting our results of operations, see Part II, Item 7, "Factors and Trends Affecting our Results of Operations" in our Annual Report on Form 10-K for the year ended March 31, 2023.</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satellite services segment revenues are primarily derived from our in-flight services, fixed broadband services, maritime services (including narrowband and safety of communication capabilities primarily acquired through the Inmarsat Acquisition), and energy services.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180" w:after="283"/>
        <w:jc w:val="left"/>
        <w:rPr>
          <w:rFonts w:ascii="Times New Roman" w:hAnsi="Times New Roman"/>
          <w:sz w:val="20"/>
        </w:rPr>
      </w:pPr>
      <w:r>
        <w:rPr>
          <w:rFonts w:ascii="Arial" w:hAnsi="Arial"/>
          <w:color w:val="000000"/>
          <w:sz w:val="20"/>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180" w:after="283"/>
        <w:jc w:val="left"/>
        <w:rPr>
          <w:rFonts w:ascii="Times New Roman" w:hAnsi="Times New Roman"/>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Basis of Presentation –</w:t>
      </w:r>
      <w:r>
        <w:rPr>
          <w:rFonts w:ascii="Times New Roman" w:hAnsi="Times New Roman"/>
          <w:color w:val="000000"/>
          <w:sz w:val="20"/>
        </w:rPr>
        <w:t xml:space="preserve"> </w:t>
      </w:r>
      <w:r>
        <w:rPr>
          <w:rFonts w:ascii="Arial" w:hAnsi="Arial"/>
          <w:color w:val="000000"/>
          <w:sz w:val="20"/>
        </w:rPr>
        <w:t>Leases</w:t>
      </w:r>
      <w:r>
        <w:rPr>
          <w:rFonts w:ascii="Times New Roman" w:hAnsi="Times New Roman"/>
          <w:color w:val="000000"/>
          <w:sz w:val="20"/>
        </w:rPr>
        <w:t xml:space="preserve"> </w:t>
      </w:r>
      <w:r>
        <w:rPr>
          <w:rFonts w:ascii="Arial" w:hAnsi="Arial"/>
          <w:color w:val="000000"/>
          <w:sz w:val="20"/>
        </w:rPr>
        <w:t>to our condensed consolidated financial statements, for broadband equipment leased to customers in conjunction with the delivery of connectivity services, we account for the lease and non-lease components of connectivity services arrangement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2023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satellite services segment.</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color w:val="000000"/>
          <w:sz w:val="20"/>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Arial" w:hAnsi="Arial"/>
          <w:b/>
          <w:i/>
          <w:color w:val="000000"/>
          <w:sz w:val="20"/>
        </w:rPr>
      </w:pPr>
      <w:r>
        <w:rPr>
          <w:rFonts w:ascii="Arial" w:hAnsi="Arial"/>
          <w:b/>
          <w:i/>
          <w:color w:val="000000"/>
          <w:sz w:val="20"/>
        </w:rPr>
        <w:t>Business combinations</w:t>
      </w:r>
    </w:p>
    <w:p>
      <w:pPr>
        <w:pStyle w:val="TextBody"/>
        <w:bidi w:val="0"/>
        <w:spacing w:before="80" w:after="283"/>
        <w:jc w:val="left"/>
        <w:rPr>
          <w:rFonts w:ascii="Times New Roman" w:hAnsi="Times New Roman"/>
          <w:sz w:val="20"/>
        </w:rPr>
      </w:pPr>
      <w:r>
        <w:rPr>
          <w:rFonts w:ascii="Arial" w:hAnsi="Arial"/>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Basis of Presentation – Property, equipment and satellites above), no material impairments were recorded for the three and nine months ended December 31, 2023 and 2022.</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and quantitative assessments performed during the fourth quarter of fiscal year 2023, we concluded that it was more likely than not that the estimated fair value of our reporting units exceeded their carrying value as of March 31, 2023.</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283"/>
        <w:jc w:val="left"/>
        <w:rPr>
          <w:rFonts w:ascii="Arial" w:hAnsi="Arial"/>
          <w:color w:val="000000"/>
          <w:sz w:val="20"/>
        </w:rPr>
      </w:pPr>
      <w:r>
        <w:rPr>
          <w:rFonts w:ascii="Arial" w:hAnsi="Arial"/>
          <w:color w:val="000000"/>
          <w:sz w:val="20"/>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 Additionally, in our analysis, we also considered the fact that ASC 740 places more weight on the objectively verifiable evidence of current pre-tax losses and recent events than forecasts of future profitability.</w:t>
      </w:r>
    </w:p>
    <w:p>
      <w:pPr>
        <w:pStyle w:val="TextBody"/>
        <w:bidi w:val="0"/>
        <w:spacing w:before="180" w:after="283"/>
        <w:jc w:val="left"/>
        <w:rPr>
          <w:rFonts w:ascii="Arial" w:hAnsi="Arial"/>
          <w:color w:val="000000"/>
          <w:sz w:val="20"/>
        </w:rPr>
      </w:pPr>
      <w:r>
        <w:rPr>
          <w:rFonts w:ascii="Arial" w:hAnsi="Arial"/>
          <w:color w:val="000000"/>
          <w:sz w:val="20"/>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1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presents, as a percentage of total revenues, income statement data of our continuing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8"/>
        <w:gridCol w:w="146"/>
        <w:gridCol w:w="268"/>
        <w:gridCol w:w="774"/>
        <w:gridCol w:w="303"/>
        <w:gridCol w:w="154"/>
        <w:gridCol w:w="268"/>
        <w:gridCol w:w="774"/>
        <w:gridCol w:w="286"/>
        <w:gridCol w:w="146"/>
        <w:gridCol w:w="268"/>
        <w:gridCol w:w="774"/>
        <w:gridCol w:w="295"/>
        <w:gridCol w:w="150"/>
        <w:gridCol w:w="268"/>
        <w:gridCol w:w="774"/>
        <w:gridCol w:w="619"/>
      </w:tblGrid>
      <w:tr>
        <w:trPr/>
        <w:tc>
          <w:tcPr>
            <w:tcW w:w="3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0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9"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3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Product revenues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0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95"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19" w:type="dxa"/>
            <w:tcBorders/>
            <w:shd w:fill="FFFFFF" w:val="clear"/>
            <w:vAlign w:val="center"/>
          </w:tcPr>
          <w:p>
            <w:pPr>
              <w:pStyle w:val="TableContents"/>
              <w:bidi w:val="0"/>
              <w:spacing w:before="0" w:after="283"/>
              <w:ind w:left="0" w:right="0" w:firstLine="280"/>
              <w:jc w:val="left"/>
              <w:rPr/>
            </w:pPr>
            <w:r>
              <w:rPr/>
              <w:t> </w:t>
            </w:r>
          </w:p>
        </w:tc>
      </w:tr>
      <w:tr>
        <w:trPr/>
        <w:tc>
          <w:tcPr>
            <w:tcW w:w="39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Service revenues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303"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295"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619" w:type="dxa"/>
            <w:tcBorders/>
            <w:shd w:fill="CFF0FC" w:val="clear"/>
            <w:vAlign w:val="center"/>
          </w:tcPr>
          <w:p>
            <w:pPr>
              <w:pStyle w:val="TableContents"/>
              <w:bidi w:val="0"/>
              <w:spacing w:before="0" w:after="283"/>
              <w:jc w:val="left"/>
              <w:rPr/>
            </w:pPr>
            <w:r>
              <w:rPr/>
              <w:t> </w:t>
            </w:r>
          </w:p>
        </w:tc>
      </w:tr>
      <w:tr>
        <w:trPr/>
        <w:tc>
          <w:tcPr>
            <w:tcW w:w="39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619" w:type="dxa"/>
            <w:tcBorders/>
            <w:shd w:fill="FFFFFF" w:val="clear"/>
            <w:vAlign w:val="center"/>
          </w:tcPr>
          <w:p>
            <w:pPr>
              <w:pStyle w:val="TableContents"/>
              <w:bidi w:val="0"/>
              <w:spacing w:before="0" w:after="283"/>
              <w:ind w:left="0" w:right="0" w:firstLine="280"/>
              <w:jc w:val="right"/>
              <w:rPr/>
            </w:pPr>
            <w:r>
              <w:rPr/>
              <w:t> </w:t>
            </w:r>
          </w:p>
        </w:tc>
      </w:tr>
      <w:tr>
        <w:trPr/>
        <w:tc>
          <w:tcPr>
            <w:tcW w:w="39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Cost of product revenues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03"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95"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19" w:type="dxa"/>
            <w:tcBorders/>
            <w:shd w:fill="CFF0FC" w:val="clear"/>
            <w:vAlign w:val="center"/>
          </w:tcPr>
          <w:p>
            <w:pPr>
              <w:pStyle w:val="TableContents"/>
              <w:bidi w:val="0"/>
              <w:spacing w:before="0" w:after="283"/>
              <w:ind w:left="0" w:right="0" w:firstLine="280"/>
              <w:jc w:val="left"/>
              <w:rPr/>
            </w:pPr>
            <w:r>
              <w:rPr/>
              <w:t> </w:t>
            </w:r>
          </w:p>
        </w:tc>
      </w:tr>
      <w:tr>
        <w:trPr/>
        <w:tc>
          <w:tcPr>
            <w:tcW w:w="393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Cost of service revenues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30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95"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19" w:type="dxa"/>
            <w:tcBorders/>
            <w:shd w:fill="FFFFFF" w:val="clear"/>
            <w:vAlign w:val="center"/>
          </w:tcPr>
          <w:p>
            <w:pPr>
              <w:pStyle w:val="TableContents"/>
              <w:bidi w:val="0"/>
              <w:spacing w:before="0" w:after="283"/>
              <w:ind w:left="0" w:right="0" w:firstLine="280"/>
              <w:jc w:val="left"/>
              <w:rPr/>
            </w:pPr>
            <w:r>
              <w:rPr/>
              <w:t> </w:t>
            </w:r>
          </w:p>
        </w:tc>
      </w:tr>
      <w:tr>
        <w:trPr/>
        <w:tc>
          <w:tcPr>
            <w:tcW w:w="39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03"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295"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19" w:type="dxa"/>
            <w:tcBorders/>
            <w:shd w:fill="CFF0FC" w:val="clear"/>
            <w:vAlign w:val="center"/>
          </w:tcPr>
          <w:p>
            <w:pPr>
              <w:pStyle w:val="TableContents"/>
              <w:bidi w:val="0"/>
              <w:spacing w:before="0" w:after="283"/>
              <w:ind w:left="0" w:right="0" w:firstLine="280"/>
              <w:jc w:val="left"/>
              <w:rPr/>
            </w:pPr>
            <w:r>
              <w:rPr/>
              <w:t> </w:t>
            </w:r>
          </w:p>
        </w:tc>
      </w:tr>
      <w:tr>
        <w:trPr/>
        <w:tc>
          <w:tcPr>
            <w:tcW w:w="393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0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95"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19" w:type="dxa"/>
            <w:tcBorders/>
            <w:shd w:fill="FFFFFF" w:val="clear"/>
            <w:vAlign w:val="center"/>
          </w:tcPr>
          <w:p>
            <w:pPr>
              <w:pStyle w:val="TableContents"/>
              <w:bidi w:val="0"/>
              <w:spacing w:before="0" w:after="283"/>
              <w:ind w:left="0" w:right="0" w:firstLine="280"/>
              <w:jc w:val="left"/>
              <w:rPr/>
            </w:pPr>
            <w:r>
              <w:rPr/>
              <w:t> </w:t>
            </w:r>
          </w:p>
        </w:tc>
      </w:tr>
      <w:tr>
        <w:trPr/>
        <w:tc>
          <w:tcPr>
            <w:tcW w:w="39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9"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3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continuing operations before income taxes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03"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95"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 net of tax</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303"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19" w:type="dxa"/>
            <w:tcBorders/>
            <w:shd w:fill="CFF0FC" w:val="clear"/>
            <w:vAlign w:val="center"/>
          </w:tcPr>
          <w:p>
            <w:pPr>
              <w:pStyle w:val="TableContents"/>
              <w:bidi w:val="0"/>
              <w:spacing w:before="0" w:after="283"/>
              <w:jc w:val="left"/>
              <w:rPr/>
            </w:pPr>
            <w:r>
              <w:rPr/>
              <w:t> </w:t>
            </w:r>
          </w:p>
        </w:tc>
      </w:tr>
      <w:tr>
        <w:trPr/>
        <w:tc>
          <w:tcPr>
            <w:tcW w:w="39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December 31, 2023 vs. Three Months Ended December 31, 2022</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309"/>
        <w:gridCol w:w="861"/>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$477.1 million as a result of a $423.3 million increase in service revenues and a $53.8 million increase in product revenues, including a full quarter of contribution from the Inmarsat Acquisition. The service revenue increase was driven by increases of $279.0 million in our satellite services segment, $142.5 million in our government systems segment and $1.8 million in our commercial networks segment. The product revenue increase was driven primarily by a $56.4 million increase in our government systems segment, partially offset by a $2.6 million decrease in our commercial networks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CFF0FC" w:val="clear"/>
            <w:vAlign w:val="center"/>
          </w:tcPr>
          <w:p>
            <w:pPr>
              <w:pStyle w:val="TableContents"/>
              <w:bidi w:val="0"/>
              <w:spacing w:before="0" w:after="283"/>
              <w:jc w:val="center"/>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vAlign w:val="center"/>
          </w:tcPr>
          <w:p>
            <w:pPr>
              <w:pStyle w:val="TableContents"/>
              <w:bidi w:val="0"/>
              <w:spacing w:before="0" w:after="283"/>
              <w:jc w:val="center"/>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$284.2 million due to increases of $236.9 million in cost of service revenues and a $47.3 million in cost of product revenues. The cost of service revenues increase was primarily due to increased service revenues, mainly from our satellite services and government systems segments, causing a $292.5 million increase in cost of service revenues on a constant margin basis. The increase in cost of service revenues was partially offset by higher margins within our government systems and satellite services segments. The cost of product revenues increase was primarily due to increased product revenues, mainly from our government systems segment, causing a $44.2 million increase in cost of product revenues on a constant margin basis. The increase in cost of product revenues was also due to lower margins, primarily in our commercial networks and government systems segments.</w:t>
      </w:r>
    </w:p>
    <w:p>
      <w:pPr>
        <w:pStyle w:val="TextBody"/>
        <w:bidi w:val="0"/>
        <w:spacing w:before="28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735" w:type="dxa"/>
        <w:jc w:val="left"/>
        <w:tblInd w:w="0" w:type="dxa"/>
        <w:tblLayout w:type="fixed"/>
        <w:tblCellMar>
          <w:top w:w="28" w:type="dxa"/>
          <w:left w:w="28" w:type="dxa"/>
          <w:bottom w:w="28" w:type="dxa"/>
          <w:right w:w="28" w:type="dxa"/>
        </w:tblCellMar>
      </w:tblPr>
      <w:tblGrid>
        <w:gridCol w:w="3106"/>
        <w:gridCol w:w="146"/>
        <w:gridCol w:w="309"/>
        <w:gridCol w:w="861"/>
        <w:gridCol w:w="146"/>
        <w:gridCol w:w="146"/>
        <w:gridCol w:w="309"/>
        <w:gridCol w:w="861"/>
        <w:gridCol w:w="146"/>
        <w:gridCol w:w="146"/>
        <w:gridCol w:w="249"/>
        <w:gridCol w:w="696"/>
        <w:gridCol w:w="146"/>
        <w:gridCol w:w="146"/>
        <w:gridCol w:w="313"/>
        <w:gridCol w:w="678"/>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$108.9 million increase in selling, general and administrative (SG&amp;A) expenses was driven primarily by an increase in support costs of $83.9 million, reflected across all three of our segments, including a full quarter of contribution from the Inmarsat Acquisition. The increase in SG&amp;A expenses was also driven by $19.9 million in higher selling costs, reflected primarily in our satellite services and government systems segments.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3541"/>
        <w:gridCol w:w="146"/>
        <w:gridCol w:w="356"/>
        <w:gridCol w:w="814"/>
        <w:gridCol w:w="152"/>
        <w:gridCol w:w="152"/>
        <w:gridCol w:w="356"/>
        <w:gridCol w:w="814"/>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$12.3 million increase in independent research and development (IR&amp;D) expenses was mainly the result of increases of $6.7 million in IR&amp;D efforts in our government systems segment (primarily related to tactical satcom radio products and a full quarter of contribution from the Inmarsat Acquisition) and $5.6 million in our commercial networks segment (primarily related to a full quarter of contribution from the Inmarsat Acquisition and mobile broadband satellite communication systems for commercial airline platforms).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amortize our acquired intangible assets from prior acquisitions over their estimated useful lives, which range from two to 20 years. The $84.3 million increase in amortization of acquired intangible assets in the third quarter of fiscal year 2024 compared to the prior year period was primarily related to the amortization of new intangibles acquired as a result of the Inmarsat Acquisition in May 2023. The current and expected amortization for acquired intangible assets for each of the following periods is as follows:</w:t>
      </w:r>
    </w:p>
    <w:p>
      <w:pPr>
        <w:pStyle w:val="TextBody"/>
        <w:bidi w:val="0"/>
        <w:jc w:val="left"/>
        <w:rPr/>
      </w:pPr>
      <w:r>
        <w:rPr/>
        <w:t> </w:t>
      </w:r>
    </w:p>
    <w:tbl>
      <w:tblPr>
        <w:tblW w:w="5813" w:type="dxa"/>
        <w:jc w:val="left"/>
        <w:tblInd w:w="0" w:type="dxa"/>
        <w:tblLayout w:type="fixed"/>
        <w:tblCellMar>
          <w:top w:w="28" w:type="dxa"/>
          <w:left w:w="28" w:type="dxa"/>
          <w:bottom w:w="28" w:type="dxa"/>
          <w:right w:w="28" w:type="dxa"/>
        </w:tblCellMar>
      </w:tblPr>
      <w:tblGrid>
        <w:gridCol w:w="4201"/>
        <w:gridCol w:w="146"/>
        <w:gridCol w:w="229"/>
        <w:gridCol w:w="104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 the nine months ended December 31,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200,904</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91,395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364,819</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364,667</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295,938</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285,005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284,260</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1,087,581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$20.4 million increase in interest income for the three months ended December 31, 2023 compared to the prior year period was primarily due to the interest earned on the invested portion of the cash related to proceeds of approximately $1.9 billion received from L3Harris in the Link-16 TDL Sale as well as cash acquired as part of the Inmarsat Acquisition.</w:t>
      </w:r>
    </w:p>
    <w:p>
      <w:pPr>
        <w:pStyle w:val="TextBody"/>
        <w:bidi w:val="0"/>
        <w:spacing w:before="28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$124.8 million increase in interest expense for the three months ended December 31, 2023 compared to the prior year period was primarily the result of the effects of increased interest expense arising from our increased level of indebtedness following the closing of the Inmarsat Acquisition on May 30, 2023.</w:t>
      </w:r>
    </w:p>
    <w:p>
      <w:pPr>
        <w:pStyle w:val="TextBody"/>
        <w:bidi w:val="0"/>
        <w:spacing w:before="280" w:after="283"/>
        <w:jc w:val="left"/>
        <w:rPr>
          <w:rFonts w:ascii="Times New Roman" w:hAnsi="Times New Roman"/>
          <w:sz w:val="20"/>
        </w:rPr>
      </w:pPr>
      <w:r>
        <w:rPr>
          <w:rFonts w:ascii="Arial" w:hAnsi="Arial"/>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the three months ended December 31, 2023, we recorded an income tax benefit of $34.5 million, resulting in an effective tax rate of 22%. The effective tax rate for the period did not differ significantly from the U.S. statutory rate despite a valuation allowance recorded against our U.S. net deferred tax assets primarily due to the impacts of Inmarsat purchase price allocation adjustments recorded in the quarter. For the three months ended December 31, 2022, we recorded an income tax provision of $5.2 million, resulting in an effective tax rate of negative 13%. The effective tax rate for the period differed from the U.S. statutory rate due primarily to the expense for tax deficiencies upon settlement of stock-based compensation during the period.</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December 31, 2023 vs. Three Months Ended December 31, 2022</w:t>
      </w:r>
    </w:p>
    <w:p>
      <w:pPr>
        <w:pStyle w:val="TextBody"/>
        <w:bidi w:val="0"/>
        <w:spacing w:before="80" w:after="283"/>
        <w:jc w:val="left"/>
        <w:rPr>
          <w:rFonts w:ascii="Times New Roman" w:hAnsi="Times New Roman"/>
          <w:sz w:val="20"/>
        </w:rPr>
      </w:pPr>
      <w:r>
        <w:rPr>
          <w:rFonts w:ascii="Arial" w:hAnsi="Arial"/>
          <w:b/>
          <w:i/>
          <w:color w:val="000000"/>
          <w:sz w:val="20"/>
        </w:rPr>
        <w:t>Satellite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49"/>
        <w:gridCol w:w="696"/>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of $279.0 million in our satellite services segment revenues for the three months ended December 31, 2023 compared to the prior year period was primarily due to the Inmarsat Acquisition in May 2023 and an increase in our in-flight services business. The Inmarsat Acquisition contributed approximately $281.5 million of service revenues (nearly half from maritime services) in our satellite services segment in the third quarter of fiscal year 2024. Our in-flight services business service revenue increased $84.3 million as the number of commercial aircraft receiving our in-flight services through our IFC systems and passenger air traffic both continued to increase. The increase in our satellite services segment revenues was partially offset by lower fixed broadband revenues in the United States as we continued to allocate a greater proportion of our bandwidth to our IFC business due to bandwidth constraints.</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3001"/>
        <w:gridCol w:w="146"/>
        <w:gridCol w:w="356"/>
        <w:gridCol w:w="814"/>
        <w:gridCol w:w="286"/>
        <w:gridCol w:w="146"/>
        <w:gridCol w:w="380"/>
        <w:gridCol w:w="790"/>
        <w:gridCol w:w="34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change in our satellite services segment operating loss to an operating profit was primarily due to increased earnings contributions of $107.9 million, mainly due to an increase in revenues from the Inmarsat Acquisition in May 2023 and improved margins from our in-flight services business as it continued to scale. The increase in earnings contributions was partially offset by higher SG&amp;A costs of $58.3 million, of which $45.1 million related to the Inmarsat Acquisition.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Commercial networks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1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307"/>
        <w:gridCol w:w="638"/>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commercial networks segment revenues decreased by an insignificant amount due to a $2.6 million decrease in product revenues, partially offset by a $1.8 million increase in service revenues. The decrease in product revenues was primarily driven by a decrease of $3.8 million in mobile broadband satellite communication systems products, related to lower IFC terminal shipments, and a $3.0 million decrease in antenna systems products. The decrease in product revenues was partially offset by a $4.3 million increase in satellite networking development programs products. The increase in service revenues was primarily driven by increases in mobile broadband satellite communication systems services.</w:t>
      </w:r>
    </w:p>
    <w:p>
      <w:pPr>
        <w:pStyle w:val="TextBody"/>
        <w:bidi w:val="0"/>
        <w:spacing w:before="280" w:after="283"/>
        <w:jc w:val="left"/>
        <w:rPr>
          <w:rFonts w:ascii="Times New Roman" w:hAnsi="Times New Roman"/>
          <w:sz w:val="20"/>
        </w:rPr>
      </w:pPr>
      <w:r>
        <w:rPr>
          <w:rFonts w:ascii="Arial" w:hAnsi="Arial"/>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9051" w:type="dxa"/>
        <w:jc w:val="left"/>
        <w:tblInd w:w="0" w:type="dxa"/>
        <w:tblLayout w:type="fixed"/>
        <w:tblCellMar>
          <w:top w:w="28" w:type="dxa"/>
          <w:left w:w="28" w:type="dxa"/>
          <w:bottom w:w="28" w:type="dxa"/>
          <w:right w:w="28" w:type="dxa"/>
        </w:tblCellMar>
      </w:tblPr>
      <w:tblGrid>
        <w:gridCol w:w="3001"/>
        <w:gridCol w:w="146"/>
        <w:gridCol w:w="327"/>
        <w:gridCol w:w="843"/>
        <w:gridCol w:w="346"/>
        <w:gridCol w:w="146"/>
        <w:gridCol w:w="327"/>
        <w:gridCol w:w="843"/>
        <w:gridCol w:w="346"/>
        <w:gridCol w:w="146"/>
        <w:gridCol w:w="248"/>
        <w:gridCol w:w="638"/>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(70.3</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commercial networks segment operating loss was primarily due to lower earnings contributions of $12.7 million, higher SG&amp;A costs of $11.7 million and an increase in IR&amp;D expenses of $5.6 million (primarily related to a full quarter of contribution from the Inmarsat Acquisition and mobile broadband satellite communication systems for commercial airline platforms).</w:t>
      </w:r>
    </w:p>
    <w:p>
      <w:pPr>
        <w:pStyle w:val="TextBody"/>
        <w:bidi w:val="0"/>
        <w:spacing w:before="280" w:after="283"/>
        <w:jc w:val="left"/>
        <w:rPr>
          <w:rFonts w:ascii="Times New Roman" w:hAnsi="Times New Roman"/>
          <w:sz w:val="20"/>
        </w:rPr>
      </w:pPr>
      <w:r>
        <w:rPr>
          <w:rFonts w:ascii="Arial" w:hAnsi="Arial"/>
          <w:b/>
          <w:i/>
          <w:color w:val="000000"/>
          <w:sz w:val="20"/>
        </w:rPr>
        <w:t>Government systems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government systems segment revenues increased by $198.9 million due to a $142.5 million increase in service revenues, and a $56.4 million increase in product revenues. The service revenue increase was primarily due to the Inmarsat Acquisition in May 2023 and a $4.0 million increase in government mobile broadband services. The Inmarsat Acquisition contributed approximately $135.9 million of service revenues in our government systems segment in the third quarter of fiscal year 2024. The product revenue increase was primarily driven by a $25.4 million increase in cybersecurity and information assurance products, $19.4 million due to the Inmarsat Acquisition, and $15.8 million in tactical satcom radio products.</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3001"/>
        <w:gridCol w:w="146"/>
        <w:gridCol w:w="356"/>
        <w:gridCol w:w="814"/>
        <w:gridCol w:w="286"/>
        <w:gridCol w:w="146"/>
        <w:gridCol w:w="356"/>
        <w:gridCol w:w="814"/>
        <w:gridCol w:w="28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$52.2 million increase in our government systems segment operating profit was primarily driven by increased earnings contributions of $97.7 million, primarily due to increased revenues from the Inmarsat Acquisition in May 2023. The increase in operating profit was partially offset by a $38.8 million increase in SG&amp;A costs, of which $28.1 million related to the Inmarsat Acquisition and $6.7 million to IR&amp;D costs (primarily related to tactical satcom radio products and a full quarter of contribution from the Inmarsat Acquisition).</w:t>
      </w:r>
    </w:p>
    <w:p>
      <w:pPr>
        <w:pStyle w:val="TextBody"/>
        <w:bidi w:val="0"/>
        <w:spacing w:before="280" w:after="283"/>
        <w:jc w:val="left"/>
        <w:rPr>
          <w:rFonts w:ascii="Times New Roman" w:hAnsi="Times New Roman"/>
          <w:sz w:val="20"/>
        </w:rPr>
      </w:pPr>
      <w:r>
        <w:rPr>
          <w:rFonts w:ascii="Arial" w:hAnsi="Arial"/>
          <w:b/>
          <w:color w:val="000000"/>
          <w:sz w:val="20"/>
        </w:rPr>
        <w:t>Nine Months Ended December 31, 2023 vs. Nine Months Ended December 31, 2022</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47"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11"/>
        <w:gridCol w:w="751"/>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grew by $1,243.7 million as a result of a $985.3 million increase in service revenues and a $258.4 million increase in product revenues, including seven months of contribution from the Inmarsat Acquisition. The service revenue increase was due to increases of $650.2 million in our satellite services segment, $327.9 million in our government systems segment, and $7.2 million in our commercial networks segment. The increase in product revenue was driven primarily by a $135.5 million increase in our government systems segment and a $122.9 million increase in our commercial networks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256"/>
        <w:gridCol w:w="914"/>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$735.8 million due to increases of $560.6 million in cost of service revenues and $175.1 million in cost of product revenues. The cost of service revenues increase was primarily due to increased service revenues across each of our segments, causing a $664.5 million increase in cost of service revenues on a constant margin basis. The increase in cost of service revenues was partially offset by higher margins, primarily driven by our government systems and satellite services segments. The cost of product revenues increase was primarily due to increased product revenues, mainly from our government systems and commercial networks segments, causing a $180.6 million increase in cost of product revenues on a constant margin basis, prior to the effects of product revenues related to the Acacia litigation (see Note 10 — Commitments and Contingencies to our condensed consolidated financial statements for more information). The increase in cost of product revenues was partially offset by higher margins, primarily driven by our government systems segment.</w:t>
      </w:r>
    </w:p>
    <w:p>
      <w:pPr>
        <w:pStyle w:val="TextBody"/>
        <w:bidi w:val="0"/>
        <w:spacing w:before="280" w:after="283"/>
        <w:jc w:val="left"/>
        <w:rPr>
          <w:rFonts w:ascii="Arial" w:hAnsi="Arial"/>
          <w:i/>
          <w:color w:val="000000"/>
          <w:sz w:val="20"/>
        </w:rPr>
      </w:pPr>
      <w:r>
        <w:rPr>
          <w:rFonts w:ascii="Arial" w:hAnsi="Arial"/>
          <w:i/>
          <w:color w:val="000000"/>
          <w:sz w:val="20"/>
        </w:rPr>
        <w:t>Selling, general and administrative expenses</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3106"/>
        <w:gridCol w:w="146"/>
        <w:gridCol w:w="256"/>
        <w:gridCol w:w="914"/>
        <w:gridCol w:w="146"/>
        <w:gridCol w:w="146"/>
        <w:gridCol w:w="309"/>
        <w:gridCol w:w="861"/>
        <w:gridCol w:w="146"/>
        <w:gridCol w:w="146"/>
        <w:gridCol w:w="211"/>
        <w:gridCol w:w="751"/>
        <w:gridCol w:w="146"/>
        <w:gridCol w:w="146"/>
        <w:gridCol w:w="255"/>
        <w:gridCol w:w="736"/>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$1,128.6 million increase in SG&amp;A expenses was driven primarily by a net loss of approximately $905.5 million related to satellite impairment, including liabilities associated with the termination of certain subcontractor agreements, net of estimated insurance claim receivables recorded in our satellite service segment. See Note 1 — Basis of Presentation — Property, equipment and satellites to our condensed consolidated financial statements for more information. Additionally, we experienced an increase in support costs of $183.5 million, reflected across all three of our segments, including seven months of contribution from the Inmarsat Acquisition. The increase in SG&amp;A expenses was also driven by $42.3 million in higher selling costs, reflected primarily in our satellite services and government systems segments.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Arial" w:hAnsi="Arial"/>
          <w:i/>
          <w:color w:val="000000"/>
          <w:sz w:val="20"/>
        </w:rPr>
      </w:pPr>
      <w:r>
        <w:rPr>
          <w:rFonts w:ascii="Arial" w:hAnsi="Arial"/>
          <w:i/>
          <w:color w:val="000000"/>
          <w:sz w:val="20"/>
        </w:rPr>
        <w:t>Independent research and development</w:t>
      </w:r>
    </w:p>
    <w:p>
      <w:pPr>
        <w:pStyle w:val="TextBody"/>
        <w:bidi w:val="0"/>
        <w:jc w:val="left"/>
        <w:rPr/>
      </w:pPr>
      <w:r>
        <w:rPr/>
        <w:t> </w:t>
      </w:r>
    </w:p>
    <w:tbl>
      <w:tblPr>
        <w:tblW w:w="9170" w:type="dxa"/>
        <w:jc w:val="left"/>
        <w:tblInd w:w="0" w:type="dxa"/>
        <w:tblLayout w:type="fixed"/>
        <w:tblCellMar>
          <w:top w:w="28" w:type="dxa"/>
          <w:left w:w="28" w:type="dxa"/>
          <w:bottom w:w="28" w:type="dxa"/>
          <w:right w:w="28" w:type="dxa"/>
        </w:tblCellMar>
      </w:tblPr>
      <w:tblGrid>
        <w:gridCol w:w="3541"/>
        <w:gridCol w:w="146"/>
        <w:gridCol w:w="309"/>
        <w:gridCol w:w="861"/>
        <w:gridCol w:w="146"/>
        <w:gridCol w:w="146"/>
        <w:gridCol w:w="356"/>
        <w:gridCol w:w="814"/>
        <w:gridCol w:w="146"/>
        <w:gridCol w:w="146"/>
        <w:gridCol w:w="339"/>
        <w:gridCol w:w="606"/>
        <w:gridCol w:w="146"/>
        <w:gridCol w:w="146"/>
        <w:gridCol w:w="405"/>
        <w:gridCol w:w="58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$7.5 million increase in IR&amp;D expenses was mainly the result of a $12.0 million increase in our government systems segment (primarily related to seven months of contribution from the Inmarsat Acquisition, information assurance projects and tactical satcom radio products). This overall increase was partially offset by a $4.4 million decrease in IR&amp;D efforts in our commercial networks segment (primarily related to next-generation consumer broadband integrated technologies and next-generation satellite payload technologies). The decrease in our commercial networks segment was partially offset by an increase in IR&amp;D expenses related to seven months of contribution from the Inmarsat Acquisition and mobile broadband satellite communication systems for commercial airline platforms.</w:t>
      </w:r>
    </w:p>
    <w:p>
      <w:pPr>
        <w:pStyle w:val="TextBody"/>
        <w:bidi w:val="0"/>
        <w:spacing w:before="280" w:after="283"/>
        <w:jc w:val="left"/>
        <w:rPr>
          <w:rFonts w:ascii="Arial" w:hAnsi="Arial"/>
          <w:i/>
          <w:color w:val="000000"/>
          <w:sz w:val="20"/>
        </w:rPr>
      </w:pPr>
      <w:r>
        <w:rPr>
          <w:rFonts w:ascii="Arial" w:hAnsi="Arial"/>
          <w:i/>
          <w:color w:val="000000"/>
          <w:sz w:val="20"/>
        </w:rPr>
        <w:t>Amortization of acquired intangible assets</w:t>
      </w:r>
    </w:p>
    <w:p>
      <w:pPr>
        <w:pStyle w:val="TextBody"/>
        <w:bidi w:val="0"/>
        <w:spacing w:before="80" w:after="283"/>
        <w:jc w:val="left"/>
        <w:rPr>
          <w:rFonts w:ascii="Arial" w:hAnsi="Arial"/>
          <w:color w:val="000000"/>
          <w:sz w:val="20"/>
        </w:rPr>
      </w:pPr>
      <w:r>
        <w:rPr>
          <w:rFonts w:ascii="Arial" w:hAnsi="Arial"/>
          <w:color w:val="000000"/>
          <w:sz w:val="20"/>
        </w:rPr>
        <w:t>We amortize our acquired intangible assets from prior acquisitions over their estimated useful lives, which range from two to 20 years. The $178.6 million increase in amortization of acquired intangible assets in the first nine months of fiscal year 2024 compared to the prior year period was primarily related to the amortization of new intangibles acquired as a result of the Inmarsat Acquisition in May 2023. The current and expected amortization for acquired intangible assets for each of the following periods is as follows:</w:t>
      </w:r>
    </w:p>
    <w:p>
      <w:pPr>
        <w:pStyle w:val="TextBody"/>
        <w:bidi w:val="0"/>
        <w:jc w:val="left"/>
        <w:rPr/>
      </w:pPr>
      <w:r>
        <w:rPr/>
        <w:t> </w:t>
      </w:r>
    </w:p>
    <w:tbl>
      <w:tblPr>
        <w:tblW w:w="5813" w:type="dxa"/>
        <w:jc w:val="left"/>
        <w:tblInd w:w="0" w:type="dxa"/>
        <w:tblLayout w:type="fixed"/>
        <w:tblCellMar>
          <w:top w:w="28" w:type="dxa"/>
          <w:left w:w="28" w:type="dxa"/>
          <w:bottom w:w="28" w:type="dxa"/>
          <w:right w:w="28" w:type="dxa"/>
        </w:tblCellMar>
      </w:tblPr>
      <w:tblGrid>
        <w:gridCol w:w="4201"/>
        <w:gridCol w:w="146"/>
        <w:gridCol w:w="229"/>
        <w:gridCol w:w="104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 the nine months ended December 31,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200,904</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91,395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364,819</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364,667</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295,938</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285,005</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284,260</w:t>
            </w:r>
          </w:p>
        </w:tc>
        <w:tc>
          <w:tcPr>
            <w:tcW w:w="1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1,087,581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Arial" w:hAnsi="Arial"/>
          <w:i/>
          <w:color w:val="000000"/>
          <w:sz w:val="20"/>
        </w:rPr>
      </w:pPr>
      <w:r>
        <w:rPr>
          <w:rFonts w:ascii="Arial" w:hAnsi="Arial"/>
          <w:i/>
          <w:color w:val="000000"/>
          <w:sz w:val="20"/>
        </w:rPr>
        <w:t>Interest income</w:t>
      </w:r>
    </w:p>
    <w:p>
      <w:pPr>
        <w:pStyle w:val="TextBody"/>
        <w:bidi w:val="0"/>
        <w:spacing w:before="80" w:after="283"/>
        <w:jc w:val="left"/>
        <w:rPr>
          <w:rFonts w:ascii="Arial" w:hAnsi="Arial"/>
          <w:color w:val="000000"/>
          <w:sz w:val="20"/>
        </w:rPr>
      </w:pPr>
      <w:r>
        <w:rPr>
          <w:rFonts w:ascii="Arial" w:hAnsi="Arial"/>
          <w:color w:val="000000"/>
          <w:sz w:val="20"/>
        </w:rPr>
        <w:t>The $65.1 million increase in interest income for the nine months ended December 31, 2023 compared to the prior year period was primarily due to the interest earned on the invested portion of the cash related to proceeds of approximately $1.9 billion received from L3Harris in the Link-16 TDL Sale as well as cash acquired as part of the Inmarsat Acquisition.</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i/>
          <w:color w:val="000000"/>
          <w:sz w:val="20"/>
        </w:rPr>
      </w:pPr>
      <w:r>
        <w:rPr>
          <w:rFonts w:ascii="Arial" w:hAnsi="Arial"/>
          <w:i/>
          <w:color w:val="000000"/>
          <w:sz w:val="20"/>
        </w:rPr>
        <w:t>Interest expense</w:t>
      </w:r>
    </w:p>
    <w:p>
      <w:pPr>
        <w:pStyle w:val="TextBody"/>
        <w:bidi w:val="0"/>
        <w:spacing w:before="80" w:after="283"/>
        <w:jc w:val="left"/>
        <w:rPr>
          <w:rFonts w:ascii="Arial" w:hAnsi="Arial"/>
          <w:color w:val="000000"/>
          <w:sz w:val="20"/>
        </w:rPr>
      </w:pPr>
      <w:r>
        <w:rPr>
          <w:rFonts w:ascii="Arial" w:hAnsi="Arial"/>
          <w:color w:val="000000"/>
          <w:sz w:val="20"/>
        </w:rPr>
        <w:t>The $256.4 million increase in interest expense for the nine months ended December 31, 2023 compared to the prior year period was primarily the result of the effects of increased interest expense arising from our increased level of indebtedness following the closing of the Inmarsat Acquisition on May 30, 2023. The increase in interest expense was partially offset by an increase in the amount of interest capitalized during the first nine months of fiscal year 2024 compared to the prior year period.</w:t>
      </w:r>
    </w:p>
    <w:p>
      <w:pPr>
        <w:pStyle w:val="TextBody"/>
        <w:bidi w:val="0"/>
        <w:spacing w:before="280" w:after="283"/>
        <w:jc w:val="left"/>
        <w:rPr>
          <w:rFonts w:ascii="Arial" w:hAnsi="Arial"/>
          <w:i/>
          <w:color w:val="000000"/>
          <w:sz w:val="20"/>
        </w:rPr>
      </w:pPr>
      <w:r>
        <w:rPr>
          <w:rFonts w:ascii="Arial" w:hAnsi="Arial"/>
          <w:i/>
          <w:color w:val="000000"/>
          <w:sz w:val="20"/>
        </w:rPr>
        <w:t>Income taxes</w:t>
      </w:r>
    </w:p>
    <w:p>
      <w:pPr>
        <w:pStyle w:val="TextBody"/>
        <w:bidi w:val="0"/>
        <w:spacing w:before="80" w:after="283"/>
        <w:jc w:val="left"/>
        <w:rPr>
          <w:rFonts w:ascii="Arial" w:hAnsi="Arial"/>
          <w:color w:val="000000"/>
          <w:sz w:val="20"/>
        </w:rPr>
      </w:pPr>
      <w:r>
        <w:rPr>
          <w:rFonts w:ascii="Arial" w:hAnsi="Arial"/>
          <w:color w:val="000000"/>
          <w:sz w:val="20"/>
        </w:rPr>
        <w:t>For the nine months ended December 31, 2023, we recorded an income tax benefit of $128.1 million, resulting in an effective tax rate of 12%. The effective tax rate for the period differed from the U.S. statutory rate primarily due to a valuation allowance recorded against our U.S. net deferred tax assets. For the nine months ended December 31, 2022, we recorded an income tax provision of $59.0 million, resulting in an effective tax rate of negative 63%. The effective tax rate for the period differed from the U.S. statutory rate due primarily to the establishment of a valuation allowance on the deferred tax asset for California R&amp;D tax credits that was partially offset by the benefit of federal R&amp;D tax credits, and the expense for tax deficiencies upon settlement of stock-based compensation during the period.</w:t>
      </w:r>
    </w:p>
    <w:p>
      <w:pPr>
        <w:pStyle w:val="TextBody"/>
        <w:bidi w:val="0"/>
        <w:spacing w:before="280" w:after="283"/>
        <w:jc w:val="left"/>
        <w:rPr>
          <w:rFonts w:ascii="Arial" w:hAnsi="Arial"/>
          <w:b/>
          <w:color w:val="000000"/>
          <w:sz w:val="20"/>
        </w:rPr>
      </w:pPr>
      <w:r>
        <w:rPr>
          <w:rFonts w:ascii="Arial" w:hAnsi="Arial"/>
          <w:b/>
          <w:color w:val="000000"/>
          <w:sz w:val="20"/>
        </w:rPr>
        <w:t>Segment Results for the Nine Months Ended December 31, 2023 vs. Nine Months Ended December 31, 2022</w:t>
      </w:r>
    </w:p>
    <w:p>
      <w:pPr>
        <w:pStyle w:val="TextBody"/>
        <w:bidi w:val="0"/>
        <w:spacing w:before="80" w:after="283"/>
        <w:jc w:val="left"/>
        <w:rPr>
          <w:rFonts w:ascii="Times New Roman" w:hAnsi="Times New Roman"/>
          <w:sz w:val="20"/>
        </w:rPr>
      </w:pPr>
      <w:r>
        <w:rPr>
          <w:rFonts w:ascii="Arial" w:hAnsi="Arial"/>
          <w:b/>
          <w:i/>
          <w:color w:val="000000"/>
          <w:sz w:val="20"/>
        </w:rPr>
        <w:t>Satellite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256"/>
        <w:gridCol w:w="914"/>
        <w:gridCol w:w="146"/>
        <w:gridCol w:w="146"/>
        <w:gridCol w:w="309"/>
        <w:gridCol w:w="861"/>
        <w:gridCol w:w="146"/>
        <w:gridCol w:w="146"/>
        <w:gridCol w:w="249"/>
        <w:gridCol w:w="696"/>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of $650.2 million in our satellite services segment revenues for the nine months ended December 31, 2023 compared to the prior year period was primarily due to the Inmarsat Acquisition in May 2023 and an increase in our in-flight services business. The Inmarsat Acquisition contributed approximately $644.8 million of service revenues (nearly half from maritime services) in our satellite services segment in the nine months ended December 31, 2023. Our in-flight services business service revenue increased $217.9 million as the number of commercial aircraft receiving our in-flight services through IFC systems and passenger air traffic both continued to increase. The increase in our satellite services segment revenues was partially offset by lower fixed broadband revenues in the United States as we continued to allocate a greater proportion of our bandwidth to our IFC business due to bandwidth constraints.</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9051" w:type="dxa"/>
        <w:jc w:val="left"/>
        <w:tblInd w:w="0" w:type="dxa"/>
        <w:tblLayout w:type="fixed"/>
        <w:tblCellMar>
          <w:top w:w="28" w:type="dxa"/>
          <w:left w:w="28" w:type="dxa"/>
          <w:bottom w:w="28" w:type="dxa"/>
          <w:right w:w="28" w:type="dxa"/>
        </w:tblCellMar>
      </w:tblPr>
      <w:tblGrid>
        <w:gridCol w:w="3001"/>
        <w:gridCol w:w="146"/>
        <w:gridCol w:w="287"/>
        <w:gridCol w:w="883"/>
        <w:gridCol w:w="346"/>
        <w:gridCol w:w="146"/>
        <w:gridCol w:w="327"/>
        <w:gridCol w:w="843"/>
        <w:gridCol w:w="346"/>
        <w:gridCol w:w="146"/>
        <w:gridCol w:w="218"/>
        <w:gridCol w:w="668"/>
        <w:gridCol w:w="166"/>
        <w:gridCol w:w="146"/>
        <w:gridCol w:w="182"/>
        <w:gridCol w:w="809"/>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(779.5</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(766.4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(5,831</w:t>
            </w:r>
          </w:p>
        </w:tc>
        <w:tc>
          <w:tcPr>
            <w:tcW w:w="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satellite services segment operating loss is primarily due to the recording of satellite impairment and related charges, net of estimated insurance claim receivables of approximately $905.5 million in the current year period, as described above, as well as higher SG&amp;A costs of $98.8 million, mostly related to the Inmarsat Acquisition, partially offset by increased earnings contributions of $238.0 million, mainly due to an increase in revenues from the Inmarsat Acquisition in May 2023 and improved margins from our in-flight services business as it continued to scale.</w:t>
      </w:r>
    </w:p>
    <w:p>
      <w:pPr>
        <w:pStyle w:val="TextBody"/>
        <w:bidi w:val="0"/>
        <w:spacing w:before="280" w:after="283"/>
        <w:jc w:val="left"/>
        <w:rPr>
          <w:rFonts w:ascii="Arial" w:hAnsi="Arial"/>
          <w:b/>
          <w:i/>
          <w:color w:val="000000"/>
          <w:sz w:val="20"/>
        </w:rPr>
      </w:pPr>
      <w:r>
        <w:rPr>
          <w:rFonts w:ascii="Arial" w:hAnsi="Arial"/>
          <w:b/>
          <w:i/>
          <w:color w:val="000000"/>
          <w:sz w:val="20"/>
        </w:rPr>
        <w:t>Commercial networks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commercial networks segment revenues increased by $130.1 million, due to a $122.9 million increase in product revenues and a $7.2 million increase in service revenues. The increase in product revenues was primarily the result of an increase in revenues recognized as a result of settlement payments from the Acacia litigation (see Note 10 — Commitments and Contingencies to our condensed consolidated financial statements for more information). The increase in product revenues was also driven by increases of $30.6 million in mobile broadband satellite communication systems products related to higher IFC terminal shipments, $30.4 million in antenna systems products, and $14.0 million in satellite payload technology development programs. The increase in service revenues was primarily driven by increases in mobile broadband satellite communication systems services.</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71" w:type="dxa"/>
        <w:jc w:val="left"/>
        <w:tblInd w:w="0" w:type="dxa"/>
        <w:tblLayout w:type="fixed"/>
        <w:tblCellMar>
          <w:top w:w="28" w:type="dxa"/>
          <w:left w:w="28" w:type="dxa"/>
          <w:bottom w:w="28" w:type="dxa"/>
          <w:right w:w="28" w:type="dxa"/>
        </w:tblCellMar>
      </w:tblPr>
      <w:tblGrid>
        <w:gridCol w:w="3001"/>
        <w:gridCol w:w="146"/>
        <w:gridCol w:w="327"/>
        <w:gridCol w:w="843"/>
        <w:gridCol w:w="346"/>
        <w:gridCol w:w="146"/>
        <w:gridCol w:w="327"/>
        <w:gridCol w:w="843"/>
        <w:gridCol w:w="346"/>
        <w:gridCol w:w="146"/>
        <w:gridCol w:w="270"/>
        <w:gridCol w:w="616"/>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$16.5 million decrease in our commercial networks operating loss was driven primarily by an increase in earnings contributions of $40.0 million and a decrease of $4.4 million in IR&amp;D expenses (primarily related to next-generation consumer broadband integrated networking technologies and next-generation satellite payload technologies, partially offset by an increase in IR&amp;D expenses related to mobile broadband satellite communication systems for commercial airline platforms and seven months of contribution from the Inmarsat Acquisition). The decrease in commercial networks segment operating loss was partially offset by higher SG&amp;A costs of $27.9 million.</w:t>
      </w:r>
    </w:p>
    <w:p>
      <w:pPr>
        <w:pStyle w:val="TextBody"/>
        <w:bidi w:val="0"/>
        <w:spacing w:before="280" w:after="283"/>
        <w:jc w:val="left"/>
        <w:rPr>
          <w:rFonts w:ascii="Arial" w:hAnsi="Arial"/>
          <w:b/>
          <w:i/>
          <w:color w:val="000000"/>
          <w:sz w:val="20"/>
        </w:rPr>
      </w:pPr>
      <w:r>
        <w:rPr>
          <w:rFonts w:ascii="Arial" w:hAnsi="Arial"/>
          <w:b/>
          <w:i/>
          <w:color w:val="000000"/>
          <w:sz w:val="20"/>
        </w:rPr>
        <w:t>Government systems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2701"/>
        <w:gridCol w:w="146"/>
        <w:gridCol w:w="309"/>
        <w:gridCol w:w="861"/>
        <w:gridCol w:w="146"/>
        <w:gridCol w:w="146"/>
        <w:gridCol w:w="309"/>
        <w:gridCol w:w="861"/>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government systems segment revenues increased by $463.4 million due to increases of $327.9 million in service revenues and $135.5 million in product revenues. The service revenue increase was primarily due to the Inmarsat Acquisition in May 2023 and increases of $14.9 million in government mobile broadband services, $5.9 million in tactical data link solutions, and $3.5 million in tactical satcom radio services. The Inmarsat Acquisition contributed approximately $303.0 million of service revenues in our government systems segment following the closing of the acquisition. The product revenue increase was primarily driven by a $86.6 million increase in cybersecurity and information assurance products and $38.7 million increase due to the Inmarsat Acquisition.</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3001"/>
        <w:gridCol w:w="146"/>
        <w:gridCol w:w="309"/>
        <w:gridCol w:w="861"/>
        <w:gridCol w:w="286"/>
        <w:gridCol w:w="146"/>
        <w:gridCol w:w="356"/>
        <w:gridCol w:w="814"/>
        <w:gridCol w:w="286"/>
        <w:gridCol w:w="146"/>
        <w:gridCol w:w="249"/>
        <w:gridCol w:w="696"/>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164.3</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$121.6 million increase in our government systems segment operating profit was primarily driven by higher earnings contributions of $230.0 million, primarily due to increased revenues from the Inmarsat Acquisition in May 2023. The increase in operating profit was partially offset by a $96.4 million increase in SG&amp;A costs, of which $67.1 million related to the Inmarsat Acquisition and $12.0 million increase in IR&amp;D expenses (primarily related to seven months of contribution from the Inmarsat Acquisition, information assurance projects and tactical satcom radio products).</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color w:val="000000"/>
          <w:sz w:val="20"/>
        </w:rPr>
      </w:pPr>
      <w:r>
        <w:rPr>
          <w:rFonts w:ascii="Arial" w:hAnsi="Arial"/>
          <w:color w:val="000000"/>
          <w:sz w:val="20"/>
        </w:rPr>
        <w:t>Our firm and funded backlog as of December 31, 2023 is reflected in the table below.</w:t>
      </w:r>
    </w:p>
    <w:p>
      <w:pPr>
        <w:pStyle w:val="TextBody"/>
        <w:bidi w:val="0"/>
        <w:jc w:val="left"/>
        <w:rPr/>
      </w:pPr>
      <w:r>
        <w:rPr/>
        <w:t> </w:t>
      </w:r>
    </w:p>
    <w:tbl>
      <w:tblPr>
        <w:tblW w:w="4763" w:type="dxa"/>
        <w:jc w:val="left"/>
        <w:tblInd w:w="0" w:type="dxa"/>
        <w:tblLayout w:type="fixed"/>
        <w:tblCellMar>
          <w:top w:w="28" w:type="dxa"/>
          <w:left w:w="28" w:type="dxa"/>
          <w:bottom w:w="28" w:type="dxa"/>
          <w:right w:w="28" w:type="dxa"/>
        </w:tblCellMar>
      </w:tblPr>
      <w:tblGrid>
        <w:gridCol w:w="2806"/>
        <w:gridCol w:w="146"/>
        <w:gridCol w:w="355"/>
        <w:gridCol w:w="1265"/>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Satellite services segment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1,844.1</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Commercial networks segment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635.8</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Government systems segment</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Satellite services segment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1,844.1</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Commercial networks segment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597.0</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Government systems segment</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firm backlog does not include contract options. As of December 31, 2023, approximately half of the firm backlog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December 31, 2023, our IFC systems were installed and in service on approximately 3,540 commercial aircraft of which approximately 40 were inactive at quarter end (mostly due to standard aircraft maintenance). We anticipate that approximately 1,430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Accordingly, there can be no assurance that all anticipated purchase orders and requests will be placed or that anticipated IFC services will be activated.</w:t>
      </w:r>
    </w:p>
    <w:p>
      <w:pPr>
        <w:pStyle w:val="TextBody"/>
        <w:bidi w:val="0"/>
        <w:spacing w:before="180" w:after="283"/>
        <w:jc w:val="left"/>
        <w:rPr>
          <w:rFonts w:ascii="Arial" w:hAnsi="Arial"/>
          <w:color w:val="000000"/>
          <w:sz w:val="20"/>
        </w:rPr>
      </w:pPr>
      <w:r>
        <w:rPr>
          <w:rFonts w:ascii="Arial" w:hAnsi="Arial"/>
          <w:color w:val="000000"/>
          <w:sz w:val="20"/>
        </w:rPr>
        <w:t>Our total new awards which exclude future revenue under recurring consumer commitment arrangements were approximately $1.2 billion and $3.0 billion for the three and nine months ended December 31, 2023, respectively, compared to approximately $617.1 million (of which $40.0 million was attributable to discontinued operations related to the Link-16 TDL Business) and $2.5 billion (of which $384.5 million was attributable to discontinued operations related to the Link-16 TDL Business) for the three and nine months ended December 31, 2022, respectively.</w:t>
      </w:r>
    </w:p>
    <w:p>
      <w:pPr>
        <w:pStyle w:val="TextBody"/>
        <w:bidi w:val="0"/>
        <w:spacing w:before="180" w:after="283"/>
        <w:jc w:val="left"/>
        <w:rPr>
          <w:rFonts w:ascii="Times New Roman" w:hAnsi="Times New Roman"/>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December 31, 2023, we had $1.6 billion in cash and cash equivalents, $2.4 billion in working capital, no outstanding borrowings and borrowing availability of $592.2 million under Viasat's $647.5 million revolving credit facility (the Viasat Revolving Credit Facility), and no outstanding borrowings and borrowing availability of $700.0 million under Inmarsat's $700.0 million revolving line of credit (the Inmarsat Revolving Credit Facility and, together with the Viasat Revolving Credit Facility, the Revolving Credit Facilities). At March 31, 2023, we had $1.4 billion in cash and cash equivalents and restricted cash, $1.3 billion in working capital, and no outstanding borrowings and borrowing availability of $657.4 million under the Viasat Revolving Credit Facility. We invest our cash in excess of current operating requirements in short-term, highly liquid bank money market funds primarily investing in U.S. government-backed securities and treasuries.</w:t>
      </w:r>
    </w:p>
    <w:p>
      <w:pPr>
        <w:pStyle w:val="TextBody"/>
        <w:bidi w:val="0"/>
        <w:spacing w:before="180" w:after="283"/>
        <w:jc w:val="left"/>
        <w:rPr>
          <w:rFonts w:ascii="Arial" w:hAnsi="Arial"/>
          <w:color w:val="000000"/>
          <w:sz w:val="20"/>
        </w:rPr>
      </w:pPr>
      <w:r>
        <w:rPr>
          <w:rFonts w:ascii="Arial" w:hAnsi="Arial"/>
          <w:color w:val="000000"/>
          <w:sz w:val="20"/>
        </w:rPr>
        <w:t>The general cash needs of our satellite services, commercial networks and government systems segments can vary significantly and our future capital requirements will depend upon many factors, including cash required for our satellite projects and any future broadband satellite projects we may engage in, expansion of our IR&amp;D and marketing efforts, the nature and timing of orders and integration-related costs related to the Inmarsat Acquisition.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and timing and amount of recoveries under satellite insurance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Times New Roman" w:hAnsi="Times New Roman"/>
          <w:sz w:val="20"/>
        </w:rPr>
      </w:pPr>
      <w:r>
        <w:rPr>
          <w:rFonts w:ascii="Arial" w:hAnsi="Arial"/>
          <w:color w:val="000000"/>
          <w:sz w:val="20"/>
        </w:rPr>
        <w:t>In November 2023, we announced an important milestone in our integration program following our Inmarsat Acquisition. As part of our ongoing strategy to streamline operations and better serve our growing customer base, we completed our work on the rationalization of roles in our global business, which is intended to achieve both operational and cost efficiencies. As part of the role rationalization, we reduced our global workforce by approximately 800 positions, or approximately 10%, and recorded total costs</w:t>
      </w:r>
      <w:r>
        <w:rPr>
          <w:rFonts w:ascii="Times New Roman" w:hAnsi="Times New Roman"/>
          <w:color w:val="000000"/>
          <w:sz w:val="20"/>
        </w:rPr>
        <w:t xml:space="preserve"> </w:t>
      </w:r>
      <w:r>
        <w:rPr>
          <w:rFonts w:ascii="Arial" w:hAnsi="Arial"/>
          <w:color w:val="000000"/>
          <w:sz w:val="20"/>
        </w:rPr>
        <w:t>(primarily related to employee severance payments, benefits and related termination costs) of approximately $45 million during the three and nine months ended December 2023. These one-time costs were recorded within operating expenses in our condensed consolidated statements of operations across all three of our segments, with insignificant amounts remaining to be incurred and paid.</w:t>
      </w:r>
    </w:p>
    <w:p>
      <w:pPr>
        <w:pStyle w:val="TextBody"/>
        <w:bidi w:val="0"/>
        <w:spacing w:before="180" w:after="283"/>
        <w:jc w:val="left"/>
        <w:rPr>
          <w:rFonts w:ascii="Times New Roman" w:hAnsi="Times New Roman"/>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Cash provided by operating activities for the first nine months of fiscal year 2024 was $456.2 million compared to $317.6 million in the prior year period. This $138.6 million increase was driven by our operating results (net income (loss) adjusted for depreciation, amortization and other non-cash charges) which resulted in $247.8 million of higher cash provided by operating activities year-over-year, partially offset by a $109.2 million year-over-year increase in cash used to fund net operating assets. The increase in cash used to fund net operating assets during the first nine months of fiscal year 2024 when compared to the prior year period was primarily due to timing of payments related to our accounts payables and accrued liabilities, and the timing of deferred revenue recognized under certain long-term contracts acquired through the Inmarsat Acquisition in our satellite services segment.</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the first nine months of fiscal year 2024 was approximately $1.5 billion compared to $850.7 million in the prior year period. This $601.1 million increase in cash used in investing activities year-over-year reflects $342.6 million in cash (net of cash acquired) used for the Inmarsat Acquisition in the first quarter of fiscal year 2024 and an increase in cash used for capital expenditures of approximately $324.6 million (including cash used for Inmarsat capital expenditures since the date of acquisition).</w:t>
      </w:r>
    </w:p>
    <w:p>
      <w:pPr>
        <w:pStyle w:val="TextBody"/>
        <w:bidi w:val="0"/>
        <w:spacing w:before="180" w:after="283"/>
        <w:jc w:val="left"/>
        <w:rPr>
          <w:rFonts w:ascii="Arial" w:hAnsi="Arial"/>
          <w:color w:val="000000"/>
          <w:sz w:val="20"/>
        </w:rPr>
      </w:pPr>
      <w:r>
        <w:rPr>
          <w:rFonts w:ascii="Arial" w:hAnsi="Arial"/>
          <w:color w:val="000000"/>
          <w:sz w:val="20"/>
        </w:rPr>
        <w:t>Cash provided by financing activities for the first nine months of fiscal year 2024 was approximately $1.2 billion compared to $406.0 million for the prior year period. This $830.1 million increase in cash provided by financing activities year-over-year was mainly due to an increase in proceeds from debt borrowings of approximately $794.7 million (see Note 8 — Senior Notes and Other Long-Term Debt for further information).</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included in our Annual Report on Form 10-K for the year ended March 31, 2023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as well as purchase commitments including satellite-related agreements under the contractual obligations table below (which also includes future payment obligations assumed through the Inmarsat Acquisition).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experienced during fiscal years 2023 and 2024.</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December 31, 2023, the aggregate principal amount of our total outstanding indebtedness was $7.6 billion, which was comprised of (1) $700.0 million in principal amount of Viasat's 5.625% Senior Notes due 2025, $600.0 million in principal amount of Viasat's 5.625% Senior Secured Notes due 2027, $400.0 million in principal amount of Viasat's 6.500% Senior Notes due 2028, $733.4 million in principal amount of Viasat's 7.500% Senior Notes due 2031 and $2.08 billion in principal amount of Inmarsat's 6.750% Senior Secured Notes due 2026 (collectively, the Notes), (2) $689.5 million in principal amount of outstanding borrowings under our $700.0 million senior secured term loan facility (the 2022 Term Loan Facility), $615.2 million in principal amount of outstanding borrowings under our 2023 Term Loan Facility, $1.68 billion in principal amount of outstanding borrowings under Inmarsat's $1.75 billion senior secured term loan facility (the Inmarsat Term Loan Facility and, together with the Inmarsat Revolving Credit Facility, the Inmarsat Secured Credit Facility), no outstanding borrowings under our Revolving Credit Facilities, and $39.3 million in principal amount of outstanding borrowings under our direct loan facility with the Export-Import Bank of the United States (the Ex-Im Credit Facility) (collectively, the Credit Facilities), and (3) $29.8 million of finance lease obligations. For information regarding our outstanding indebtedness, refer to Note 8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Arial" w:hAnsi="Arial"/>
          <w:color w:val="000000"/>
          <w:sz w:val="20"/>
        </w:rPr>
      </w:pPr>
      <w:r>
        <w:rPr>
          <w:rFonts w:ascii="Arial" w:hAnsi="Arial"/>
          <w:color w:val="000000"/>
          <w:sz w:val="20"/>
        </w:rPr>
        <w:t>For a discussion of our capital expenditures and IR&amp;D investments, see Part II, Item 7, “Liquidity and Capital Resources – Capital Expenditures and IR&amp;D Investments” in our Annual Report on Form 10-K for the year ended March 31, 2023, as well as Note 4 – Acquisition, related to the Inmarsat Acquisition, and Note 1 – Basis of Presentation – Property, equipment and satellites, related to satellite impairment, to our condensed consolidated financial statements for more information.</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sets forth a summary of certain material cash requirements for known contractual obligations and commitments at December 31, 2023:</w:t>
      </w:r>
      <w:r>
        <w:rPr>
          <w:rFonts w:ascii="Times New Roman" w:hAnsi="Times New Roman"/>
          <w:color w:val="000000"/>
          <w:sz w:val="20"/>
        </w:rPr>
        <w:t xml:space="preserve"> </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4396"/>
        <w:gridCol w:w="146"/>
        <w:gridCol w:w="243"/>
        <w:gridCol w:w="1107"/>
        <w:gridCol w:w="146"/>
        <w:gridCol w:w="146"/>
        <w:gridCol w:w="211"/>
        <w:gridCol w:w="1066"/>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822,145</w:t>
            </w:r>
          </w:p>
        </w:tc>
        <w:tc>
          <w:tcPr>
            <w:tcW w:w="19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and Other Long-Term Debt (1)</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591,961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9,292,516</w:t>
            </w:r>
          </w:p>
        </w:tc>
        <w:tc>
          <w:tcPr>
            <w:tcW w:w="19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w:t>
              <w:br/>
              <w:t>   agreements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1,005,058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2,194,516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11,119,719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December 31, 2023 until the applicable maturity date, net of interest rate cap contracts set up to hedge the variable interest rates under the Inmarsat Term Loan Facility. The interest rate cap contracts provide protection of Compound SOFR up to 2% and cover 99% of the total nominal amount of the Inmarsat Term Loan Facility.</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condensed consolidated balance sheets included $2.5 billion and $218.5 million of “other liabilities” as of December 31, 2023 and March 31, 2023,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had no material off-balance sheet arrangements at December 31, 2023 as defined in Regulation S-K Item 303(b) other than as discussed under “Contractual Obligations” above or disclosed in the notes to our condensed consolidated financial statements included in this report or in our Annual Report on Form 10-K for the year ended March 31, 2023.</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financial instruments consist of cash and cash equivalents, restricted cash, short-term investments, accounts receivable, accounts payable and short-term and long-term obligations (including the Credit Facilities and the Notes), and interest rate cap contracts. We consider investments in highly liquid instruments purchased with a remaining maturity of three months or less at the date of purchase to be cash equivalents. As of December 31, 2023, we held $30.0 million in short-term investments.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short-term investments and short-term obligations.</w:t>
      </w:r>
    </w:p>
    <w:p>
      <w:pPr>
        <w:pStyle w:val="TextBody"/>
        <w:bidi w:val="0"/>
        <w:spacing w:before="180" w:after="283"/>
        <w:jc w:val="left"/>
        <w:rPr>
          <w:rFonts w:ascii="Arial" w:hAnsi="Arial"/>
          <w:color w:val="000000"/>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December 31, 2023, the effective interest rate on our outstanding borrowings under the 2022 Term Loan Facility was 10.39%, under the 2023 Term Loan Facility was 10.94%, and under the Inmarsat Term Loan Facility was approximately 9.66%. As of December 31, 2023, the effective interest rate that would have been applied to any new SOFR-based borrowings under the Viasat Revolving Credit Facility was approximately 7.85%, and under the Inmarsat Revolving Credit Facility was approximately 8.36%. As of December 31, 2023, we had no outstanding borrowings under our Revolving Credit Facilities. Accordingly, assuming the outstanding balance under the 2022 Term Loan Facility, the 2023 Term Loan Facility and the Inmarsat Term Loan Facility remained constant over a year and we continued to have no outstanding borrowings under the Revolving Credit Facilities, a 50 basis point increase in the interest rates would increase interest incurred, prior to effects of capitalized interest but taking into account Inmarsat's interest rate cap contracts with respect to the Inmarsat Term Loan Facility, by approximately $6.8 million over a 12-month period.</w:t>
      </w:r>
    </w:p>
    <w:p>
      <w:pPr>
        <w:pStyle w:val="TextBody"/>
        <w:bidi w:val="0"/>
        <w:spacing w:before="180" w:after="283"/>
        <w:jc w:val="left"/>
        <w:rPr>
          <w:rFonts w:ascii="Arial" w:hAnsi="Arial"/>
          <w:color w:val="000000"/>
          <w:sz w:val="20"/>
        </w:rPr>
      </w:pPr>
      <w:r>
        <w:rPr>
          <w:rFonts w:ascii="Arial" w:hAnsi="Arial"/>
          <w:color w:val="000000"/>
          <w:sz w:val="20"/>
        </w:rPr>
        <w:t>We have entered into interest rate cap contracts to hedge the variable interest rates under the Inmarsat Term Loan Facility. The interest rate cap contracts provide protection of Compound SOFR up to 2% and cover 99% of the total nominal amount of the Inmarsat Term Loan Facility. As of December 31, 2023, a 100 basis point increase or decrease in interest rates would increase or decrease the carrying and fair values of the interest rate cap contract by approximately $18.0 million.</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both the three and nine months ended December 31, 2023 and an insignificant amount and $1.6 million for the three and nine months ended December 31, 2022,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color w:val="000000"/>
          <w:sz w:val="20"/>
        </w:rPr>
      </w:pPr>
      <w:r>
        <w:rPr>
          <w:rFonts w:ascii="Arial" w:hAnsi="Arial"/>
          <w:color w:val="000000"/>
          <w:sz w:val="20"/>
        </w:rPr>
        <w:t>On May 30, 2023, the Inmarsat Acquisition was completed. SEC guidance permits management to omit an assessment of an acquired business’ internal control over financial reporting from management's assessment of internal control over financial reporting and disclosure controls and procedures for a period not to exceed one year from the date of the acquisition. Management has begun integrating Inmarsat into our existing control procedures. Integration activities relating to the Inmarsat Acquisition may lead us to modify certain controls in future periods.</w:t>
      </w:r>
    </w:p>
    <w:p>
      <w:pPr>
        <w:pStyle w:val="TextBody"/>
        <w:bidi w:val="0"/>
        <w:spacing w:before="180" w:after="283"/>
        <w:jc w:val="left"/>
        <w:rPr>
          <w:rFonts w:ascii="Arial" w:hAnsi="Arial"/>
          <w:color w:val="000000"/>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December 31, 2023, the end of the period covered by this report. Based upon the foregoing, our Chief Executive Officer and Chief Financial Officer concluded that our disclosure controls and procedures were effective at a reasonable assurance level as of December 31, 2023.</w:t>
      </w:r>
    </w:p>
    <w:p>
      <w:pPr>
        <w:pStyle w:val="TextBody"/>
        <w:bidi w:val="0"/>
        <w:spacing w:before="180" w:after="283"/>
        <w:jc w:val="left"/>
        <w:rPr>
          <w:rFonts w:ascii="Arial" w:hAnsi="Arial"/>
          <w:color w:val="000000"/>
          <w:sz w:val="20"/>
        </w:rPr>
      </w:pPr>
      <w:r>
        <w:rPr>
          <w:rFonts w:ascii="Arial" w:hAnsi="Arial"/>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2023.</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addition to the other information set forth in this report, you should carefully consider the factors discussed in Part I, Item 1A, “Risk Factors” in our Annual Report on Form 10-K for the fiscal year ended March 31, 2023 as supplemented by the factors discussed in Part II, Item 1A, "Risk Factors" in our Quarterly Report on Form 10-Q for the quarter ended June 30, 2023, which factors could materially affect our business, financial condition, liquidity or future results. There have been no material changes to the risk factors described in the "Risk Factors" section in our Annual Report on Form 10-K for the fiscal year ended March 31, 2023 and such Quarterly Report on Form 10-Q.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80" w:after="283"/>
        <w:jc w:val="left"/>
        <w:rPr>
          <w:rFonts w:ascii="Arial" w:hAnsi="Arial"/>
          <w:b/>
          <w:color w:val="000000"/>
          <w:sz w:val="20"/>
        </w:rPr>
      </w:pPr>
      <w:bookmarkStart w:id="15" w:name="toc_page"/>
      <w:bookmarkStart w:id="16" w:name="item_5_other_information"/>
      <w:bookmarkEnd w:id="15"/>
      <w:bookmarkEnd w:id="16"/>
      <w:r>
        <w:rPr>
          <w:rFonts w:ascii="Arial" w:hAnsi="Arial"/>
          <w:b/>
          <w:color w:val="000000"/>
          <w:sz w:val="20"/>
        </w:rPr>
        <w:t>Item 5. Other Information</w:t>
      </w:r>
    </w:p>
    <w:p>
      <w:pPr>
        <w:pStyle w:val="TextBody"/>
        <w:bidi w:val="0"/>
        <w:spacing w:before="80" w:after="283"/>
        <w:jc w:val="left"/>
        <w:rPr>
          <w:rFonts w:ascii="Times New Roman" w:hAnsi="Times New Roman"/>
          <w:sz w:val="20"/>
        </w:rPr>
      </w:pPr>
      <w:r>
        <w:rPr>
          <w:rFonts w:ascii="Arial" w:hAnsi="Arial"/>
          <w:color w:val="000000"/>
          <w:sz w:val="20"/>
        </w:rPr>
        <w:t>During the three months ended December 31, 2023, no director or officer, as defined in Rule 16a-1(f), adopted or terminated any contract, instruction or written plan for the purchase or sale of our securities that was intended to satisfy the affirmative defense conditions of</w:t>
      </w:r>
      <w:r>
        <w:rPr>
          <w:rFonts w:ascii="Times New Roman" w:hAnsi="Times New Roman"/>
          <w:color w:val="000000"/>
          <w:sz w:val="20"/>
        </w:rPr>
        <w:t xml:space="preserve"> </w:t>
      </w:r>
      <w:r>
        <w:rPr>
          <w:rFonts w:ascii="Arial" w:hAnsi="Arial"/>
          <w:color w:val="000000"/>
          <w:sz w:val="20"/>
        </w:rPr>
        <w:t>Rule 10b5-1(c) or any “non Rule 10b5-1</w:t>
      </w:r>
      <w:r>
        <w:rPr>
          <w:rFonts w:ascii="Times New Roman" w:hAnsi="Times New Roman"/>
          <w:color w:val="000000"/>
          <w:sz w:val="20"/>
        </w:rPr>
        <w:t xml:space="preserve"> </w:t>
      </w:r>
      <w:r>
        <w:rPr>
          <w:rFonts w:ascii="Arial" w:hAnsi="Arial"/>
          <w:color w:val="000000"/>
          <w:sz w:val="20"/>
        </w:rPr>
        <w:t>trading arrangement”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Arial" w:hAnsi="Arial"/>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5"/>
        <w:gridCol w:w="259"/>
        <w:gridCol w:w="4890"/>
        <w:gridCol w:w="146"/>
        <w:gridCol w:w="526"/>
        <w:gridCol w:w="146"/>
        <w:gridCol w:w="709"/>
        <w:gridCol w:w="146"/>
        <w:gridCol w:w="661"/>
        <w:gridCol w:w="146"/>
        <w:gridCol w:w="662"/>
        <w:gridCol w:w="146"/>
        <w:gridCol w:w="963"/>
      </w:tblGrid>
      <w:tr>
        <w:trPr/>
        <w:tc>
          <w:tcPr>
            <w:tcW w:w="8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805"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996" w:type="dxa"/>
            <w:gridSpan w:val="7"/>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05"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0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2"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805"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259" w:type="dxa"/>
            <w:tcBorders/>
            <w:vAlign w:val="center"/>
          </w:tcPr>
          <w:p>
            <w:pPr>
              <w:pStyle w:val="TableContents"/>
              <w:bidi w:val="0"/>
              <w:spacing w:before="0" w:after="283"/>
              <w:jc w:val="center"/>
              <w:rPr/>
            </w:pPr>
            <w:r>
              <w:rPr/>
              <w:t> </w:t>
            </w:r>
          </w:p>
        </w:tc>
        <w:tc>
          <w:tcPr>
            <w:tcW w:w="4890" w:type="dxa"/>
            <w:tcBorders/>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of Viasat, Inc.</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vAlign w:val="center"/>
          </w:tcPr>
          <w:p>
            <w:pPr>
              <w:pStyle w:val="TableContents"/>
              <w:bidi w:val="0"/>
              <w:spacing w:before="0" w:after="283"/>
              <w:jc w:val="center"/>
              <w:rPr/>
            </w:pPr>
            <w:r>
              <w:rPr/>
              <w:t> </w:t>
            </w:r>
          </w:p>
        </w:tc>
        <w:tc>
          <w:tcPr>
            <w:tcW w:w="70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vAlign w:val="center"/>
          </w:tcPr>
          <w:p>
            <w:pPr>
              <w:pStyle w:val="TableContents"/>
              <w:bidi w:val="0"/>
              <w:spacing w:before="0" w:after="283"/>
              <w:jc w:val="center"/>
              <w:rPr/>
            </w:pPr>
            <w:r>
              <w:rPr/>
              <w:t> </w:t>
            </w:r>
          </w:p>
        </w:tc>
        <w:tc>
          <w:tcPr>
            <w:tcW w:w="662"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11/09/2023</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pPr>
            <w:r>
              <w:rPr/>
              <w:t> </w:t>
            </w:r>
          </w:p>
        </w:tc>
      </w:tr>
      <w:tr>
        <w:trPr/>
        <w:tc>
          <w:tcPr>
            <w:tcW w:w="805"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pPr>
            <w:r>
              <w:rPr/>
              <w:t> </w:t>
            </w:r>
          </w:p>
        </w:tc>
      </w:tr>
      <w:tr>
        <w:trPr/>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259" w:type="dxa"/>
            <w:tcBorders/>
            <w:vAlign w:val="center"/>
          </w:tcPr>
          <w:p>
            <w:pPr>
              <w:pStyle w:val="TableContents"/>
              <w:bidi w:val="0"/>
              <w:spacing w:before="0" w:after="283"/>
              <w:jc w:val="center"/>
              <w:rPr/>
            </w:pPr>
            <w:r>
              <w:rPr/>
              <w:t> </w:t>
            </w:r>
          </w:p>
        </w:tc>
        <w:tc>
          <w:tcPr>
            <w:tcW w:w="4890" w:type="dxa"/>
            <w:tcBorders/>
            <w:vAlign w:val="center"/>
          </w:tcPr>
          <w:p>
            <w:pPr>
              <w:pStyle w:val="TableContents"/>
              <w:bidi w:val="0"/>
              <w:spacing w:before="0" w:after="283"/>
              <w:jc w:val="left"/>
              <w:rPr/>
            </w:pPr>
            <w:hyperlink w:anchor="vsat-ex4_1.htm">
              <w:r>
                <w:rPr>
                  <w:rStyle w:val="InternetLink"/>
                  <w:rFonts w:ascii="Arial" w:hAnsi="Arial"/>
                  <w:color w:val="0000FF"/>
                  <w:sz w:val="20"/>
                  <w:u w:val="single"/>
                </w:rPr>
                <w:t>Third Supplemental Indenture, dated as of November 15, 2023, among Connect Finco SARL, Connect U.S. FINCO LLC, the guarantors party thereto and Wilmington Trust, National Association, as trustee</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hyperlink w:anchor="vsat-ex10_1.htm">
              <w:r>
                <w:rPr>
                  <w:rStyle w:val="InternetLink"/>
                  <w:rFonts w:ascii="Arial" w:hAnsi="Arial"/>
                  <w:color w:val="0000FF"/>
                  <w:sz w:val="20"/>
                  <w:u w:val="single"/>
                </w:rPr>
                <w:t>Viasat, Inc. 1996 Equity Participation Plan Performance Stock Option Agreement</w:t>
              </w:r>
            </w:hyperlink>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31.1</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hyperlink w:anchor="vsat-ex31_1.htm">
              <w:r>
                <w:rPr>
                  <w:rStyle w:val="InternetLink"/>
                  <w:rFonts w:ascii="Arial" w:hAnsi="Arial"/>
                  <w:color w:val="0000FF"/>
                  <w:sz w:val="20"/>
                  <w:u w:val="single"/>
                </w:rPr>
                <w:t>Certification of Chief Executive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31.2</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hyperlink w:anchor="vsat-ex31_2.htm">
              <w:r>
                <w:rPr>
                  <w:rStyle w:val="InternetLink"/>
                  <w:rFonts w:ascii="Arial" w:hAnsi="Arial"/>
                  <w:color w:val="0000FF"/>
                  <w:sz w:val="20"/>
                  <w:u w:val="single"/>
                </w:rPr>
                <w:t>Certification of Chief Financial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32.1*</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hyperlink w:anchor="vsat-ex32_1.htm">
              <w:r>
                <w:rPr>
                  <w:rStyle w:val="InternetLink"/>
                  <w:rFonts w:ascii="Arial" w:hAnsi="Arial"/>
                  <w:color w:val="0000FF"/>
                  <w:sz w:val="20"/>
                  <w:u w:val="single"/>
                </w:rPr>
                <w:t>Certifications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101.INS</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101.SCH</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Linkbases Document</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r>
      <w:tr>
        <w:trPr/>
        <w:tc>
          <w:tcPr>
            <w:tcW w:w="805" w:type="dxa"/>
            <w:tcBorders/>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0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8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3" w:type="dxa"/>
            <w:tcBorders/>
            <w:vAlign w:val="center"/>
          </w:tcPr>
          <w:p>
            <w:pPr>
              <w:pStyle w:val="TableContents"/>
              <w:bidi w:val="0"/>
              <w:spacing w:before="0" w:after="283"/>
              <w:jc w:val="center"/>
              <w:rPr/>
            </w:pPr>
            <w:r>
              <w:rPr/>
              <w:t> </w:t>
            </w:r>
          </w:p>
        </w:tc>
      </w:tr>
    </w:tbl>
    <w:p>
      <w:pPr>
        <w:pStyle w:val="TextBody"/>
        <w:bidi w:val="0"/>
        <w:spacing w:before="90" w:after="283"/>
        <w:jc w:val="left"/>
        <w:rPr>
          <w:rFonts w:ascii="Arial" w:hAnsi="Arial"/>
          <w:color w:val="000000"/>
          <w:sz w:val="20"/>
        </w:rPr>
      </w:pPr>
      <w:r>
        <w:rPr>
          <w:rFonts w:ascii="Arial" w:hAnsi="Arial"/>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90" w:after="283"/>
        <w:jc w:val="left"/>
        <w:rPr>
          <w:rFonts w:ascii="Arial" w:hAnsi="Arial"/>
          <w:color w:val="000000"/>
          <w:sz w:val="20"/>
        </w:rPr>
      </w:pPr>
      <w:r>
        <w:rPr>
          <w:rFonts w:ascii="Arial" w:hAnsi="Arial"/>
          <w:color w:val="000000"/>
          <w:sz w:val="20"/>
        </w:rPr>
        <w:t>** Indicates management contract, compensatory plan or arrangement.</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343" w:type="dxa"/>
        <w:jc w:val="left"/>
        <w:tblInd w:w="0" w:type="dxa"/>
        <w:tblLayout w:type="fixed"/>
        <w:tblCellMar>
          <w:top w:w="28" w:type="dxa"/>
          <w:left w:w="28" w:type="dxa"/>
          <w:bottom w:w="28" w:type="dxa"/>
          <w:right w:w="28" w:type="dxa"/>
        </w:tblCellMar>
      </w:tblPr>
      <w:tblGrid>
        <w:gridCol w:w="1636"/>
        <w:gridCol w:w="146"/>
        <w:gridCol w:w="45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 w:hAnsi="Times New Roman"/>
                <w:sz w:val="20"/>
              </w:rPr>
            </w:pPr>
            <w:r>
              <w:rPr>
                <w:rFonts w:ascii="Arial" w:hAnsi="Arial"/>
                <w:color w:val="000000"/>
                <w:sz w:val="20"/>
              </w:rPr>
              <w:t>February 8, 2024</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 xml:space="preserve">ARK </w:t>
            </w:r>
            <w:r>
              <w:rPr>
                <w:rFonts w:ascii="Arial" w:hAnsi="Arial"/>
                <w:color w:val="000000"/>
                <w:sz w:val="20"/>
              </w:rPr>
              <w:t>D</w:t>
            </w:r>
            <w:r>
              <w:rPr>
                <w:rFonts w:ascii="Arial" w:hAnsi="Arial"/>
                <w:color w:val="000000"/>
                <w:sz w:val="16"/>
              </w:rPr>
              <w:t>ANKBERG</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Chairman of the Board and Chief Executive Officer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6"/>
              </w:rPr>
              <w:t>HAWN</w:t>
            </w:r>
            <w:r>
              <w:rPr>
                <w:rFonts w:ascii="Times New Roman" w:hAnsi="Times New Roman"/>
                <w:color w:val="000000"/>
                <w:sz w:val="20"/>
              </w:rPr>
              <w:t> </w:t>
            </w:r>
            <w:r>
              <w:rPr>
                <w:rFonts w:ascii="Arial" w:hAnsi="Arial"/>
                <w:color w:val="000000"/>
                <w:sz w:val="20"/>
              </w:rPr>
              <w:t>D</w:t>
            </w:r>
            <w:r>
              <w:rPr>
                <w:rFonts w:ascii="Arial" w:hAnsi="Arial"/>
                <w:color w:val="000000"/>
                <w:sz w:val="16"/>
              </w:rPr>
              <w:t>UFFY</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Shawn Duffy</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Financial Officer</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right"/>
        <w:rPr/>
      </w:pPr>
      <w:bookmarkStart w:id="19" w:name="vsat-ex4_1.htm"/>
      <w:bookmarkStart w:id="20" w:name="ksvsatex4_1"/>
      <w:bookmarkEnd w:id="19"/>
      <w:bookmarkEnd w:id="20"/>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jc w:val="right"/>
        <w:rPr/>
      </w:pPr>
      <w:r>
        <w:rPr/>
        <w:t> </w:t>
      </w:r>
    </w:p>
    <w:p>
      <w:pPr>
        <w:pStyle w:val="TextBody"/>
        <w:bidi w:val="0"/>
        <w:spacing w:before="0" w:after="120"/>
        <w:jc w:val="center"/>
        <w:rPr>
          <w:rFonts w:ascii="Times New Roman" w:hAnsi="Times New Roman"/>
          <w:sz w:val="20"/>
        </w:rPr>
      </w:pPr>
      <w:bookmarkStart w:id="21" w:name="bookmark0"/>
      <w:bookmarkStart w:id="22" w:name="bookmark2"/>
      <w:bookmarkStart w:id="23" w:name="bookmark1"/>
      <w:bookmarkEnd w:id="21"/>
      <w:bookmarkEnd w:id="22"/>
      <w:bookmarkEnd w:id="23"/>
      <w:r>
        <w:rPr>
          <w:rFonts w:ascii="Times New Roman" w:hAnsi="Times New Roman"/>
          <w:b/>
          <w:color w:val="000000"/>
          <w:sz w:val="24"/>
        </w:rPr>
        <w:t>THIRD SUPPLEMENTAL INDENTURE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This Third Supplemental Indenture (this “</w:t>
      </w:r>
      <w:r>
        <w:rPr>
          <w:rFonts w:ascii="Times New Roman" w:hAnsi="Times New Roman"/>
          <w:color w:val="000000"/>
          <w:sz w:val="22"/>
          <w:u w:val="single"/>
        </w:rPr>
        <w:t>Supplemental Indenture</w:t>
      </w:r>
      <w:r>
        <w:rPr>
          <w:rFonts w:ascii="Times New Roman" w:hAnsi="Times New Roman"/>
          <w:color w:val="000000"/>
          <w:sz w:val="20"/>
        </w:rPr>
        <w:t>”</w:t>
      </w:r>
      <w:r>
        <w:rPr>
          <w:rFonts w:ascii="Times New Roman" w:hAnsi="Times New Roman"/>
          <w:color w:val="000000"/>
          <w:sz w:val="22"/>
        </w:rPr>
        <w:t>), dated as of November 15, 2023, among Connect Finco SARL (the “</w:t>
      </w:r>
      <w:r>
        <w:rPr>
          <w:rFonts w:ascii="Times New Roman" w:hAnsi="Times New Roman"/>
          <w:color w:val="000000"/>
          <w:sz w:val="22"/>
          <w:u w:val="single"/>
        </w:rPr>
        <w:t>Luxembourg Issuer</w:t>
      </w:r>
      <w:r>
        <w:rPr>
          <w:rFonts w:ascii="Times New Roman" w:hAnsi="Times New Roman"/>
          <w:color w:val="000000"/>
          <w:sz w:val="20"/>
        </w:rPr>
        <w:t>”</w:t>
      </w:r>
      <w:r>
        <w:rPr>
          <w:rFonts w:ascii="Times New Roman" w:hAnsi="Times New Roman"/>
          <w:color w:val="000000"/>
          <w:sz w:val="22"/>
        </w:rPr>
        <w:t>), Connect U.S. Finco LLC (the “</w:t>
      </w:r>
      <w:r>
        <w:rPr>
          <w:rFonts w:ascii="Times New Roman" w:hAnsi="Times New Roman"/>
          <w:color w:val="000000"/>
          <w:sz w:val="22"/>
          <w:u w:val="single"/>
        </w:rPr>
        <w:t>U.S. Issuer</w:t>
      </w:r>
      <w:r>
        <w:rPr>
          <w:rFonts w:ascii="Times New Roman" w:hAnsi="Times New Roman"/>
          <w:color w:val="000000"/>
          <w:sz w:val="20"/>
        </w:rPr>
        <w:t xml:space="preserve">” </w:t>
      </w:r>
      <w:r>
        <w:rPr>
          <w:rFonts w:ascii="Times New Roman" w:hAnsi="Times New Roman"/>
          <w:color w:val="000000"/>
          <w:sz w:val="22"/>
        </w:rPr>
        <w:t>and together with the Luxembourg Issuer, the “</w:t>
      </w:r>
      <w:r>
        <w:rPr>
          <w:rFonts w:ascii="Times New Roman" w:hAnsi="Times New Roman"/>
          <w:color w:val="000000"/>
          <w:sz w:val="22"/>
          <w:u w:val="single"/>
        </w:rPr>
        <w:t>Issuers</w:t>
      </w:r>
      <w:r>
        <w:rPr>
          <w:rFonts w:ascii="Times New Roman" w:hAnsi="Times New Roman"/>
          <w:color w:val="000000"/>
          <w:sz w:val="20"/>
        </w:rPr>
        <w:t>”</w:t>
      </w:r>
      <w:r>
        <w:rPr>
          <w:rFonts w:ascii="Times New Roman" w:hAnsi="Times New Roman"/>
          <w:color w:val="000000"/>
          <w:sz w:val="22"/>
        </w:rPr>
        <w:t>), the Guarantors listed on the signature pages hereto (the “</w:t>
      </w:r>
      <w:r>
        <w:rPr>
          <w:rFonts w:ascii="Times New Roman" w:hAnsi="Times New Roman"/>
          <w:color w:val="000000"/>
          <w:sz w:val="22"/>
          <w:u w:val="single"/>
        </w:rPr>
        <w:t>Guarantors</w:t>
      </w:r>
      <w:r>
        <w:rPr>
          <w:rFonts w:ascii="Times New Roman" w:hAnsi="Times New Roman"/>
          <w:color w:val="000000"/>
          <w:sz w:val="20"/>
        </w:rPr>
        <w:t>”</w:t>
      </w:r>
      <w:r>
        <w:rPr>
          <w:rFonts w:ascii="Times New Roman" w:hAnsi="Times New Roman"/>
          <w:color w:val="000000"/>
          <w:sz w:val="22"/>
        </w:rPr>
        <w:t>) and Wilmington Trust, National Association, as trustee (the “</w:t>
      </w:r>
      <w:r>
        <w:rPr>
          <w:rFonts w:ascii="Times New Roman" w:hAnsi="Times New Roman"/>
          <w:color w:val="000000"/>
          <w:sz w:val="22"/>
          <w:u w:val="single"/>
        </w:rPr>
        <w:t>Trustee</w:t>
      </w:r>
      <w:r>
        <w:rPr>
          <w:rFonts w:ascii="Times New Roman" w:hAnsi="Times New Roman"/>
          <w:color w:val="000000"/>
          <w:sz w:val="20"/>
        </w:rPr>
        <w:t>”</w:t>
      </w:r>
      <w:r>
        <w:rPr>
          <w:rFonts w:ascii="Times New Roman" w:hAnsi="Times New Roman"/>
          <w:color w:val="000000"/>
          <w:sz w:val="22"/>
        </w:rPr>
        <w:t>) and as notes collateral agent (the “</w:t>
      </w:r>
      <w:r>
        <w:rPr>
          <w:rFonts w:ascii="Times New Roman" w:hAnsi="Times New Roman"/>
          <w:color w:val="000000"/>
          <w:sz w:val="22"/>
          <w:u w:val="single"/>
        </w:rPr>
        <w:t>Notes Collateral Agent</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20"/>
        <w:jc w:val="left"/>
        <w:rPr>
          <w:rFonts w:ascii="Times New Roman" w:hAnsi="Times New Roman"/>
          <w:sz w:val="20"/>
        </w:rPr>
      </w:pPr>
      <w:r>
        <w:rPr>
          <w:rFonts w:ascii="Times New Roman" w:hAnsi="Times New Roman"/>
          <w:color w:val="000000"/>
          <w:sz w:val="22"/>
        </w:rPr>
        <w:t>WHEREAS, the Issuers, Guarantors, Trustee and Notes Collateral Agent have entered into an Indenture, dated as of October 7, 2019, as amended by the first supplemental indenture, dated as of February 18, 2020, and as further amended by the second supplemental indenture, dated as of May 1, 2020 (collectively, the “</w:t>
      </w:r>
      <w:r>
        <w:rPr>
          <w:rFonts w:ascii="Times New Roman" w:hAnsi="Times New Roman"/>
          <w:color w:val="000000"/>
          <w:sz w:val="22"/>
          <w:u w:val="single"/>
        </w:rPr>
        <w:t>Indenture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WHEREAS, the Issuers desire to amend and supplement the Indenture as contemplated by Article 2 of this Supplemental Indenture;</w:t>
      </w:r>
    </w:p>
    <w:p>
      <w:pPr>
        <w:pStyle w:val="TextBody"/>
        <w:bidi w:val="0"/>
        <w:spacing w:before="0" w:after="220"/>
        <w:jc w:val="left"/>
        <w:rPr>
          <w:rFonts w:ascii="Times New Roman" w:hAnsi="Times New Roman"/>
          <w:sz w:val="20"/>
        </w:rPr>
      </w:pPr>
      <w:r>
        <w:rPr>
          <w:rFonts w:ascii="Times New Roman" w:hAnsi="Times New Roman"/>
          <w:color w:val="000000"/>
          <w:sz w:val="22"/>
        </w:rPr>
        <w:t>WHEREAS, pursuant to Section 9.01 of the Indenture, the Issuers, any Guarantor, the Trustee and the Notes Collateral Agent may amend or supplement the Indenture without the consent of any Holder (as defined in the Indenture), subject to Section 9.06 of the Indenture;</w:t>
      </w:r>
      <w:r>
        <w:rPr>
          <w:rFonts w:ascii="Times New Roman" w:hAnsi="Times New Roman"/>
          <w:color w:val="000000"/>
          <w:sz w:val="20"/>
        </w:rPr>
        <w:t xml:space="preserve"> </w:t>
      </w:r>
    </w:p>
    <w:p>
      <w:pPr>
        <w:pStyle w:val="TextBody"/>
        <w:bidi w:val="0"/>
        <w:spacing w:before="0" w:after="220"/>
        <w:jc w:val="left"/>
        <w:rPr>
          <w:rFonts w:ascii="Times New Roman" w:hAnsi="Times New Roman"/>
          <w:sz w:val="20"/>
        </w:rPr>
      </w:pPr>
      <w:r>
        <w:rPr>
          <w:rFonts w:ascii="Times New Roman" w:hAnsi="Times New Roman"/>
          <w:color w:val="000000"/>
          <w:sz w:val="22"/>
        </w:rPr>
        <w:t>WHEREAS, this Supplemental Indenture is authorized pursuant to Section 9.01(1) and (13) of the Indenture;</w:t>
      </w:r>
      <w:r>
        <w:rPr>
          <w:rFonts w:ascii="Times New Roman" w:hAnsi="Times New Roman"/>
          <w:color w:val="000000"/>
          <w:sz w:val="20"/>
        </w:rPr>
        <w:t xml:space="preserve"> </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WHEREAS, the Issuers have, pursuant to Sections 9.06 and 12.04 of the Indenture, furnished the Trustee and Notes Collateral Agent with an Officers’ Certificate and an Opinion of Counsel complying with the requirements of Section 12.05 of the Indenture;</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WHEREAS, the Trustee and Notes Collateral Agent is authorized to execute and deliver this Supplemental Indenture; and</w:t>
      </w:r>
    </w:p>
    <w:p>
      <w:pPr>
        <w:pStyle w:val="TextBody"/>
        <w:bidi w:val="0"/>
        <w:spacing w:before="0" w:after="220"/>
        <w:jc w:val="left"/>
        <w:rPr>
          <w:rFonts w:ascii="Times New Roman" w:hAnsi="Times New Roman"/>
          <w:sz w:val="20"/>
        </w:rPr>
      </w:pPr>
      <w:r>
        <w:rPr>
          <w:rFonts w:ascii="Times New Roman" w:hAnsi="Times New Roman"/>
          <w:color w:val="000000"/>
          <w:sz w:val="22"/>
        </w:rPr>
        <w:t>WHEREAS, all acts and things prescribed by the Indenture, by law and by Articles of Incorporation and the Bylaws (or comparable constituent documents) of the Issuers, Guarantors, and of the Trustee and the Notes Collateral Agent necessary to make this Supplemental Indenture a valid instrument legally binding on the Issuer, Guarantors, Trustee and Notes Collateral Agent, in accordance with its terms, have been duly done and performed.</w:t>
      </w:r>
      <w:r>
        <w:rPr>
          <w:rFonts w:ascii="Times New Roman" w:hAnsi="Times New Roman"/>
          <w:color w:val="000000"/>
          <w:sz w:val="20"/>
        </w:rPr>
        <w:t xml:space="preserve"> </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1</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1.01.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Capitalized Terms</w:t>
      </w:r>
      <w:r>
        <w:rPr>
          <w:rFonts w:ascii="Times New Roman" w:hAnsi="Times New Roman"/>
          <w:color w:val="000000"/>
          <w:sz w:val="22"/>
        </w:rPr>
        <w:t>. Capitalized terms used herein without definition shall have the meanings assigned to them in the 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Relation to Indenture</w:t>
      </w:r>
      <w:r>
        <w:rPr>
          <w:rFonts w:ascii="Times New Roman" w:hAnsi="Times New Roman"/>
          <w:color w:val="000000"/>
          <w:sz w:val="22"/>
        </w:rPr>
        <w:t>. This Supplemental Indenture is supplemental to the Indenture and does and shall be deemed to form a part of, and shall be construed in connection with and as part of, the Indenture for any and all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1.03.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Execution and Delivery</w:t>
      </w:r>
      <w:r>
        <w:rPr>
          <w:rFonts w:ascii="Times New Roman" w:hAnsi="Times New Roman"/>
          <w:color w:val="000000"/>
          <w:sz w:val="22"/>
        </w:rPr>
        <w:t xml:space="preserve">. This Supplemental Indenture shall become effective immediately upon its execution and delivery by the Issuers, Guarantors, Trustee and Notes Collateral Agent.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2</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2.01.</w:t>
      </w:r>
    </w:p>
    <w:p>
      <w:pPr>
        <w:pStyle w:val="TextBody"/>
        <w:bidi w:val="0"/>
        <w:spacing w:before="0" w:after="220"/>
        <w:jc w:val="left"/>
        <w:rPr/>
      </w:pPr>
      <w:r>
        <w:rPr>
          <w:rFonts w:ascii="Times New Roman" w:hAnsi="Times New Roman"/>
          <w:color w:val="000000"/>
          <w:sz w:val="22"/>
          <w:u w:val="single"/>
        </w:rPr>
        <w:t>Amendments</w:t>
      </w:r>
      <w:r>
        <w:rPr>
          <w:rFonts w:ascii="Times New Roman" w:hAnsi="Times New Roman"/>
          <w:color w:val="000000"/>
          <w:sz w:val="22"/>
        </w:rPr>
        <w:t>. The Indenture shall be amended to give effect to the following amendments.</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 xml:space="preserve">The following definition in Section 1.01 of the Indenture is amended and restated in its entirety: </w:t>
      </w:r>
    </w:p>
    <w:p>
      <w:pPr>
        <w:pStyle w:val="TextBody"/>
        <w:bidi w:val="0"/>
        <w:spacing w:before="0" w:after="220"/>
        <w:jc w:val="left"/>
        <w:rPr/>
      </w:pPr>
      <w:r>
        <w:rPr>
          <w:color w:val="000000"/>
        </w:rPr>
        <w:t>“</w:t>
      </w:r>
      <w:r>
        <w:rPr>
          <w:rFonts w:ascii="Times New Roman" w:hAnsi="Times New Roman"/>
          <w:i/>
          <w:color w:val="000000"/>
          <w:sz w:val="22"/>
        </w:rPr>
        <w:t>IFRS</w:t>
      </w:r>
      <w:r>
        <w:rPr>
          <w:rFonts w:ascii="Times New Roman" w:hAnsi="Times New Roman"/>
          <w:color w:val="000000"/>
          <w:sz w:val="20"/>
        </w:rPr>
        <w:t xml:space="preserve">” </w:t>
      </w:r>
      <w:r>
        <w:rPr>
          <w:rFonts w:ascii="Times New Roman" w:hAnsi="Times New Roman"/>
          <w:color w:val="000000"/>
          <w:sz w:val="22"/>
        </w:rPr>
        <w:t xml:space="preserve">means the International Financial Reporting Standards of the International Accounting Standards Board, as adopted by the European Union. At any time after the Issue Date, the Company may elect to apply GAAP accounting principles in lieu of IFRS and, upon any such election, references herein to IFRS shall thereafter be construed to mean GAAP (except as otherwise provided in this Indenture);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any such election, once made, shall be irrevocable; </w:t>
      </w:r>
      <w:r>
        <w:rPr>
          <w:rFonts w:ascii="Times New Roman" w:hAnsi="Times New Roman"/>
          <w:i/>
          <w:color w:val="000000"/>
          <w:sz w:val="22"/>
        </w:rPr>
        <w:t>provided, further</w:t>
      </w:r>
      <w:r>
        <w:rPr>
          <w:rFonts w:ascii="Times New Roman" w:hAnsi="Times New Roman"/>
          <w:color w:val="000000"/>
          <w:sz w:val="22"/>
        </w:rPr>
        <w:t>, any calculation or determination in this Indenture that requires the application of IFRS for periods that include fiscal quarters ended prior to the Company’s election to apply GAAP shall remain as previously calculated or determined in accordance with IFRS. The Company shall give notice of any such election made in accordance with this definition to the Trustee. For the avoidance of doubt, solely making an election (without any other action) referred to in this definition will not be treated as an incurrence of Indebtedness. If there occurs a change in IFRS or GAAP, as the case may be, and such change would cause a change in the method of calculation of any standards, terms or measures (including all computations of amounts and ratios) used in this Indenture (an “</w:t>
      </w:r>
      <w:r>
        <w:rPr>
          <w:rFonts w:ascii="Times New Roman" w:hAnsi="Times New Roman"/>
          <w:i/>
          <w:color w:val="000000"/>
          <w:sz w:val="22"/>
        </w:rPr>
        <w:t>Accounting Change</w:t>
      </w:r>
      <w:r>
        <w:rPr>
          <w:rFonts w:ascii="Times New Roman" w:hAnsi="Times New Roman"/>
          <w:color w:val="000000"/>
          <w:sz w:val="20"/>
        </w:rPr>
        <w:t>”</w:t>
      </w:r>
      <w:r>
        <w:rPr>
          <w:rFonts w:ascii="Times New Roman" w:hAnsi="Times New Roman"/>
          <w:color w:val="000000"/>
          <w:sz w:val="22"/>
        </w:rPr>
        <w:t>), then the Company may elect that such standards, terms or measures shall be calculated as if such Accounting Change had not occurred.</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rFonts w:ascii="Times New Roman" w:hAnsi="Times New Roman"/>
          <w:color w:val="000000"/>
          <w:sz w:val="22"/>
        </w:rPr>
      </w:pPr>
      <w:r>
        <w:rPr>
          <w:rFonts w:ascii="Times New Roman" w:hAnsi="Times New Roman"/>
          <w:color w:val="000000"/>
          <w:sz w:val="22"/>
        </w:rPr>
        <w:t>The following definition is added to Section 1.01 of the 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pPr>
      <w:r>
        <w:rPr>
          <w:color w:val="000000"/>
        </w:rPr>
        <w:t>“</w:t>
      </w:r>
      <w:r>
        <w:rPr>
          <w:rFonts w:ascii="Times New Roman" w:hAnsi="Times New Roman"/>
          <w:i/>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which are in effect from time to time.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3</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3.01.</w:t>
      </w:r>
    </w:p>
    <w:p>
      <w:pPr>
        <w:pStyle w:val="TextBody"/>
        <w:bidi w:val="0"/>
        <w:spacing w:before="0" w:after="220"/>
        <w:jc w:val="left"/>
        <w:rPr/>
      </w:pPr>
      <w:r>
        <w:rPr>
          <w:rFonts w:ascii="Times New Roman" w:hAnsi="Times New Roman"/>
          <w:color w:val="000000"/>
          <w:sz w:val="22"/>
          <w:u w:val="single"/>
        </w:rPr>
        <w:t>Governing Law</w:t>
      </w:r>
      <w:r>
        <w:rPr>
          <w:rFonts w:ascii="Times New Roman" w:hAnsi="Times New Roman"/>
          <w:color w:val="000000"/>
          <w:sz w:val="22"/>
        </w:rPr>
        <w:t>. THIS SUPPLEMENTAL INDENTURE, AND ANY CLAIM, CONTROVERSY OR DISPUTE ARISING UNDER OR RELATED TO THIS SUPPLEMENTAL INDENTURE, WILL BE GOVERNED BY AND CONSTRUED IN ACCORDANCE WITH THE LAWS OF THE STATE OF NEW YORK.</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3.02.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Counterparts</w:t>
      </w:r>
      <w:r>
        <w:rPr>
          <w:rFonts w:ascii="Times New Roman" w:hAnsi="Times New Roman"/>
          <w:color w:val="000000"/>
          <w:sz w:val="22"/>
        </w:rPr>
        <w:t xml:space="preserve">. The parties may sign any number of copies of this Supplemental Indenture. Each signed copy shall be an original, but all of them together represent one and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Signatures of the parties hereto transmitted by facsimile, PDF or other electronic transmission shall be deemed to be their original signatures for all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purposes.</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3.03.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Effect of Headings</w:t>
      </w:r>
      <w:r>
        <w:rPr>
          <w:rFonts w:ascii="Times New Roman" w:hAnsi="Times New Roman"/>
          <w:color w:val="000000"/>
          <w:sz w:val="22"/>
        </w:rPr>
        <w:t>. The Section headings herein are for convenience only and shall not affect the construction 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3.04.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r>
        <w:rPr>
          <w:rFonts w:ascii="Times New Roman" w:hAnsi="Times New Roman"/>
          <w:color w:val="000000"/>
          <w:sz w:val="22"/>
          <w:u w:val="single"/>
        </w:rPr>
        <w:t>The Trustee and the Notes Collateral Agent</w:t>
      </w:r>
      <w:r>
        <w:rPr>
          <w:rFonts w:ascii="Times New Roman" w:hAnsi="Times New Roman"/>
          <w:color w:val="000000"/>
          <w:sz w:val="22"/>
        </w:rPr>
        <w:t xml:space="preserve">. Neither the Trustee nor the Notes Collateral Agent shall be responsible in any manner whatsoever for or in respect of the validity or sufficiency of this Supplemental Indenture or for or in respect of the recitals contained herein.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rFonts w:ascii="Times New Roman" w:hAnsi="Times New Roman"/>
          <w:color w:val="000000"/>
          <w:sz w:val="22"/>
        </w:rPr>
      </w:pPr>
      <w:r>
        <w:rPr>
          <w:rFonts w:ascii="Times New Roman" w:hAnsi="Times New Roman"/>
          <w:color w:val="000000"/>
          <w:sz w:val="22"/>
        </w:rPr>
        <w:t>Section 3.05.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left"/>
        <w:rPr/>
      </w:pPr>
      <w:bookmarkStart w:id="24" w:name="bookmark15"/>
      <w:bookmarkStart w:id="25" w:name="bookmark13"/>
      <w:bookmarkEnd w:id="24"/>
      <w:bookmarkEnd w:id="25"/>
      <w:r>
        <w:rPr>
          <w:rFonts w:ascii="Times New Roman" w:hAnsi="Times New Roman"/>
          <w:color w:val="000000"/>
          <w:sz w:val="22"/>
          <w:u w:val="single"/>
        </w:rPr>
        <w:t>Ratification of Indenture; Supplemental Indentures Part of Indenture</w:t>
      </w:r>
      <w:r>
        <w:rPr>
          <w:rFonts w:ascii="Times New Roman" w:hAnsi="Times New Roman"/>
          <w:color w:val="000000"/>
          <w:sz w:val="22"/>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shall be bound 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500"/>
        <w:jc w:val="left"/>
        <w:rPr>
          <w:rFonts w:ascii="Times New Roman" w:hAnsi="Times New Roman"/>
          <w:color w:val="000000"/>
          <w:sz w:val="22"/>
        </w:rPr>
      </w:pPr>
      <w:r>
        <w:rPr>
          <w:rFonts w:ascii="Times New Roman" w:hAnsi="Times New Roman"/>
          <w:color w:val="000000"/>
          <w:sz w:val="22"/>
        </w:rPr>
        <w:t>IN WITNESS WHEREOF, the parties hereto have caused this Supplemental Indenture to be duly executed, all as of the date first above written.</w:t>
      </w:r>
    </w:p>
    <w:p>
      <w:pPr>
        <w:pStyle w:val="TextBody"/>
        <w:bidi w:val="0"/>
        <w:spacing w:before="0" w:after="720"/>
        <w:jc w:val="left"/>
        <w:rPr>
          <w:rFonts w:ascii="Times New Roman" w:hAnsi="Times New Roman"/>
          <w:color w:val="000000"/>
          <w:sz w:val="22"/>
        </w:rPr>
      </w:pPr>
      <w:r>
        <w:rPr>
          <w:rFonts w:ascii="Times New Roman" w:hAnsi="Times New Roman"/>
          <w:color w:val="000000"/>
          <w:sz w:val="22"/>
        </w:rPr>
        <w:t>CONNECT FINCO SARL, as Issuer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Jacques De Patoul </w:t>
      </w:r>
    </w:p>
    <w:p>
      <w:pPr>
        <w:pStyle w:val="TextBody"/>
        <w:bidi w:val="0"/>
        <w:jc w:val="left"/>
        <w:rPr>
          <w:rFonts w:ascii="Times New Roman" w:hAnsi="Times New Roman"/>
          <w:color w:val="000000"/>
          <w:sz w:val="22"/>
        </w:rPr>
      </w:pPr>
      <w:r>
        <w:rPr>
          <w:rFonts w:ascii="Times New Roman" w:hAnsi="Times New Roman"/>
          <w:color w:val="000000"/>
          <w:sz w:val="22"/>
        </w:rPr>
        <w:t>Name: Jacques De Patoul</w:t>
      </w:r>
    </w:p>
    <w:p>
      <w:pPr>
        <w:pStyle w:val="TextBody"/>
        <w:bidi w:val="0"/>
        <w:spacing w:before="0" w:after="500"/>
        <w:jc w:val="left"/>
        <w:rPr>
          <w:rFonts w:ascii="Times New Roman" w:hAnsi="Times New Roman"/>
          <w:color w:val="000000"/>
          <w:sz w:val="22"/>
        </w:rPr>
      </w:pPr>
      <w:r>
        <w:rPr>
          <w:rFonts w:ascii="Times New Roman" w:hAnsi="Times New Roman"/>
          <w:color w:val="000000"/>
          <w:sz w:val="22"/>
        </w:rPr>
        <w:t>Title: Manager</w:t>
      </w:r>
    </w:p>
    <w:p>
      <w:pPr>
        <w:pStyle w:val="TextBody"/>
        <w:bidi w:val="0"/>
        <w:spacing w:before="0" w:after="720"/>
        <w:jc w:val="left"/>
        <w:rPr>
          <w:rFonts w:ascii="Times New Roman" w:hAnsi="Times New Roman"/>
          <w:color w:val="000000"/>
          <w:sz w:val="22"/>
        </w:rPr>
      </w:pPr>
      <w:r>
        <w:rPr>
          <w:rFonts w:ascii="Times New Roman" w:hAnsi="Times New Roman"/>
          <w:color w:val="000000"/>
          <w:sz w:val="22"/>
        </w:rPr>
        <w:t>CONNECT U.S. FINCO LLC, as Issuer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Robert James Blair </w:t>
      </w:r>
    </w:p>
    <w:p>
      <w:pPr>
        <w:pStyle w:val="TextBody"/>
        <w:bidi w:val="0"/>
        <w:jc w:val="left"/>
        <w:rPr>
          <w:rFonts w:ascii="Times New Roman" w:hAnsi="Times New Roman"/>
          <w:color w:val="000000"/>
          <w:sz w:val="22"/>
        </w:rPr>
      </w:pPr>
      <w:r>
        <w:rPr>
          <w:rFonts w:ascii="Times New Roman" w:hAnsi="Times New Roman"/>
          <w:color w:val="000000"/>
          <w:sz w:val="22"/>
        </w:rPr>
        <w:t>Name: Robert James Blair</w:t>
      </w:r>
    </w:p>
    <w:p>
      <w:pPr>
        <w:pStyle w:val="TextBody"/>
        <w:bidi w:val="0"/>
        <w:spacing w:before="0" w:after="50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720"/>
        <w:jc w:val="left"/>
        <w:rPr>
          <w:rFonts w:ascii="Times New Roman" w:hAnsi="Times New Roman"/>
          <w:color w:val="000000"/>
          <w:sz w:val="22"/>
        </w:rPr>
      </w:pPr>
      <w:r>
        <w:rPr>
          <w:rFonts w:ascii="Times New Roman" w:hAnsi="Times New Roman"/>
          <w:color w:val="000000"/>
          <w:sz w:val="22"/>
        </w:rPr>
        <w:t>CONNECT BIDCO LIMITED, as Guarantor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/s/Elizabeth Palmer </w:t>
      </w:r>
    </w:p>
    <w:p>
      <w:pPr>
        <w:pStyle w:val="TextBody"/>
        <w:bidi w:val="0"/>
        <w:jc w:val="left"/>
        <w:rPr>
          <w:rFonts w:ascii="Times New Roman" w:hAnsi="Times New Roman"/>
          <w:color w:val="000000"/>
          <w:sz w:val="22"/>
        </w:rPr>
      </w:pPr>
      <w:r>
        <w:rPr>
          <w:rFonts w:ascii="Times New Roman" w:hAnsi="Times New Roman"/>
          <w:color w:val="000000"/>
          <w:sz w:val="22"/>
        </w:rPr>
        <w:t>Name: Elizabeth Palmer</w:t>
      </w:r>
    </w:p>
    <w:p>
      <w:pPr>
        <w:pStyle w:val="TextBody"/>
        <w:bidi w:val="0"/>
        <w:spacing w:before="0" w:after="500"/>
        <w:jc w:val="left"/>
        <w:rPr>
          <w:rFonts w:ascii="Times New Roman" w:hAnsi="Times New Roman"/>
          <w:color w:val="000000"/>
          <w:sz w:val="22"/>
        </w:rPr>
      </w:pPr>
      <w:r>
        <w:rPr>
          <w:rFonts w:ascii="Times New Roman" w:hAnsi="Times New Roman"/>
          <w:color w:val="000000"/>
          <w:sz w:val="22"/>
        </w:rPr>
        <w:t>Title: Director</w:t>
      </w:r>
    </w:p>
    <w:p>
      <w:pPr>
        <w:pStyle w:val="TextBody"/>
        <w:bidi w:val="0"/>
        <w:spacing w:before="0" w:after="720"/>
        <w:jc w:val="left"/>
        <w:rPr>
          <w:rFonts w:ascii="Times New Roman" w:hAnsi="Times New Roman"/>
          <w:color w:val="000000"/>
          <w:sz w:val="22"/>
        </w:rPr>
      </w:pPr>
      <w:r>
        <w:rPr>
          <w:rFonts w:ascii="Times New Roman" w:hAnsi="Times New Roman"/>
          <w:color w:val="000000"/>
          <w:sz w:val="22"/>
        </w:rPr>
        <w:t>CONNECT MIDCO LIMITED, as Guarantor</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Elizabeth Palmer </w:t>
      </w:r>
    </w:p>
    <w:p>
      <w:pPr>
        <w:pStyle w:val="TextBody"/>
        <w:bidi w:val="0"/>
        <w:jc w:val="left"/>
        <w:rPr>
          <w:rFonts w:ascii="Times New Roman" w:hAnsi="Times New Roman"/>
          <w:color w:val="000000"/>
          <w:sz w:val="22"/>
        </w:rPr>
      </w:pPr>
      <w:r>
        <w:rPr>
          <w:rFonts w:ascii="Times New Roman" w:hAnsi="Times New Roman"/>
          <w:color w:val="000000"/>
          <w:sz w:val="22"/>
        </w:rPr>
        <w:t>Name: Elizabeth Palmer</w:t>
      </w:r>
    </w:p>
    <w:p>
      <w:pPr>
        <w:pStyle w:val="TextBody"/>
        <w:bidi w:val="0"/>
        <w:spacing w:before="0" w:after="50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 Third Supplemental Indenture</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left"/>
        <w:rPr>
          <w:rFonts w:ascii="Times New Roman" w:hAnsi="Times New Roman"/>
          <w:color w:val="000000"/>
          <w:sz w:val="22"/>
        </w:rPr>
      </w:pPr>
      <w:r>
        <w:rPr>
          <w:rFonts w:ascii="Times New Roman" w:hAnsi="Times New Roman"/>
          <w:color w:val="000000"/>
          <w:sz w:val="22"/>
        </w:rPr>
        <w:t>WILMINGTON TRUST, NATIONAL ASSOCIATION, as Trustee and as Notes Collateral Agent</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Latoya S. Elvin </w:t>
      </w:r>
    </w:p>
    <w:p>
      <w:pPr>
        <w:pStyle w:val="TextBody"/>
        <w:bidi w:val="0"/>
        <w:jc w:val="left"/>
        <w:rPr>
          <w:rFonts w:ascii="Times New Roman" w:hAnsi="Times New Roman"/>
          <w:color w:val="000000"/>
          <w:sz w:val="22"/>
        </w:rPr>
      </w:pPr>
      <w:r>
        <w:rPr>
          <w:rFonts w:ascii="Times New Roman" w:hAnsi="Times New Roman"/>
          <w:color w:val="000000"/>
          <w:sz w:val="22"/>
        </w:rPr>
        <w:t>Name: Latoya S. Elvin</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 Third Supplemental Indenture</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vsat-ex10_1.htm"/>
      <w:bookmarkStart w:id="27" w:name="ksvsatex10_1"/>
      <w:bookmarkEnd w:id="26"/>
      <w:bookmarkEnd w:id="27"/>
      <w:r>
        <w:rPr>
          <w:rFonts w:ascii="Times New Roman" w:hAnsi="Times New Roman"/>
          <w:b/>
          <w:color w:val="000000"/>
          <w:sz w:val="20"/>
        </w:rPr>
        <w:t>Exhibit 10.1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2"/>
        </w:rPr>
        <w:t>Viasat,</w:t>
      </w:r>
      <w:r>
        <w:rPr>
          <w:rFonts w:ascii="Times New Roman" w:hAnsi="Times New Roman"/>
          <w:color w:val="000000"/>
          <w:sz w:val="20"/>
        </w:rPr>
        <w:t xml:space="preserve"> </w:t>
      </w:r>
      <w:r>
        <w:rPr>
          <w:rFonts w:ascii="Times New Roman" w:hAnsi="Times New Roman"/>
          <w:b/>
          <w:color w:val="000000"/>
          <w:sz w:val="22"/>
        </w:rPr>
        <w:t>INC.</w:t>
      </w:r>
    </w:p>
    <w:p>
      <w:pPr>
        <w:pStyle w:val="TextBody"/>
        <w:bidi w:val="0"/>
        <w:jc w:val="center"/>
        <w:rPr>
          <w:rFonts w:ascii="Times New Roman" w:hAnsi="Times New Roman"/>
          <w:b/>
          <w:color w:val="000000"/>
          <w:sz w:val="22"/>
        </w:rPr>
      </w:pPr>
      <w:r>
        <w:rPr>
          <w:rFonts w:ascii="Times New Roman" w:hAnsi="Times New Roman"/>
          <w:b/>
          <w:color w:val="000000"/>
          <w:sz w:val="22"/>
        </w:rPr>
        <w:t>1996 EQUITY PARTICIPATION PLAN</w:t>
      </w:r>
    </w:p>
    <w:p>
      <w:pPr>
        <w:pStyle w:val="TextBody"/>
        <w:bidi w:val="0"/>
        <w:jc w:val="center"/>
        <w:rPr>
          <w:rFonts w:ascii="Times New Roman" w:hAnsi="Times New Roman"/>
          <w:sz w:val="20"/>
        </w:rPr>
      </w:pPr>
      <w:r>
        <w:rPr>
          <w:rFonts w:ascii="Times New Roman" w:hAnsi="Times New Roman"/>
          <w:b/>
          <w:color w:val="000000"/>
          <w:sz w:val="22"/>
        </w:rPr>
        <w:t>PERFORMANCE STOCK OPTION AGREEMENT</w:t>
      </w:r>
      <w:r>
        <w:rPr>
          <w:rFonts w:ascii="Times New Roman" w:hAnsi="Times New Roman"/>
          <w:color w:val="000000"/>
          <w:sz w:val="20"/>
        </w:rPr>
        <w:t xml:space="preserve"> </w:t>
      </w:r>
    </w:p>
    <w:p>
      <w:pPr>
        <w:pStyle w:val="TextBody"/>
        <w:bidi w:val="0"/>
        <w:jc w:val="center"/>
        <w:rPr/>
      </w:pPr>
      <w:r>
        <w:rPr/>
        <w:t> </w:t>
      </w:r>
    </w:p>
    <w:tbl>
      <w:tblPr>
        <w:tblW w:w="6242" w:type="dxa"/>
        <w:jc w:val="left"/>
        <w:tblInd w:w="0" w:type="dxa"/>
        <w:tblLayout w:type="fixed"/>
        <w:tblCellMar>
          <w:top w:w="28" w:type="dxa"/>
          <w:left w:w="28" w:type="dxa"/>
          <w:bottom w:w="28" w:type="dxa"/>
          <w:right w:w="28" w:type="dxa"/>
        </w:tblCellMar>
      </w:tblPr>
      <w:tblGrid>
        <w:gridCol w:w="4381"/>
        <w:gridCol w:w="1861"/>
      </w:tblGrid>
      <w:tr>
        <w:trPr/>
        <w:tc>
          <w:tcPr>
            <w:tcW w:w="438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bottom w:val="single" w:sz="4" w:space="0" w:color="000000"/>
            </w:tcBorders>
            <w:tcMar>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 xml:space="preserve">Grant: </w:t>
            </w:r>
            <w:r>
              <w:rPr>
                <w:rFonts w:ascii="Times New Roman" w:hAnsi="Times New Roman"/>
                <w:color w:val="000000"/>
                <w:sz w:val="22"/>
              </w:rPr>
              <w:t> “Target” Number of Options</w:t>
            </w:r>
          </w:p>
          <w:p>
            <w:pPr>
              <w:pStyle w:val="TableContents"/>
              <w:bidi w:val="0"/>
              <w:jc w:val="left"/>
              <w:rPr/>
            </w:pPr>
            <w:r>
              <w:rPr/>
              <w:t> </w:t>
            </w:r>
          </w:p>
          <w:p>
            <w:pPr>
              <w:pStyle w:val="TableContents"/>
              <w:pBdr/>
              <w:bidi w:val="0"/>
              <w:ind w:left="0" w:right="0" w:hanging="734"/>
              <w:jc w:val="left"/>
              <w:rPr/>
            </w:pPr>
            <w:r>
              <w:rPr>
                <w:color w:val="000000"/>
              </w:rPr>
              <w:t> “</w:t>
            </w:r>
            <w:r>
              <w:rPr>
                <w:rFonts w:ascii="Times New Roman" w:hAnsi="Times New Roman"/>
                <w:color w:val="000000"/>
                <w:sz w:val="22"/>
              </w:rPr>
              <w:t xml:space="preserve">Maximum” Number of Options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b/>
                <w:color w:val="000000"/>
                <w:sz w:val="22"/>
              </w:rPr>
            </w:pPr>
            <w:r>
              <w:rPr>
                <w:rFonts w:ascii="Times New Roman" w:hAnsi="Times New Roman"/>
                <w:b/>
                <w:color w:val="000000"/>
                <w:sz w:val="22"/>
              </w:rPr>
              <w:t>Exercise Price Per Share: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 xml:space="preserve">Type of Option: </w:t>
            </w:r>
            <w:r>
              <w:rPr>
                <w:rFonts w:ascii="Times New Roman" w:hAnsi="Times New Roman"/>
                <w:color w:val="000000"/>
                <w:sz w:val="22"/>
              </w:rPr>
              <w:t>Non-Qualified Stock Option</w:t>
            </w:r>
          </w:p>
          <w:p>
            <w:pPr>
              <w:pStyle w:val="TableContents"/>
              <w:pBdr/>
              <w:bidi w:val="0"/>
              <w:spacing w:before="0" w:after="283"/>
              <w:ind w:left="0" w:right="0" w:hanging="734"/>
              <w:jc w:val="left"/>
              <w:rPr/>
            </w:pPr>
            <w:r>
              <w:rPr/>
              <w:t> </w:t>
            </w:r>
          </w:p>
        </w:tc>
        <w:tc>
          <w:tcPr>
            <w:tcW w:w="1861" w:type="dxa"/>
            <w:tcBorders>
              <w:top w:val="single" w:sz="4" w:space="0" w:color="000000"/>
              <w:bottom w:val="single" w:sz="4" w:space="0" w:color="000000"/>
            </w:tcBorders>
            <w:tcMar>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pBdr/>
              <w:bidi w:val="0"/>
              <w:ind w:left="0" w:right="0" w:hanging="734"/>
              <w:jc w:val="left"/>
              <w:rPr/>
            </w:pPr>
            <w:r>
              <w:rPr/>
              <w:t>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Expiration Date: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spacing w:before="0" w:after="283"/>
              <w:ind w:left="0" w:right="0" w:hanging="734"/>
              <w:jc w:val="left"/>
              <w:rPr/>
            </w:pPr>
            <w:r>
              <w:rPr/>
              <w:t>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bottom w:val="single" w:sz="4" w:space="0" w:color="000000"/>
            </w:tcBorders>
            <w:shd w:fill="E6E6FA" w:val="clear"/>
            <w:tcMar>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color w:val="000000"/>
                <w:sz w:val="22"/>
              </w:rPr>
              <w:t>By signing where indicated above, you agree to be bound by the terms and conditions of this Performance Stock Option Award Agreement (the “</w:t>
            </w:r>
            <w:r>
              <w:rPr>
                <w:rFonts w:ascii="Times New Roman" w:hAnsi="Times New Roman"/>
                <w:b/>
                <w:i/>
                <w:color w:val="000000"/>
                <w:sz w:val="22"/>
              </w:rPr>
              <w:t>Agreement</w:t>
            </w:r>
            <w:r>
              <w:rPr>
                <w:rFonts w:ascii="Times New Roman" w:hAnsi="Times New Roman"/>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 You acknowledge that you have reviewed and fully understand all of the provisions of this Agreement and the Plan, and have had the opportunity to obtain advice of counsel prior to accepting the grant of Options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OPTION AWARD: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Option</w:t>
      </w:r>
      <w:r>
        <w:rPr>
          <w:rFonts w:ascii="Times New Roman" w:hAnsi="Times New Roman"/>
          <w:color w:val="000000"/>
          <w:sz w:val="22"/>
        </w:rPr>
        <w:t>.</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Grant of Option</w:t>
      </w:r>
      <w:r>
        <w:rPr>
          <w:rFonts w:ascii="Times New Roman" w:hAnsi="Times New Roman"/>
          <w:color w:val="000000"/>
          <w:sz w:val="22"/>
        </w:rPr>
        <w:t>. In consideration of your past and/or continued employment with or service to Viasat,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or a Subsidiary and for other good and valuable consideration, effective as of the Grant Date, the Company grants to you the Option to purchase any part or all of an aggregate of the number of shares of Common Stock set forth in this Agreement, and upon the terms and conditions set forth in the Plan and this Agreement. For the avoidance of doubt, the Option covers the “Maximum” Number of Options set forth in this Agreement, subject to the vesting and forfeiture provisions contained herein. The Option is a Non-Qualified Stock Option.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Exercise Price</w:t>
      </w:r>
      <w:r>
        <w:rPr>
          <w:rFonts w:ascii="Times New Roman" w:hAnsi="Times New Roman"/>
          <w:color w:val="000000"/>
          <w:sz w:val="22"/>
        </w:rPr>
        <w:t>. The exercise price of the shares of Common Stock subject to the Option shall be as set forth on the first page of this Agreement, without commission or other charge.</w:t>
        <w:br/>
        <w:br/>
        <w:t xml:space="preserve">2. </w:t>
      </w:r>
      <w:r>
        <w:rPr>
          <w:rFonts w:ascii="Times New Roman" w:hAnsi="Times New Roman"/>
          <w:color w:val="000000"/>
          <w:sz w:val="22"/>
          <w:u w:val="single"/>
        </w:rPr>
        <w:t>Vesting and Exercisability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Vesting and Exercisability</w:t>
      </w:r>
      <w:r>
        <w:rPr>
          <w:rFonts w:ascii="Times New Roman" w:hAnsi="Times New Roman"/>
          <w:color w:val="000000"/>
          <w:sz w:val="22"/>
        </w:rPr>
        <w:t xml:space="preserve">. Subject to Sections 2(b), and 8, the Option shall become vested and exercisable in such amounts and at such times as are set forth in </w:t>
      </w:r>
      <w:r>
        <w:rPr>
          <w:rFonts w:ascii="Times New Roman" w:hAnsi="Times New Roman"/>
          <w:color w:val="000000"/>
          <w:sz w:val="22"/>
          <w:u w:val="single"/>
        </w:rPr>
        <w:t>Exhibit 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Expiration of Option</w:t>
      </w:r>
      <w:r>
        <w:rPr>
          <w:rFonts w:ascii="Times New Roman" w:hAnsi="Times New Roman"/>
          <w:color w:val="000000"/>
          <w:sz w:val="22"/>
        </w:rPr>
        <w:t>. Subject to Section 10.3 of the Plan, the Option may not be exercised to any extent by anyone after the first to occur of the following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expiration of six years from the Grant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expiration of three months following the date of your Termination of Service (as defined below), unless such termination occurs by reason of your death, Permanent Disability (as defined below) or discharge for Cause (as defined below), or you die within said three-month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expiration of one year following the date of your Termination of Service if your termination is by reason of your death or Permanent Disability (as defined below) or you die within the three-month period following your Termination of Service;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of your Termination of Service as a result of your discharge for Cause.</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Agreement, “</w:t>
      </w:r>
      <w:r>
        <w:rPr>
          <w:rFonts w:ascii="Times New Roman" w:hAnsi="Times New Roman"/>
          <w:b/>
          <w:i/>
          <w:color w:val="000000"/>
          <w:sz w:val="22"/>
        </w:rPr>
        <w:t>Cause</w:t>
      </w:r>
      <w:r>
        <w:rPr>
          <w:rFonts w:ascii="Times New Roman" w:hAnsi="Times New Roman"/>
          <w:color w:val="000000"/>
          <w:sz w:val="22"/>
        </w:rPr>
        <w:t>,” unless otherwise defined in an employment, services, severance, change in control or other compensation agreement between you and the Company or any Subsidiary, shall mean your substantial failure to perform duties as an Employee, Director or consultant, dishonesty, fraud, gross negligence or misconduct against the Company or any Subsidiary or affiliate, unauthorized use or disclosure of confidential information or trade secrets of the Company or any Subsidiary or affiliate, or conviction of, or plea of nolo contendere to, a crime punishable by law (except misdemeanor violations), in each case as determined by the Committee, and its determination shall be final and binding.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Agreement, “</w:t>
      </w:r>
      <w:r>
        <w:rPr>
          <w:rFonts w:ascii="Times New Roman" w:hAnsi="Times New Roman"/>
          <w:b/>
          <w:i/>
          <w:color w:val="000000"/>
          <w:sz w:val="22"/>
        </w:rPr>
        <w:t>Termination of Service</w:t>
      </w:r>
      <w:r>
        <w:rPr>
          <w:rFonts w:ascii="Times New Roman" w:hAnsi="Times New Roman"/>
          <w:color w:val="000000"/>
          <w:sz w:val="20"/>
        </w:rPr>
        <w:t xml:space="preserve">” </w:t>
      </w:r>
      <w:r>
        <w:rPr>
          <w:rFonts w:ascii="Times New Roman" w:hAnsi="Times New Roman"/>
          <w:color w:val="000000"/>
          <w:sz w:val="22"/>
        </w:rPr>
        <w:t>means the last to occur of your Termination of Consultancy, Termination of Directorship or Termination of Employment, as applicable. You shall not be deemed to have a Termination of Service merely because of a change in the capacity in which you render service to the Company or any Subsidiary (i.e., you are an Employee and become a consultant) or a change in the entity for which you render such service (i.e., an Employee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becomes an Employee of a Subsidiary), unless following such change in capacity or service you are no longer serving as an Employee, Director or consultant of the Company or any Subsidiary.</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Agreement, “</w:t>
      </w:r>
      <w:r>
        <w:rPr>
          <w:rFonts w:ascii="Times New Roman" w:hAnsi="Times New Roman"/>
          <w:b/>
          <w:i/>
          <w:color w:val="000000"/>
          <w:sz w:val="22"/>
        </w:rPr>
        <w:t>Permanent Disability</w:t>
      </w:r>
      <w:r>
        <w:rPr>
          <w:rFonts w:ascii="Times New Roman" w:hAnsi="Times New Roman"/>
          <w:color w:val="000000"/>
          <w:sz w:val="20"/>
        </w:rPr>
        <w:t xml:space="preserve">” </w:t>
      </w:r>
      <w:r>
        <w:rPr>
          <w:rFonts w:ascii="Times New Roman" w:hAnsi="Times New Roman"/>
          <w:color w:val="000000"/>
          <w:sz w:val="22"/>
        </w:rPr>
        <w:t>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Exercise of Option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Partial Exercise</w:t>
      </w:r>
      <w:r>
        <w:rPr>
          <w:rFonts w:ascii="Times New Roman" w:hAnsi="Times New Roman"/>
          <w:color w:val="000000"/>
          <w:sz w:val="22"/>
        </w:rPr>
        <w:t xml:space="preserve">. Subject to Section 2(a), any vested and exercisable portion of the Option or the entire Option, if then wholly vested and exercisable, may be exercised in whole or in part at any time prior to the time when the Option or portion thereof becomes unexercisable under Section 2(b);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each partial exercise shall be for not less than one share of Common Stock and shall be for whole shares only.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Manner of Exercise</w:t>
      </w:r>
      <w:r>
        <w:rPr>
          <w:rFonts w:ascii="Times New Roman" w:hAnsi="Times New Roman"/>
          <w:color w:val="000000"/>
          <w:sz w:val="22"/>
        </w:rPr>
        <w:t>. The Option, or any exercisable portion thereof, may be exercised solely by delivery to the Secretary of the Company (or any third party administrator or other person or entity designated by the Company) of all of the following prior to the time when the Option or such portion thereof becomes unexercisable under Section 2(b):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 Exercise Notice signed or electronically accepted by you or any other person then entitled to exercise the Option or portion thereof, stating that the Option or portion thereof is thereby exercised, such notice in such form as is prescribed by the Committee and complying with all applicable rules established by the Committee;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Subject to Section 5.2(d) of the Plan, the receipt by the Company of full payment for the shares of Common Stock with respect to which the Option or portion thereof is exercised, which may be in one of the following forms of consideration: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By cash or check payable to the Company;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 the consent of the Committee, by delivery of shares of Common Stock then issuable upon exercise of the Option having a Fair Market Value on the date of delivery equal to the aggregate exercise price of the Option or exercised portion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With the consent of the Committee such payment may be made, in whole or in part, through the delivery of shares of Common Stock owned by you, duly endorsed for transfer to the Company with a Fair Market Value on the date of delivery equal to the aggregate exercise price of the Option or exercised portion thereof and held by you for such period of time (if any) as may be necessary to avoid adverse accounting consequences;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Through the delivery of a notice that you have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w:t>
      </w:r>
      <w:r>
        <w:rPr>
          <w:rFonts w:ascii="Times New Roman" w:hAnsi="Times New Roman"/>
          <w:i/>
          <w:color w:val="000000"/>
          <w:sz w:val="22"/>
        </w:rPr>
        <w:t xml:space="preserve">provided, </w:t>
      </w:r>
      <w:r>
        <w:rPr>
          <w:rFonts w:ascii="Times New Roman" w:hAnsi="Times New Roman"/>
          <w:color w:val="000000"/>
          <w:sz w:val="22"/>
        </w:rPr>
        <w:t>that payment of such proceeds is made to the Company upon settlement of such sale; or</w:t>
      </w:r>
    </w:p>
    <w:p>
      <w:pPr>
        <w:pStyle w:val="TextBody"/>
        <w:bidi w:val="0"/>
        <w:spacing w:before="0" w:after="240"/>
        <w:jc w:val="both"/>
        <w:rPr>
          <w:rFonts w:ascii="Times New Roman" w:hAnsi="Times New Roman"/>
          <w:sz w:val="20"/>
        </w:rPr>
      </w:pPr>
      <w:r>
        <w:rPr>
          <w:rFonts w:ascii="Times New Roman" w:hAnsi="Times New Roman"/>
          <w:color w:val="000000"/>
          <w:sz w:val="22"/>
        </w:rPr>
        <w:t>(E) With the consent of the Committee, through the delivery of property of any kind which constitutes good and valuable consideration;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Subject to any applicable laws, any combination of the consideration provided in the foregoing paragraphs (A) through (E);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receipt by the Company of payment of any applicable withholding tax, which may be in the form of consideration permitted under Section 3(b)(ii), subject to Section 3(d) below and Section 10.4 of the Plan;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In the event the Option or portion thereof shall be exercised by any person or persons other than you, appropriate proof of the right of such person or persons to exercise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of the foregoing, the Committee shall have the right to specify all conditions of the manner of exercise, which conditions may vary by country and which may be subject to change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Rights as Stockholder; Issuance of Shares</w:t>
      </w:r>
      <w:r>
        <w:rPr>
          <w:rFonts w:ascii="Times New Roman" w:hAnsi="Times New Roman"/>
          <w:color w:val="000000"/>
          <w:sz w:val="22"/>
        </w:rPr>
        <w:t>. Neither you nor any person claiming under or through you shall be, nor have any of the rights or privileges of, a stockholder of the Company in respect of any shares purchasable upon the exercise of any part of the Option unless and until certificates representing such shares have been issued by the Company or book entries evidencing such shares have been made by the Company. The issuance of shares of Common Stock pursuant to exercise of the Option is subject to the conditions set forth in Section 5.3 of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Tax Withholding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Option, the exercise of the Option and/or receipt of the shares of Common Stock upon exercise of the Option.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Company may refuse to honor the exercise of the Option and/or refuse to issue any Common Stock upon exercise of your Option to you until your tax withholding obligations are satisfied. To the maximum extent permitted by law, the Company has the right to retain without notice from shares issuable under this Agreement or from salary payable to you, shares or cash having a value sufficient to satisfy your tax withholding obligation.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Option Not Transferable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Option may not be sold, pledged, assigned or transferred in any manner other than by will or the laws of descent and distribution or pursuant to a QDRO, unless and until the shares underlying the Option have been issued, and all restrictions applicable to such shares have lapsed. Neither the Option nor any interest or right therein shall be liable for the debts, contracts or engagements of you or your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bankruptcy), and any attempted disposition thereof shall be null and void and of no effect, except to the extent that such disposition is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your lifetime, only you may exercise the Option or any portion thereof, unless it has been disposed of pursuant to a QDRO. After your death, any exercisable portion of the Option may, prior to the time when the Option becomes unexercisable under Section 2(b), be exercised by your personal representative or by any person empowered to do so under your will or under the then applicable laws of descent and distribution.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Restrictive Legends and Stop-Transfer Orders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Shares issued upon the exercise of the Option shall be issued to you, at the sole discretion of the Committee, in either (i) uncertificated form, with the shares recorded in your name in the books and records of the Company’s transfer agent with appropriate notations regarding any restrictions imposed pursuant to this Agreement, or (ii) certificate form. The share certificate or certificates or book entry evidencing the shares of Common Stock purchased hereunder shall be endorsed with any legends that may be required by state or federal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not be required: (i) to transfer on its books any shares of Common Stock that have been sold or otherwise transferred in violation of any of the provisions of this Agreement, or (ii) to treat as owner of such shares of Common Stock or to accord the right to vote or pay dividends to any purchaser or other transferee to whom such shares shall have been so transferred.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Secretary of the Company at the Company's principal executive office, and any notice to be given to you shall be addressed to you at the most recent address in the Company's payroll records. By a notice given pursuant to this Section 6, either party may hereafter designate a different address for notices to be given to that party. Any notice which is required to be given to you shall, if you are then deceased, be given to the person entitled to exercise the Option pursuant to Section 4(b) by written notice under this Section 6.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Conformity to Securities Laws</w:t>
      </w:r>
      <w:r>
        <w:rPr>
          <w:rFonts w:ascii="Times New Roman" w:hAnsi="Times New Roman"/>
          <w:color w:val="000000"/>
          <w:sz w:val="22"/>
        </w:rPr>
        <w:t>. You acknowledge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Amendments</w:t>
      </w:r>
      <w:r>
        <w:rPr>
          <w:rFonts w:ascii="Times New Roman" w:hAnsi="Times New Roman"/>
          <w:color w:val="000000"/>
          <w:sz w:val="22"/>
        </w:rPr>
        <w:t>. This Agreement may not be modified, amended or terminated except by a written instrument, signed or electronically accepted by you or such other person as may be permitted to exercise the Option pursuant to Section 4(b) and by a duly authorized representative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you and your heirs, executors, administrators,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or this Agreement, if you are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Entire Agreement</w:t>
      </w:r>
      <w:r>
        <w:rPr>
          <w:rFonts w:ascii="Times New Roman" w:hAnsi="Times New Roman"/>
          <w:color w:val="000000"/>
          <w:sz w:val="22"/>
        </w:rPr>
        <w:t>. The Plan and this Agreement constitute the entire agreement of the parties and supersede in their entirety all prior undertakings and agreements of the Company and you with respect to the subject matter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No Effect on Employment</w:t>
      </w:r>
      <w:r>
        <w:rPr>
          <w:rFonts w:ascii="Times New Roman" w:hAnsi="Times New Roman"/>
          <w:color w:val="000000"/>
          <w:sz w:val="22"/>
        </w:rPr>
        <w:t>. 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Plan Governs</w:t>
      </w:r>
      <w:r>
        <w:rPr>
          <w:rFonts w:ascii="Times New Roman" w:hAnsi="Times New Roman"/>
          <w:color w:val="000000"/>
          <w:sz w:val="22"/>
        </w:rPr>
        <w:t>. This Option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Options under the Plan is a one-time benefit and does not create any contractual or other right to receive an award of Options or benefits in lieu of Options in the future. Future awards of Options,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Governing Law and Venue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Option grant and the provisions of this Agreement are governed by, and subject to, the laws of the State of California, without regard to the conflict of law provisions, as provided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For purposes of any action, lawsuit or other proceedings brought to enforce this Agreement, relating to it, or arising from it, the parties hereby submit to and consent to the sole and exclusive jurisdiction of the courts of</w:t>
      </w:r>
      <w:r>
        <w:rPr>
          <w:rFonts w:ascii="Times New Roman" w:hAnsi="Times New Roman"/>
          <w:color w:val="000000"/>
          <w:sz w:val="20"/>
        </w:rPr>
        <w:t xml:space="preserve"> </w:t>
      </w:r>
      <w:r>
        <w:rPr>
          <w:rFonts w:ascii="Times New Roman" w:hAnsi="Times New Roman"/>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your participation in the Plan, on 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19. </w:t>
      </w:r>
      <w:r>
        <w:rPr>
          <w:rFonts w:ascii="Times New Roman" w:hAnsi="Times New Roman"/>
          <w:color w:val="000000"/>
          <w:sz w:val="22"/>
          <w:u w:val="single"/>
        </w:rPr>
        <w:t>Waiver</w:t>
      </w:r>
      <w:r>
        <w:rPr>
          <w:rFonts w:ascii="Times New Roman" w:hAnsi="Times New Roman"/>
          <w:color w:val="000000"/>
          <w:sz w:val="22"/>
        </w:rPr>
        <w:t>. You acknowledge that a waiver by the Company of breach of any provision of this Agreement shall not operate or be construed as a waiver of any other provision of this Agreement, or of any subsequent breach by you or any other Grantee.</w:t>
      </w:r>
    </w:p>
    <w:p>
      <w:pPr>
        <w:pStyle w:val="TextBody"/>
        <w:bidi w:val="0"/>
        <w:jc w:val="both"/>
        <w:rPr>
          <w:rFonts w:ascii="Times New Roman" w:hAnsi="Times New Roman"/>
          <w:sz w:val="20"/>
        </w:rPr>
      </w:pPr>
      <w:r>
        <w:rPr>
          <w:rFonts w:ascii="Times New Roman" w:hAnsi="Times New Roman"/>
          <w:color w:val="000000"/>
          <w:sz w:val="22"/>
        </w:rPr>
        <w:t xml:space="preserve">20. </w:t>
      </w:r>
      <w:r>
        <w:rPr>
          <w:rFonts w:ascii="Times New Roman" w:hAnsi="Times New Roman"/>
          <w:color w:val="000000"/>
          <w:sz w:val="22"/>
          <w:u w:val="single"/>
        </w:rPr>
        <w:t>Clawback Provisions</w:t>
      </w:r>
      <w:r>
        <w:rPr>
          <w:rFonts w:ascii="Times New Roman" w:hAnsi="Times New Roman"/>
          <w:color w:val="000000"/>
          <w:sz w:val="22"/>
        </w:rPr>
        <w:t>. This Option award (including, without limitation, any proceeds, gains or other economic benefit actually or constructively received by you upon receipt or exercise of this Option award or upon the receipt or resale of any shares of Common Stock underlying this Option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for you to resign for “good reason” (or similar term) under this Option award or any other agreement with the Company or any affiliate.</w:t>
      </w:r>
    </w:p>
    <w:p>
      <w:pPr>
        <w:pStyle w:val="TextBody"/>
        <w:bidi w:val="0"/>
        <w:spacing w:before="0" w:after="24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vesting and EXERCISABILITY schedule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Capitalized terms used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not defined in Section 5 below shall have the meanings given them in the Agreement to which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Options Must Be Vested and Exercisable.</w:t>
      </w:r>
      <w:r>
        <w:rPr>
          <w:color w:val="000000"/>
        </w:rPr>
        <w:t xml:space="preserve"> </w:t>
      </w:r>
      <w:r>
        <w:rPr>
          <w:rFonts w:ascii="Times New Roman" w:hAnsi="Times New Roman"/>
          <w:color w:val="000000"/>
          <w:sz w:val="22"/>
        </w:rPr>
        <w:t>You shall be able to exercise your Options but only to the extent such Options have both (a) become Performance-Vested Options (as defined below) pursuant to the performance vesting in Section 3, and (b) Time-Vested Options (as defined below) pursuant to the time-based vesting in Section 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Time-Based Vesting</w:t>
      </w:r>
      <w:r>
        <w:rPr>
          <w:rFonts w:ascii="Times New Roman" w:hAnsi="Times New Roman"/>
          <w:color w:val="000000"/>
          <w:sz w:val="22"/>
        </w:rPr>
        <w:t>. Subject to the conditions and limitations on exercisability of the Option award set forth in Section 3 below, such percentage of the Performance-Vested Options shall also be considered “</w:t>
      </w:r>
      <w:r>
        <w:rPr>
          <w:rFonts w:ascii="Times New Roman" w:hAnsi="Times New Roman"/>
          <w:b/>
          <w:i/>
          <w:color w:val="000000"/>
          <w:sz w:val="22"/>
        </w:rPr>
        <w:t>Time-Vested Options</w:t>
      </w:r>
      <w:r>
        <w:rPr>
          <w:color w:val="000000"/>
        </w:rPr>
        <w:t xml:space="preserve">” </w:t>
      </w:r>
      <w:r>
        <w:rPr>
          <w:rFonts w:ascii="Times New Roman" w:hAnsi="Times New Roman"/>
          <w:color w:val="000000"/>
          <w:sz w:val="22"/>
        </w:rPr>
        <w:t>as is determined pursuant to this Section 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Time-Based Vesting</w:t>
      </w:r>
      <w:r>
        <w:rPr>
          <w:rFonts w:ascii="Times New Roman" w:hAnsi="Times New Roman"/>
          <w:color w:val="000000"/>
          <w:sz w:val="22"/>
        </w:rPr>
        <w:t>. Subject to clauses 2(b) and 2(c) below, one-third (1/3</w:t>
      </w:r>
      <w:r>
        <w:rPr>
          <w:rFonts w:ascii="Times New Roman" w:hAnsi="Times New Roman"/>
          <w:color w:val="000000"/>
          <w:sz w:val="15"/>
        </w:rPr>
        <w:t>rd</w:t>
      </w:r>
      <w:r>
        <w:rPr>
          <w:rFonts w:ascii="Times New Roman" w:hAnsi="Times New Roman"/>
          <w:color w:val="000000"/>
          <w:sz w:val="22"/>
        </w:rPr>
        <w:t>) of those Options that become Performance-Vested Options, if any, shall become Time-Vested Options on each of the first three anniversaries of the Grant Date (each, an “</w:t>
      </w:r>
      <w:r>
        <w:rPr>
          <w:rFonts w:ascii="Times New Roman" w:hAnsi="Times New Roman"/>
          <w:b/>
          <w:i/>
          <w:color w:val="000000"/>
          <w:sz w:val="22"/>
        </w:rPr>
        <w:t>Annual Vesting Date</w:t>
      </w:r>
      <w:r>
        <w:rPr>
          <w:color w:val="000000"/>
        </w:rPr>
        <w:t>”</w:t>
      </w:r>
      <w:r>
        <w:rPr>
          <w:rFonts w:ascii="Times New Roman" w:hAnsi="Times New Roman"/>
          <w:color w:val="000000"/>
          <w:sz w:val="22"/>
        </w:rPr>
        <w:t xml:space="preserve">), subject to your continued employment or service with the Company or a Subsidiary through each applicable Annual Vesting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in the event a Stock Price Hurdle is first achieved or exceeded on or after the first Annual Vesting Date but prior to the second and/or third Annual Vesting Dates, any Options that become Performance-Vested Options as a result of achieving or exceeding such Stock Price Hurdle that would have become Time-Vested Options under the foregoing vesting schedule prior to the date they become Performance-Vested Options will become Time-Vested Options on the first Annual Vesting Date following the date such Options first become Performance-Vested Options. For example, if the “Threshold” Stock Price Hurdle ($[____]) is achieved prior to the first Annual Vesting Date, a number of Options equal to seventy percent (70%) of the “Target” Number of Options will become Performance-Vested Options and will become Time-Vested Options in three (3) equal installments on each of the three Annual Vesting Dates. If, after the first Annual Vesting Date but prior to the second Annual Vesting Date, the “Target” Stock Price Hurdle is achieved ($[____]), an additional number of Options equal to thirty percent (30%) of the “Target” Number of Options will become Performance-Vested Options for a cumulative Performance-Vested Options percentage of one hundred percent (100%), an additional one-third of the Performance-Vested Options earned by achieving the “Threshold” Stock Price Hurdle ($[____]) will become Time-Vested Options on the second Annual Vesting Date, and two-thirds of the incremental Performance-Vested Options earned by achieving the “Target” Stock Price Hurdle ($[____]) will become Time-Vested Options on the second Annual Vesting Date, subject to your continued employment or service with the Company or a Subsidiary through such Annual Vesting Date.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Effect of Termination Due to Death or Permanent Disability</w:t>
      </w:r>
      <w:r>
        <w:rPr>
          <w:rFonts w:ascii="Times New Roman" w:hAnsi="Times New Roman"/>
          <w:color w:val="000000"/>
          <w:sz w:val="22"/>
        </w:rPr>
        <w:t xml:space="preserve">. Notwithstanding Section </w:t>
      </w:r>
      <w:r>
        <w:rPr>
          <w:rFonts w:ascii="Times New Roman" w:hAnsi="Times New Roman"/>
          <w:caps/>
          <w:color w:val="000000"/>
          <w:sz w:val="22"/>
        </w:rPr>
        <w:t>2</w:t>
      </w:r>
      <w:r>
        <w:rPr>
          <w:rFonts w:ascii="Times New Roman" w:hAnsi="Times New Roman"/>
          <w:color w:val="000000"/>
          <w:sz w:val="22"/>
        </w:rPr>
        <w:t>(a) above, in the event of your Termination of Service as a result of your death or Permanent Disability, one hundred percent (100%) of the Options that are Performance-Vested Options (calculated as of the Annual Vesting Date immediately preceding the date of your Termination of Service or, if such Termination of Service occurs following a Change in Control, as of the date of such Change in Control), if any, shall become Time-Vested Options and shall be vested and exercisable on the date of your Termination of Service.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Effect of Other Terminations</w:t>
      </w:r>
      <w:r>
        <w:rPr>
          <w:rFonts w:ascii="Times New Roman" w:hAnsi="Times New Roman"/>
          <w:color w:val="000000"/>
          <w:sz w:val="22"/>
        </w:rPr>
        <w:t xml:space="preserve">. Notwithstanding Section </w:t>
      </w:r>
      <w:r>
        <w:rPr>
          <w:rFonts w:ascii="Times New Roman" w:hAnsi="Times New Roman"/>
          <w:caps/>
          <w:color w:val="000000"/>
          <w:sz w:val="22"/>
        </w:rPr>
        <w:t>2</w:t>
      </w:r>
      <w:r>
        <w:rPr>
          <w:rFonts w:ascii="Times New Roman" w:hAnsi="Times New Roman"/>
          <w:color w:val="000000"/>
          <w:sz w:val="22"/>
        </w:rPr>
        <w:t>(a) above, in the event of your Termination of Service for any reason other than your death or Permanent Disability, such percentage of the Performance-Vested Options (calculated as of the Annual Vesting Date immediately preceding the date of your Termination of Service or, if such Termination of Service occurs following a Change in Control, as of the date of such Change in Control), if any, as were Time-Vested Options pursuant to this Section 2 as of the date of your Termination of Service shall be vested and exercisable on the date of your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Termination of Service and no additional Options shall become Time-Vested Options or Performance-Vested Options thereafter;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Option shall be subject to any accelerated vesting as may be provided in any employment, services, severance, change in control or other compensation agreement between you and the Company, which accelerated vesting shall increase only the percentage of Time-Vested Options (but not, for clarity, the percentage of Performance-Vested Options), if any, under this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to the extent any such agreement between you and the Company provides for accelerated vesting upon your termination without “cause” or resignation for “good reason” (each as defined in any such agreement), such accelerated vesting shall only apply to the extent</w:t>
      </w:r>
      <w:r>
        <w:rPr>
          <w:rFonts w:ascii="Times New Roman" w:hAnsi="Times New Roman"/>
          <w:color w:val="000000"/>
          <w:sz w:val="20"/>
        </w:rPr>
        <w:t xml:space="preserve"> </w:t>
      </w: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your termination without “cause” occurs on or after the Grant Date, or (ii) the circumstances giving rise to “good reason” first occur on or after the Grant Date</w:t>
      </w:r>
      <w:r>
        <w:rPr>
          <w:rFonts w:ascii="Times New Roman" w:hAnsi="Times New Roman"/>
          <w:i/>
          <w:color w:val="000000"/>
          <w:sz w:val="22"/>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i/>
          <w:color w:val="000000"/>
          <w:sz w:val="22"/>
        </w:rPr>
        <w:t>provided, further,</w:t>
      </w:r>
      <w:r>
        <w:rPr>
          <w:rFonts w:ascii="Times New Roman" w:hAnsi="Times New Roman"/>
          <w:color w:val="000000"/>
          <w:sz w:val="20"/>
        </w:rPr>
        <w:t xml:space="preserve"> </w:t>
      </w:r>
      <w:r>
        <w:rPr>
          <w:rFonts w:ascii="Times New Roman" w:hAnsi="Times New Roman"/>
          <w:color w:val="000000"/>
          <w:sz w:val="22"/>
        </w:rPr>
        <w:t>that,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shall only apply to the extent a “change in control” occurs on or after the Grant Date and will not apply to any “change in control” that occurred prior to the Grant Date (including, without limitation, the consummation of the transactions contemplated by that certain Share Purchase Agreement relating to Connect Topco Limited, between the Investor Sellers, the Management Sellers, the Optionholder Sellers, and the Company, dated November 8, 2021).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Performance Vesting</w:t>
      </w:r>
      <w:r>
        <w:rPr>
          <w:rFonts w:ascii="Times New Roman" w:hAnsi="Times New Roman"/>
          <w:color w:val="000000"/>
          <w:sz w:val="22"/>
        </w:rPr>
        <w:t>. Subject to the time-vesting provisions of Section 2 above and clauses (a), (b) and (c) below, the Option shall be eligible to become “</w:t>
      </w:r>
      <w:r>
        <w:rPr>
          <w:rFonts w:ascii="Times New Roman" w:hAnsi="Times New Roman"/>
          <w:b/>
          <w:i/>
          <w:color w:val="000000"/>
          <w:sz w:val="22"/>
        </w:rPr>
        <w:t>Performance-Vested Options</w:t>
      </w:r>
      <w:r>
        <w:rPr>
          <w:color w:val="000000"/>
        </w:rPr>
        <w:t xml:space="preserve">” </w:t>
      </w:r>
      <w:r>
        <w:rPr>
          <w:rFonts w:ascii="Times New Roman" w:hAnsi="Times New Roman"/>
          <w:color w:val="000000"/>
          <w:sz w:val="22"/>
        </w:rPr>
        <w:t>based on the Company’s Stock Price during the Performance Period as follows: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As of each Annual Vesting Date, if the Stock Price during the portion of the Performance Period through such Annual Vesting Date equals or exceeds a Stock Price Hurdle set forth in column (a) in the table below (each such hurdle, a “</w:t>
      </w:r>
      <w:r>
        <w:rPr>
          <w:rFonts w:ascii="Times New Roman" w:hAnsi="Times New Roman"/>
          <w:b/>
          <w:i/>
          <w:color w:val="000000"/>
          <w:sz w:val="22"/>
        </w:rPr>
        <w:t>Stock Price Hurdle</w:t>
      </w:r>
      <w:r>
        <w:rPr>
          <w:color w:val="000000"/>
        </w:rPr>
        <w:t>”</w:t>
      </w:r>
      <w:r>
        <w:rPr>
          <w:rFonts w:ascii="Times New Roman" w:hAnsi="Times New Roman"/>
          <w:color w:val="000000"/>
          <w:sz w:val="22"/>
        </w:rPr>
        <w:t>), such number of Options shall become Performance-Vested Options as of such Annual Vesting Date as is determined by multiplying (i) the Stock Price Achievement Percentage set forth opposite the highest Stock Price Hurdle achieved during such period under column (b) in the table below by (ii) the “Target” Number of Options. In no event will any portion of the Option become Performance-Vested Options unless and until the “Threshold” Stock Price Hurdle is achieved. Any portion of the Option that becomes Performance-Vested Options during the Performance Period shall only become exercisable to the extent such Performance-Vested Options also become Time-Vested Options. In the event of a change in capitalization or other adjustment event contemplated by Section 10.3 of the Plan, the Stock Price Hurdles shall be equitably adjusted.</w:t>
      </w:r>
    </w:p>
    <w:p>
      <w:pPr>
        <w:pStyle w:val="TextBody"/>
        <w:bidi w:val="0"/>
        <w:jc w:val="both"/>
        <w:rPr/>
      </w:pPr>
      <w:r>
        <w:rPr/>
        <w:t> </w:t>
      </w:r>
    </w:p>
    <w:tbl>
      <w:tblPr>
        <w:tblW w:w="7428" w:type="dxa"/>
        <w:jc w:val="left"/>
        <w:tblInd w:w="0" w:type="dxa"/>
        <w:tblLayout w:type="fixed"/>
        <w:tblCellMar>
          <w:top w:w="28" w:type="dxa"/>
          <w:left w:w="28" w:type="dxa"/>
          <w:bottom w:w="28" w:type="dxa"/>
          <w:right w:w="28" w:type="dxa"/>
        </w:tblCellMar>
      </w:tblPr>
      <w:tblGrid>
        <w:gridCol w:w="1726"/>
        <w:gridCol w:w="1966"/>
        <w:gridCol w:w="3736"/>
      </w:tblGrid>
      <w:tr>
        <w:trPr/>
        <w:tc>
          <w:tcPr>
            <w:tcW w:w="172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Achievement</w:t>
            </w:r>
          </w:p>
        </w:tc>
        <w:tc>
          <w:tcPr>
            <w:tcW w:w="19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Stock Price Hurdle</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w:t>
            </w:r>
          </w:p>
        </w:tc>
        <w:tc>
          <w:tcPr>
            <w:tcW w:w="37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Stock Price Achievement Percentage</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Below Threshold</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Less than $[____]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Threshold</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Target</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Maximum</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250%</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event that the Stock Price is above the “Threshold” Stock Price Hurdle but falls between two Stock Price Hurdles, the number of Options that will be considered Performance-Vested Options will be determined by linear interpolation between performance levels.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 xml:space="preserve">(i) Notwithstanding anything to the contrary in this </w:t>
      </w:r>
      <w:r>
        <w:rPr>
          <w:rFonts w:ascii="Times New Roman" w:hAnsi="Times New Roman"/>
          <w:color w:val="000000"/>
          <w:sz w:val="22"/>
          <w:u w:val="single"/>
        </w:rPr>
        <w:t>Exhibit A</w:t>
      </w:r>
      <w:r>
        <w:rPr>
          <w:rFonts w:ascii="Times New Roman" w:hAnsi="Times New Roman"/>
          <w:color w:val="000000"/>
          <w:sz w:val="22"/>
        </w:rPr>
        <w:t xml:space="preserve">, the portion of the Option that are considered Performance-Vested Options as a result of achieving or exceeding any Stock Price Hurdle as of any Annual Vesting Date or upon a Change in Control shall be inclusive of (and shall </w:t>
      </w:r>
    </w:p>
    <w:p>
      <w:pPr>
        <w:pStyle w:val="TextBody"/>
        <w:bidi w:val="0"/>
        <w:jc w:val="center"/>
        <w:rPr>
          <w:rFonts w:ascii="Times New Roman" w:hAnsi="Times New Roman"/>
          <w:color w:val="000000"/>
          <w:sz w:val="24"/>
        </w:rPr>
      </w:pPr>
      <w:r>
        <w:rPr>
          <w:rFonts w:ascii="Times New Roman" w:hAnsi="Times New Roman"/>
          <w:color w:val="000000"/>
          <w:sz w:val="24"/>
        </w:rPr>
        <w:t>A-2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not duplicate) any portion of the Option that has previously become Performance-Vested Options on any prior Annual Vesting Date, such that in no event shall the number of Options that are considered Performance-Vested Options as of any Annual Vesting Date or upon a Change in Control exceed (i) the Stock Price Achievement Percentage determined in accordance with the table above as of such Annual Vesting Date as determined under Section 3(a) above (or as determined under Section 3(c) in the event of a Change in Control) multiplied by (ii) the “Target” Number of Options. For example, if the “Threshold” Stock Price Hurdle ($[____]) is achieved, a number of Options equal to seventy percent (70%) of the “Target” Number of Options will become Performance-Vested Options, and if the “Target” Stock Price Hurdle ($[____]) is later achieved, an additional number of Options equal to thirty percent (30%) of the “Target” Number of Options will become Performance-Vested Options, for a cumulative performance-vested percentage of one hundred percent (100%) at the time the “Target” Stock Price Hurdle is achieved.</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For the avoidance of doubt, (A) each Stock Price Hurdle (or any achievement level between Stock Price Hurdles) may be achieved only once during the Performance Period and (B) more than one Stock Price Hurdle (or any achievement level between Stock Price Hurdles) may be achieved on a particular date. For example, if the “Target” Stock Price Hurdle is achieved but the Stock Price drops below the “Target” Stock Price Hurdle ($[____]) and again exceeds the “Target” Stock Price Hurdle ($[____]) at a later date, no additional portion of the Option will become Performance-Vested Options because a number of Options equal to (i) one hundred percent (100%) multiplied by (ii) the “Target” Number of Options have already become Performance-Vested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(i) Notwithstanding Sections 3(a) and 3(b) above, in the event of a Change in Control on or after the Grant Date and prior to October 9, [insert grant year + 3], the number of Performance-Vested Options shall be determined as of immediately prior to such Change in Control and shall be determined by multiplying (A) the “Target” Number of Options subject to this Agreement by (B) the greater of (1) one hundred percent (100%) or (2) the Stock Price Achievement Percentage determined as of the date of the Change in Control based on the Stock Price on such date. In the event that the Stock Price achieved in connection with a Change in Control is above the “Target” Stock Price Hurdle but falls between the “Target” and “Maximum” Stock Price Hurdles, the “Stock Price Achievement Percentage” for purposes of the preceding sentence will be determined by linear interpolation between performance levels.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(ii) In the event of a Change in Control on or after the Grant Date but prior to the date on which all of the Performance-Vested Options have also become Time-Vested Options pursuant to Section </w:t>
      </w:r>
      <w:r>
        <w:rPr>
          <w:rFonts w:ascii="Times New Roman" w:hAnsi="Times New Roman"/>
          <w:caps/>
          <w:color w:val="000000"/>
          <w:sz w:val="22"/>
        </w:rPr>
        <w:t>2</w:t>
      </w:r>
      <w:r>
        <w:rPr>
          <w:rFonts w:ascii="Times New Roman" w:hAnsi="Times New Roman"/>
          <w:color w:val="000000"/>
          <w:sz w:val="20"/>
        </w:rPr>
        <w:t xml:space="preserve"> </w:t>
      </w:r>
      <w:r>
        <w:rPr>
          <w:rFonts w:ascii="Times New Roman" w:hAnsi="Times New Roman"/>
          <w:color w:val="000000"/>
          <w:sz w:val="22"/>
        </w:rPr>
        <w:t xml:space="preserve">above, you shall continue to be eligible to vest in such Performance-Vested Options pursuant to Section </w:t>
      </w:r>
      <w:r>
        <w:rPr>
          <w:rFonts w:ascii="Times New Roman" w:hAnsi="Times New Roman"/>
          <w:caps/>
          <w:color w:val="000000"/>
          <w:sz w:val="22"/>
        </w:rPr>
        <w:t>2</w:t>
      </w:r>
      <w:r>
        <w:rPr>
          <w:rFonts w:ascii="Times New Roman" w:hAnsi="Times New Roman"/>
          <w:color w:val="000000"/>
          <w:sz w:val="20"/>
        </w:rPr>
        <w:t xml:space="preserve"> </w:t>
      </w:r>
      <w:r>
        <w:rPr>
          <w:rFonts w:ascii="Times New Roman" w:hAnsi="Times New Roman"/>
          <w:color w:val="000000"/>
          <w:sz w:val="22"/>
        </w:rPr>
        <w:t>following the date of such Change in Control.</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80" w:after="283"/>
        <w:jc w:val="both"/>
        <w:rPr/>
      </w:pPr>
      <w:r>
        <w:rPr>
          <w:rFonts w:ascii="Times New Roman" w:hAnsi="Times New Roman"/>
          <w:color w:val="000000"/>
          <w:sz w:val="22"/>
          <w:u w:val="single"/>
        </w:rPr>
        <w:t>Forfeiture</w:t>
      </w:r>
      <w:r>
        <w:rPr>
          <w:rFonts w:ascii="Times New Roman" w:hAnsi="Times New Roman"/>
          <w:color w:val="000000"/>
          <w:sz w:val="22"/>
        </w:rPr>
        <w:t xml:space="preserve">. Any portion of this Option award and any Options which do not become (or are no longer eligible to become) Time-Vested Options and/or Performance-Vested Options as a result of your Termination of Service prior to the third anniversary of the Grant Date or as a result of less than the “Maximum” Number of Options subject to this Option award becoming Performance-Vested Options during the Performance Period shall automatically and without further action be cancelled and forfeited by you on the date of your Termination of Service or the end of the Performance Period, as applicable, and you shall have no further right or interest in or with respect to such portion of this Option award. In no event will more than the “Maximum” Number of Options subject to this Option award vest and become exercisable pursuant to this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180" w:after="283"/>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Definitions</w:t>
      </w:r>
      <w:r>
        <w:rPr>
          <w:rFonts w:ascii="Times New Roman" w:hAnsi="Times New Roman"/>
          <w:color w:val="000000"/>
          <w:sz w:val="22"/>
        </w:rPr>
        <w:t xml:space="preserve">. For purposes of this </w:t>
      </w:r>
      <w:r>
        <w:rPr>
          <w:rFonts w:ascii="Times New Roman" w:hAnsi="Times New Roman"/>
          <w:color w:val="000000"/>
          <w:sz w:val="22"/>
          <w:u w:val="single"/>
        </w:rPr>
        <w:t>Exhibit A</w:t>
      </w:r>
      <w:r>
        <w:rPr>
          <w:rFonts w:ascii="Times New Roman" w:hAnsi="Times New Roman"/>
          <w:color w:val="000000"/>
          <w:sz w:val="22"/>
        </w:rPr>
        <w:t>, the following terms shall have the meanings given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shall mean and include each of the following:</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two-thirds of the members of the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rFonts w:ascii="Times New Roman" w:hAnsi="Times New Roman"/>
          <w:color w:val="000000"/>
          <w:sz w:val="20"/>
        </w:rPr>
        <w:t>”</w:t>
      </w:r>
      <w:r>
        <w:rPr>
          <w:rFonts w:ascii="Times New Roman" w:hAnsi="Times New Roman"/>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person or group shall be treated for purposes of this Section 4(b)(iii)(B) as beneficially owning forty percent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 xml:space="preserve">means the period beginning on November 1, [insert grant year] and ending on the earlier to occur of (i) October 9, [insert grant year + 3], or (ii) the date of a Change in Control occurring after the Grant Date.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color w:val="000000"/>
        </w:rPr>
        <w:t>“</w:t>
      </w:r>
      <w:r>
        <w:rPr>
          <w:rFonts w:ascii="Times New Roman" w:hAnsi="Times New Roman"/>
          <w:b/>
          <w:i/>
          <w:color w:val="000000"/>
          <w:sz w:val="22"/>
        </w:rPr>
        <w:t>Stock Price</w:t>
      </w:r>
      <w:r>
        <w:rPr>
          <w:color w:val="000000"/>
        </w:rPr>
        <w:t xml:space="preserve">” </w:t>
      </w:r>
      <w:r>
        <w:rPr>
          <w:rFonts w:ascii="Times New Roman" w:hAnsi="Times New Roman"/>
          <w:color w:val="000000"/>
          <w:sz w:val="22"/>
        </w:rPr>
        <w:t xml:space="preserve">means, as of any given date, the forty-five (45) calendar day trailing average market closing price of the Company’s Common Stock ending on and including such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in the event of a Change in Control, the “</w:t>
      </w:r>
      <w:r>
        <w:rPr>
          <w:rFonts w:ascii="Times New Roman" w:hAnsi="Times New Roman"/>
          <w:b/>
          <w:i/>
          <w:color w:val="000000"/>
          <w:sz w:val="22"/>
        </w:rPr>
        <w:t>Stock Price</w:t>
      </w:r>
      <w:r>
        <w:rPr>
          <w:color w:val="000000"/>
        </w:rPr>
        <w:t xml:space="preserve">” </w:t>
      </w:r>
      <w:r>
        <w:rPr>
          <w:rFonts w:ascii="Times New Roman" w:hAnsi="Times New Roman"/>
          <w:color w:val="000000"/>
          <w:sz w:val="22"/>
        </w:rPr>
        <w:t xml:space="preserve">shall mean the price per share of </w:t>
      </w:r>
    </w:p>
    <w:p>
      <w:pPr>
        <w:pStyle w:val="TextBody"/>
        <w:bidi w:val="0"/>
        <w:jc w:val="center"/>
        <w:rPr>
          <w:rFonts w:ascii="Times New Roman" w:hAnsi="Times New Roman"/>
          <w:color w:val="000000"/>
          <w:sz w:val="24"/>
        </w:rPr>
      </w:pPr>
      <w:r>
        <w:rPr>
          <w:rFonts w:ascii="Times New Roman" w:hAnsi="Times New Roman"/>
          <w:color w:val="000000"/>
          <w:sz w:val="24"/>
        </w:rPr>
        <w:t>A-4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 xml:space="preserve">the Company’s Common Stock paid by the acquirer in the Change in Control transaction or, to the extent that the consideration in the Change in Control transaction is paid in stock of the acquirer or its affiliate, then Stock Price shall mean the value of the consideration paid per share of Common Stock based on the average of the closing trading prices of a share of such acquirer stock on the principal exchange on which such shares are then traded for each trading day during the five consecutive trading days ending on and including the date on which a Change in Control occurs, unless otherwise determined by the Committee in connection with valuing any shares that are not publicly traded;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for purposes of determining the Stock Price as a result of a Change in Control, the Stock Price in the event of a Change in Control shall be measured without regard to the forty-five (45) calendar day period described above.</w:t>
      </w:r>
      <w:r>
        <w:rPr>
          <w:color w:val="00000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8" w:name="vsat-ex31_1.htm"/>
      <w:bookmarkStart w:id="29" w:name="ksvsatex31_1"/>
      <w:bookmarkEnd w:id="28"/>
      <w:bookmarkEnd w:id="29"/>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2116"/>
        <w:gridCol w:w="146"/>
        <w:gridCol w:w="21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February 8, 2024</w:t>
            </w:r>
          </w:p>
        </w:tc>
        <w:tc>
          <w:tcPr>
            <w:tcW w:w="146" w:type="dxa"/>
            <w:tcBorders/>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smallCaps/>
                <w:color w:val="000000"/>
                <w:sz w:val="16"/>
              </w:rPr>
              <w:t>ARK</w:t>
            </w:r>
            <w:r>
              <w:rPr>
                <w:rFonts w:ascii="Times New Roman" w:hAnsi="Times New Roman"/>
                <w:smallCaps/>
                <w:color w:val="000000"/>
                <w:sz w:val="20"/>
              </w:rPr>
              <w:t> </w:t>
            </w:r>
            <w:r>
              <w:rPr>
                <w:rFonts w:ascii="Arial" w:hAnsi="Arial"/>
                <w:smallCaps/>
                <w:color w:val="000000"/>
                <w:sz w:val="20"/>
              </w:rPr>
              <w:t>Dankber</w:t>
            </w:r>
            <w:r>
              <w:rPr>
                <w:rFonts w:ascii="Arial" w:hAnsi="Arial"/>
                <w:smallCaps/>
                <w:color w:val="000000"/>
                <w:sz w:val="16"/>
              </w:rPr>
              <w:t>G</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vsat-ex31_2.htm"/>
      <w:bookmarkStart w:id="31" w:name="ksvsatex31_2"/>
      <w:bookmarkEnd w:id="30"/>
      <w:bookmarkEnd w:id="31"/>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Shawn Duffy,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116"/>
        <w:gridCol w:w="146"/>
        <w:gridCol w:w="208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February 8, 2024</w:t>
            </w:r>
          </w:p>
        </w:tc>
        <w:tc>
          <w:tcPr>
            <w:tcW w:w="146" w:type="dxa"/>
            <w:tcBorders/>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6"/>
              </w:rPr>
              <w:t>HAWN</w:t>
            </w:r>
            <w:r>
              <w:rPr>
                <w:rFonts w:ascii="Times New Roman" w:hAnsi="Times New Roman"/>
                <w:color w:val="000000"/>
                <w:sz w:val="20"/>
              </w:rPr>
              <w:t> </w:t>
            </w:r>
            <w:r>
              <w:rPr>
                <w:rFonts w:ascii="Arial" w:hAnsi="Arial"/>
                <w:color w:val="000000"/>
                <w:sz w:val="20"/>
              </w:rPr>
              <w:t>D</w:t>
            </w:r>
            <w:r>
              <w:rPr>
                <w:rFonts w:ascii="Arial" w:hAnsi="Arial"/>
                <w:color w:val="000000"/>
                <w:sz w:val="16"/>
              </w:rPr>
              <w:t>UFFY</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Shawn Duffy</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vsat-ex32_1.htm"/>
      <w:bookmarkStart w:id="33" w:name="ksvsatex32_1"/>
      <w:bookmarkEnd w:id="32"/>
      <w:bookmarkEnd w:id="33"/>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December 31, 2023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2116"/>
        <w:gridCol w:w="146"/>
        <w:gridCol w:w="21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February 8, 2024</w:t>
            </w:r>
          </w:p>
        </w:tc>
        <w:tc>
          <w:tcPr>
            <w:tcW w:w="146" w:type="dxa"/>
            <w:tcBorders/>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December 31, 2023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116"/>
        <w:gridCol w:w="146"/>
        <w:gridCol w:w="208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February 8, 2024</w:t>
            </w:r>
          </w:p>
        </w:tc>
        <w:tc>
          <w:tcPr>
            <w:tcW w:w="146" w:type="dxa"/>
            <w:tcBorders/>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6"/>
              </w:rPr>
              <w:t>HAWN</w:t>
            </w:r>
            <w:r>
              <w:rPr>
                <w:rFonts w:ascii="Times New Roman" w:hAnsi="Times New Roman"/>
                <w:color w:val="000000"/>
                <w:sz w:val="20"/>
              </w:rPr>
              <w:t> </w:t>
            </w:r>
            <w:r>
              <w:rPr>
                <w:rFonts w:ascii="Arial" w:hAnsi="Arial"/>
                <w:color w:val="000000"/>
                <w:sz w:val="20"/>
              </w:rPr>
              <w:t>D</w:t>
            </w:r>
            <w:r>
              <w:rPr>
                <w:rFonts w:ascii="Arial" w:hAnsi="Arial"/>
                <w:color w:val="000000"/>
                <w:sz w:val="16"/>
              </w:rPr>
              <w:t>UFFY</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Shawn Duffy</w:t>
            </w:r>
          </w:p>
        </w:tc>
      </w:tr>
      <w:tr>
        <w:trPr/>
        <w:tc>
          <w:tcPr>
            <w:tcW w:w="2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095017023062152/vsat-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48074</Words>
  <Characters>269097</Characters>
  <CharactersWithSpaces>319014</CharactersWithSpaces>
  <Paragraphs>8406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