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1, 2010.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34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2010"/>
              <w:spacing w:after="0"/>
              <w:rPr>
                <w:sz w:val="20"/>
                <w:szCs w:val="20"/>
                <w:color w:val="auto"/>
              </w:rPr>
            </w:pPr>
            <w:r>
              <w:rPr>
                <w:rFonts w:ascii="Arial" w:cs="Arial" w:eastAsia="Arial" w:hAnsi="Arial"/>
                <w:sz w:val="18"/>
                <w:szCs w:val="18"/>
                <w:b w:val="1"/>
                <w:bCs w:val="1"/>
                <w:color w:val="auto"/>
                <w:w w:val="91"/>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200" w:firstLine="225"/>
        <w:spacing w:after="0" w:line="33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sectPr>
      </w:pPr>
    </w:p>
    <w:p>
      <w:pPr>
        <w:spacing w:after="0" w:line="1" w:lineRule="exact"/>
        <w:rPr>
          <w:sz w:val="20"/>
          <w:szCs w:val="20"/>
          <w:color w:val="auto"/>
        </w:rPr>
      </w:pPr>
    </w:p>
    <w:p>
      <w:pPr>
        <w:ind w:left="2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220" w:space="720"/>
            <w:col w:w="1380" w:space="720"/>
            <w:col w:w="3340" w:space="720"/>
            <w:col w:w="2300"/>
          </w:cols>
          <w:pgMar w:left="240" w:top="122" w:right="259" w:bottom="1440" w:gutter="0" w:footer="0" w:header="0"/>
          <w:type w:val="continuous"/>
        </w:sect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number of shares outstanding of the registrant’s common stock, $0.0001 par value, as of February 5, 2010 was 36,316,906.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9"/>
              </w:rPr>
              <w:t>VIASAT, INC.</w:t>
            </w: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w w:val="98"/>
              </w:rPr>
              <w:t>TABLE OF CONTENTS</w:t>
            </w: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960" w:type="dxa"/>
            <w:vAlign w:val="bottom"/>
            <w:gridSpan w:val="9"/>
            <w:vMerge w:val="restart"/>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0"/>
            <w:vMerge w:val="continue"/>
          </w:tcPr>
          <w:p>
            <w:pPr>
              <w:spacing w:after="0"/>
              <w:rPr>
                <w:sz w:val="14"/>
                <w:szCs w:val="14"/>
                <w:color w:val="auto"/>
              </w:rPr>
            </w:pPr>
          </w:p>
        </w:tc>
        <w:tc>
          <w:tcPr>
            <w:tcW w:w="5960" w:type="dxa"/>
            <w:vAlign w:val="bottom"/>
            <w:gridSpan w:val="9"/>
            <w:vMerge w:val="continue"/>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tcPr>
          <w:p>
            <w:pPr>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0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160" w:type="dxa"/>
            <w:vAlign w:val="bottom"/>
            <w:gridSpan w:val="7"/>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3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Stockholders’ Equity and Comprehensive Income</w:t>
              </w:r>
            </w:hyperlink>
          </w:p>
        </w:tc>
        <w:tc>
          <w:tcPr>
            <w:tcW w:w="2440" w:type="dxa"/>
            <w:vAlign w:val="bottom"/>
            <w:gridSpan w:val="2"/>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4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020" w:type="dxa"/>
            <w:vAlign w:val="bottom"/>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Item 4.</w:t>
              </w:r>
            </w:hyperlink>
          </w:p>
        </w:tc>
        <w:tc>
          <w:tcPr>
            <w:tcW w:w="180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Controls and Procedures</w:t>
              </w:r>
            </w:hyperlink>
          </w:p>
        </w:tc>
        <w:tc>
          <w:tcPr>
            <w:tcW w:w="6700" w:type="dxa"/>
            <w:vAlign w:val="bottom"/>
            <w:gridSpan w:val="12"/>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OTHER INFORMATION</w:t>
              </w:r>
            </w:hyperlink>
          </w:p>
        </w:tc>
        <w:tc>
          <w:tcPr>
            <w:tcW w:w="6260" w:type="dxa"/>
            <w:vAlign w:val="bottom"/>
            <w:gridSpan w:val="11"/>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Item 1.</w:t>
              </w:r>
            </w:hyperlink>
          </w:p>
        </w:tc>
        <w:tc>
          <w:tcPr>
            <w:tcW w:w="136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Legal Proceedings</w:t>
              </w:r>
            </w:hyperlink>
          </w:p>
        </w:tc>
        <w:tc>
          <w:tcPr>
            <w:tcW w:w="7140" w:type="dxa"/>
            <w:vAlign w:val="bottom"/>
            <w:gridSpan w:val="13"/>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Item 1A. Risk Factors</w:t>
              </w:r>
            </w:hyperlink>
          </w:p>
        </w:tc>
        <w:tc>
          <w:tcPr>
            <w:tcW w:w="7440" w:type="dxa"/>
            <w:vAlign w:val="bottom"/>
            <w:gridSpan w:val="14"/>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Item 2.</w:t>
              </w:r>
            </w:hyperlink>
          </w:p>
        </w:tc>
        <w:tc>
          <w:tcPr>
            <w:tcW w:w="43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Unregistered Sales of Equity Securities and Use of Proceeds</w:t>
              </w:r>
            </w:hyperlink>
          </w:p>
        </w:tc>
        <w:tc>
          <w:tcPr>
            <w:tcW w:w="4120" w:type="dxa"/>
            <w:vAlign w:val="bottom"/>
            <w:gridSpan w:val="4"/>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Item 6.</w:t>
              </w:r>
            </w:hyperlink>
          </w:p>
        </w:tc>
        <w:tc>
          <w:tcPr>
            <w:tcW w:w="8500" w:type="dxa"/>
            <w:vAlign w:val="bottom"/>
            <w:gridSpan w:val="17"/>
          </w:tcPr>
          <w:p>
            <w:pPr>
              <w:ind w:left="20"/>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1">
              <w:r>
                <w:rPr>
                  <w:rFonts w:ascii="Arial" w:cs="Arial" w:eastAsia="Arial" w:hAnsi="Arial"/>
                  <w:sz w:val="18"/>
                  <w:szCs w:val="18"/>
                  <w:color w:val="0000EE"/>
                  <w:w w:val="85"/>
                </w:rPr>
                <w:t>Signatures</w:t>
              </w:r>
            </w:hyperlink>
          </w:p>
        </w:tc>
        <w:tc>
          <w:tcPr>
            <w:tcW w:w="180" w:type="dxa"/>
            <w:vAlign w:val="bottom"/>
            <w:tcBorders>
              <w:top w:val="single" w:sz="8" w:color="0000EE"/>
            </w:tcBorders>
          </w:tcPr>
          <w:p>
            <w:pPr>
              <w:spacing w:after="0"/>
              <w:rPr>
                <w:sz w:val="17"/>
                <w:szCs w:val="17"/>
                <w:color w:val="auto"/>
              </w:rPr>
            </w:pPr>
          </w:p>
        </w:tc>
        <w:tc>
          <w:tcPr>
            <w:tcW w:w="7880" w:type="dxa"/>
            <w:vAlign w:val="bottom"/>
            <w:gridSpan w:val="15"/>
          </w:tcPr>
          <w:p>
            <w:pPr>
              <w:spacing w:after="0"/>
              <w:rPr>
                <w:sz w:val="17"/>
                <w:szCs w:val="17"/>
                <w:color w:val="auto"/>
              </w:rPr>
            </w:pPr>
          </w:p>
        </w:tc>
        <w:tc>
          <w:tcPr>
            <w:tcW w:w="2380" w:type="dxa"/>
            <w:vAlign w:val="bottom"/>
            <w:gridSpan w:val="2"/>
          </w:tcPr>
          <w:p>
            <w:pPr>
              <w:ind w:left="20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rPr>
              <w:t>January 1, 2010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2,148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185,601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80,173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38,218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21,532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394,788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338,824</w:t>
            </w: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Property, equipment and satellites, net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612,331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93,957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74,062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78,893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1,254,031</w:t>
            </w:r>
          </w:p>
        </w:tc>
        <w:tc>
          <w:tcPr>
            <w:tcW w:w="360" w:type="dxa"/>
            <w:vAlign w:val="bottom"/>
          </w:tcPr>
          <w:p>
            <w:pPr>
              <w:spacing w:after="0"/>
              <w:rPr>
                <w:sz w:val="24"/>
                <w:szCs w:val="24"/>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20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67,022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100,221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167,243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135,434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Line of credit</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140,000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271,677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31,251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610,171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160,152</w:t>
            </w:r>
          </w:p>
        </w:tc>
        <w:tc>
          <w:tcPr>
            <w:tcW w:w="0" w:type="dxa"/>
            <w:vAlign w:val="bottom"/>
          </w:tcPr>
          <w:p>
            <w:pPr>
              <w:spacing w:after="0"/>
              <w:rPr>
                <w:sz w:val="1"/>
                <w:szCs w:val="1"/>
                <w:color w:val="auto"/>
              </w:rPr>
            </w:pPr>
          </w:p>
        </w:tc>
      </w:tr>
      <w:tr>
        <w:trPr>
          <w:trHeight w:val="439"/>
        </w:trPr>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435,375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208,161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Common stock held in treasury</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8"/>
                <w:szCs w:val="18"/>
                <w:color w:val="auto"/>
              </w:rPr>
              <w:t>(3,998)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ViaSat, Inc. stockholders’ equity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640,061</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458,748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3,799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288"/>
              <w:spacing w:after="0"/>
              <w:rPr>
                <w:sz w:val="20"/>
                <w:szCs w:val="20"/>
                <w:color w:val="auto"/>
              </w:rPr>
            </w:pPr>
            <w:r>
              <w:rPr>
                <w:rFonts w:ascii="Arial" w:cs="Arial" w:eastAsia="Arial" w:hAnsi="Arial"/>
                <w:sz w:val="18"/>
                <w:szCs w:val="18"/>
                <w:color w:val="auto"/>
              </w:rPr>
              <w:t>643,860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462,790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1,254,031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3060"/>
              <w:spacing w:after="0"/>
              <w:rPr>
                <w:sz w:val="20"/>
                <w:szCs w:val="20"/>
                <w:color w:val="auto"/>
              </w:rPr>
            </w:pPr>
            <w:r>
              <w:rPr>
                <w:rFonts w:ascii="Arial" w:cs="Arial" w:eastAsia="Arial" w:hAnsi="Arial"/>
                <w:sz w:val="18"/>
                <w:szCs w:val="18"/>
                <w:color w:val="auto"/>
                <w:w w:val="93"/>
              </w:rPr>
              <w:t>See accompanying notes to condensed consolidated financial statements.</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116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60" w:type="dxa"/>
            <w:vAlign w:val="bottom"/>
            <w:gridSpan w:val="3"/>
          </w:tcPr>
          <w:p>
            <w:pPr>
              <w:ind w:left="440"/>
              <w:spacing w:after="0"/>
              <w:rPr>
                <w:sz w:val="20"/>
                <w:szCs w:val="20"/>
                <w:color w:val="auto"/>
              </w:rPr>
            </w:pPr>
            <w:r>
              <w:rPr>
                <w:rFonts w:ascii="Arial" w:cs="Arial" w:eastAsia="Arial" w:hAnsi="Arial"/>
                <w:sz w:val="14"/>
                <w:szCs w:val="14"/>
                <w:b w:val="1"/>
                <w:bCs w:val="1"/>
                <w:color w:val="auto"/>
                <w:w w:val="92"/>
              </w:rPr>
              <w:t>Nine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1, 2010</w:t>
            </w:r>
          </w:p>
        </w:tc>
        <w:tc>
          <w:tcPr>
            <w:tcW w:w="5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600" w:type="dxa"/>
            <w:vAlign w:val="bottom"/>
          </w:tcPr>
          <w:p>
            <w:pPr>
              <w:spacing w:after="0"/>
              <w:rPr>
                <w:sz w:val="12"/>
                <w:szCs w:val="12"/>
                <w:color w:val="auto"/>
              </w:rPr>
            </w:pPr>
          </w:p>
        </w:tc>
        <w:tc>
          <w:tcPr>
            <w:tcW w:w="1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560" w:type="dxa"/>
            <w:vAlign w:val="bottom"/>
            <w:gridSpan w:val="3"/>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except per share data)</w:t>
            </w:r>
          </w:p>
        </w:tc>
        <w:tc>
          <w:tcPr>
            <w:tcW w:w="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137,146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141,157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437,889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436,972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19,218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9,205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37,549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25,631</w:t>
            </w:r>
          </w:p>
        </w:tc>
        <w:tc>
          <w:tcPr>
            <w:tcW w:w="0" w:type="dxa"/>
            <w:vAlign w:val="bottom"/>
          </w:tcPr>
          <w:p>
            <w:pPr>
              <w:spacing w:after="0"/>
              <w:rPr>
                <w:sz w:val="1"/>
                <w:szCs w:val="1"/>
                <w:color w:val="auto"/>
              </w:rPr>
            </w:pPr>
          </w:p>
        </w:tc>
      </w:tr>
      <w:tr>
        <w:trPr>
          <w:trHeight w:val="224"/>
        </w:trPr>
        <w:tc>
          <w:tcPr>
            <w:tcW w:w="56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156,364</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150,362</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475,438</w:t>
            </w: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462,603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98,708</w:t>
            </w:r>
          </w:p>
        </w:tc>
        <w:tc>
          <w:tcPr>
            <w:tcW w:w="12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100,786</w:t>
            </w: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309,105</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11,613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4,743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24,585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34,416</w:t>
            </w:r>
          </w:p>
        </w:tc>
        <w:tc>
          <w:tcPr>
            <w:tcW w:w="12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23,952</w:t>
            </w: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90,259</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7,864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6,985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21,559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2,337</w:t>
            </w: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4,768</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11,559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25,162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18"/>
                <w:szCs w:val="18"/>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(2,530)</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11,540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23,212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914</w:t>
            </w: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2,765</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10,626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20,447</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Less: Net (loss) income attributable to the noncontrolling interest, net</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 tax</w:t>
            </w:r>
          </w:p>
        </w:tc>
        <w:tc>
          <w:tcPr>
            <w:tcW w:w="24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20,690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26,215</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ViaSat, Inc.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per share attributable to ViaSat, Inc. common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Shares used in computing basic net income per share</w:t>
            </w:r>
          </w:p>
        </w:tc>
        <w:tc>
          <w:tcPr>
            <w:tcW w:w="24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32,777</w:t>
            </w:r>
          </w:p>
        </w:tc>
        <w:tc>
          <w:tcPr>
            <w:tcW w:w="120" w:type="dxa"/>
            <w:vAlign w:val="bottom"/>
          </w:tcPr>
          <w:p>
            <w:pPr>
              <w:spacing w:after="0"/>
              <w:rPr>
                <w:sz w:val="24"/>
                <w:szCs w:val="24"/>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30,836</w:t>
            </w:r>
          </w:p>
        </w:tc>
        <w:tc>
          <w:tcPr>
            <w:tcW w:w="24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31,863</w:t>
            </w:r>
          </w:p>
        </w:tc>
        <w:tc>
          <w:tcPr>
            <w:tcW w:w="3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34,725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31,699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33,591</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351"/>
              <w:spacing w:after="0"/>
              <w:rPr>
                <w:sz w:val="20"/>
                <w:szCs w:val="20"/>
                <w:color w:val="auto"/>
              </w:rPr>
            </w:pPr>
            <w:r>
              <w:rPr>
                <w:rFonts w:ascii="Arial" w:cs="Arial" w:eastAsia="Arial" w:hAnsi="Arial"/>
                <w:sz w:val="14"/>
                <w:szCs w:val="14"/>
                <w:b w:val="1"/>
                <w:bCs w:val="1"/>
                <w:color w:val="auto"/>
                <w:w w:val="90"/>
              </w:rPr>
              <w:t>Nine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January 1, 2010</w:t>
            </w:r>
          </w:p>
        </w:tc>
        <w:tc>
          <w:tcPr>
            <w:tcW w:w="62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4"/>
          </w:tcPr>
          <w:p>
            <w:pPr>
              <w:jc w:val="center"/>
              <w:ind w:left="35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20,447</w:t>
            </w:r>
          </w:p>
        </w:tc>
        <w:tc>
          <w:tcPr>
            <w:tcW w:w="6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17,432</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(5,273)</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 expense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8,412</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Other non-cash adjustments</w:t>
            </w:r>
          </w:p>
        </w:tc>
        <w:tc>
          <w:tcPr>
            <w:tcW w:w="20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resulting from changes in operating assets and liabilities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(9,953)</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(6,580)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5,360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16,288</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(636)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57,863</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20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(85,429)</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(377,987)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Change in restricted cash, net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5,150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4"/>
                <w:szCs w:val="24"/>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(468,270)</w:t>
            </w:r>
          </w:p>
        </w:tc>
        <w:tc>
          <w:tcPr>
            <w:tcW w:w="3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 net of discount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271,582</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263,000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200" w:type="dxa"/>
            <w:vAlign w:val="bottom"/>
          </w:tcPr>
          <w:p>
            <w:pPr>
              <w:spacing w:after="0"/>
              <w:rPr>
                <w:sz w:val="18"/>
                <w:szCs w:val="18"/>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8"/>
                <w:szCs w:val="18"/>
                <w:color w:val="auto"/>
              </w:rPr>
              <w:t>(123,000)</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debt issuance costs</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(11,598)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14,764</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(2,297)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Payment on secured borrowing</w:t>
            </w:r>
          </w:p>
        </w:tc>
        <w:tc>
          <w:tcPr>
            <w:tcW w:w="20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stock of majority-owned subsidiary</w:t>
            </w: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1,104</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413,555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63,491</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125,176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67,116</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63,711</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131,888</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Issuance of stock in satisfaction of certain accrued employee compensation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5,090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license right obtained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ViaSat, Inc. Stockholders</w:t>
            </w: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gridSpan w:val="4"/>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Common Stock</w:t>
            </w:r>
          </w:p>
        </w:tc>
        <w:tc>
          <w:tcPr>
            <w:tcW w:w="9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w w:val="95"/>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 Treasury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0"/>
                <w:szCs w:val="10"/>
                <w:color w:val="auto"/>
              </w:rPr>
            </w:pPr>
          </w:p>
        </w:tc>
        <w:tc>
          <w:tcPr>
            <w:tcW w:w="8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9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12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0"/>
                <w:szCs w:val="10"/>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Shares Issued</w:t>
            </w:r>
          </w:p>
        </w:tc>
        <w:tc>
          <w:tcPr>
            <w:tcW w:w="7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continue"/>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3, 2009</w:t>
            </w:r>
          </w:p>
        </w:tc>
        <w:tc>
          <w:tcPr>
            <w:tcW w:w="98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31,114,086</w:t>
            </w:r>
          </w:p>
        </w:tc>
        <w:tc>
          <w:tcPr>
            <w:tcW w:w="28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w:t>
            </w:r>
          </w:p>
        </w:tc>
        <w:tc>
          <w:tcPr>
            <w:tcW w:w="96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$ 273,102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w w:val="94"/>
              </w:rPr>
              <w:t>187,471</w:t>
            </w: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(66,968)</w:t>
            </w:r>
          </w:p>
        </w:tc>
        <w:tc>
          <w:tcPr>
            <w:tcW w:w="7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w w:val="96"/>
              </w:rPr>
              <w:t>$ (1,701)</w:t>
            </w: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(127)</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4,042</w:t>
            </w:r>
          </w:p>
        </w:tc>
        <w:tc>
          <w:tcPr>
            <w:tcW w:w="96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$ 462,790</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617,224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11,114</w:t>
            </w: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11,114</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from exercise of</w:t>
            </w: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options and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release of restricted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unit (RSU) awards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2,067</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2,067</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line="130" w:lineRule="exact"/>
              <w:rPr>
                <w:sz w:val="20"/>
                <w:szCs w:val="20"/>
                <w:color w:val="auto"/>
              </w:rPr>
            </w:pPr>
            <w:r>
              <w:rPr>
                <w:rFonts w:ascii="Arial" w:cs="Arial" w:eastAsia="Arial" w:hAnsi="Arial"/>
                <w:sz w:val="14"/>
                <w:szCs w:val="14"/>
                <w:color w:val="auto"/>
              </w:rPr>
              <w:t>Issuance of stock under</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200"/>
              <w:spacing w:after="0" w:line="149" w:lineRule="exact"/>
              <w:rPr>
                <w:sz w:val="20"/>
                <w:szCs w:val="20"/>
                <w:color w:val="auto"/>
              </w:rPr>
            </w:pPr>
            <w:r>
              <w:rPr>
                <w:rFonts w:ascii="Arial" w:cs="Arial" w:eastAsia="Arial" w:hAnsi="Arial"/>
                <w:sz w:val="14"/>
                <w:szCs w:val="14"/>
                <w:color w:val="auto"/>
              </w:rPr>
              <w:t>Employee Stock</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Purchase Plan</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168,640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3,650</w:t>
            </w: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3,650</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8,412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8,412</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line="130" w:lineRule="exact"/>
              <w:rPr>
                <w:sz w:val="20"/>
                <w:szCs w:val="20"/>
                <w:color w:val="auto"/>
              </w:rPr>
            </w:pPr>
            <w:r>
              <w:rPr>
                <w:rFonts w:ascii="Arial" w:cs="Arial" w:eastAsia="Arial" w:hAnsi="Arial"/>
                <w:sz w:val="14"/>
                <w:szCs w:val="14"/>
                <w:color w:val="auto"/>
              </w:rPr>
              <w:t>Shares issued in settlement</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200"/>
              <w:spacing w:after="0" w:line="149" w:lineRule="exact"/>
              <w:rPr>
                <w:sz w:val="20"/>
                <w:szCs w:val="20"/>
                <w:color w:val="auto"/>
              </w:rPr>
            </w:pPr>
            <w:r>
              <w:rPr>
                <w:rFonts w:ascii="Arial" w:cs="Arial" w:eastAsia="Arial" w:hAnsi="Arial"/>
                <w:sz w:val="14"/>
                <w:szCs w:val="14"/>
                <w:color w:val="auto"/>
              </w:rPr>
              <w:t>of certain accrued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200"/>
              <w:spacing w:after="0" w:line="149" w:lineRule="exact"/>
              <w:rPr>
                <w:sz w:val="20"/>
                <w:szCs w:val="20"/>
                <w:color w:val="auto"/>
              </w:rPr>
            </w:pPr>
            <w:r>
              <w:rPr>
                <w:rFonts w:ascii="Arial" w:cs="Arial" w:eastAsia="Arial" w:hAnsi="Arial"/>
                <w:sz w:val="14"/>
                <w:szCs w:val="14"/>
                <w:color w:val="auto"/>
              </w:rPr>
              <w:t>employee compensation</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liabilities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192,894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5,090</w:t>
            </w: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5,090</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RSU awards vesting</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231,412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line="130" w:lineRule="exact"/>
              <w:rPr>
                <w:sz w:val="20"/>
                <w:szCs w:val="20"/>
                <w:color w:val="auto"/>
              </w:rPr>
            </w:pPr>
            <w:r>
              <w:rPr>
                <w:rFonts w:ascii="Arial" w:cs="Arial" w:eastAsia="Arial" w:hAnsi="Arial"/>
                <w:sz w:val="14"/>
                <w:szCs w:val="14"/>
                <w:color w:val="auto"/>
              </w:rPr>
              <w:t>Purchase of treasury shares</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200"/>
              <w:spacing w:after="0" w:line="149" w:lineRule="exact"/>
              <w:rPr>
                <w:sz w:val="20"/>
                <w:szCs w:val="20"/>
                <w:color w:val="auto"/>
              </w:rPr>
            </w:pPr>
            <w:r>
              <w:rPr>
                <w:rFonts w:ascii="Arial" w:cs="Arial" w:eastAsia="Arial" w:hAnsi="Arial"/>
                <w:sz w:val="14"/>
                <w:szCs w:val="14"/>
                <w:color w:val="auto"/>
              </w:rPr>
              <w:t>pursuant to vesting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certain RSU agreements</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(87,408)</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(2,297)</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color w:val="auto"/>
              </w:rPr>
              <w:t>(2,297)</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in connection</w:t>
            </w: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with acquisition of</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business, net of issuance</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costs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4,286,250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131,637</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131,638</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line="130" w:lineRule="exact"/>
              <w:rPr>
                <w:sz w:val="20"/>
                <w:szCs w:val="20"/>
                <w:color w:val="auto"/>
              </w:rPr>
            </w:pPr>
            <w:r>
              <w:rPr>
                <w:rFonts w:ascii="Arial" w:cs="Arial" w:eastAsia="Arial" w:hAnsi="Arial"/>
                <w:sz w:val="14"/>
                <w:szCs w:val="14"/>
                <w:color w:val="auto"/>
              </w:rPr>
              <w:t>Shares issued in connection</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200"/>
              <w:spacing w:after="0" w:line="149" w:lineRule="exact"/>
              <w:rPr>
                <w:sz w:val="20"/>
                <w:szCs w:val="20"/>
                <w:color w:val="auto"/>
              </w:rPr>
            </w:pPr>
            <w:r>
              <w:rPr>
                <w:rFonts w:ascii="Arial" w:cs="Arial" w:eastAsia="Arial" w:hAnsi="Arial"/>
                <w:sz w:val="14"/>
                <w:szCs w:val="14"/>
                <w:color w:val="auto"/>
              </w:rPr>
              <w:t>with license right</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obtained</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303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20,690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20,447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0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0" w:type="dxa"/>
            <w:vAlign w:val="bottom"/>
          </w:tcPr>
          <w:p>
            <w:pPr>
              <w:ind w:left="200"/>
              <w:spacing w:after="0"/>
              <w:rPr>
                <w:sz w:val="20"/>
                <w:szCs w:val="20"/>
                <w:color w:val="auto"/>
              </w:rPr>
            </w:pPr>
            <w:r>
              <w:rPr>
                <w:rFonts w:ascii="Arial" w:cs="Arial" w:eastAsia="Arial" w:hAnsi="Arial"/>
                <w:sz w:val="14"/>
                <w:szCs w:val="14"/>
                <w:color w:val="auto"/>
              </w:rPr>
              <w:t>translation, net of tax</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646</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8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1, 2010</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36,620,506</w:t>
            </w:r>
          </w:p>
        </w:tc>
        <w:tc>
          <w:tcPr>
            <w:tcW w:w="28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w:t>
            </w: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$ 435,375</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94"/>
              </w:rPr>
              <w:t>208,161</w:t>
            </w: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(154,376)</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6"/>
              </w:rPr>
              <w:t>$ (3,998)</w:t>
            </w:r>
          </w:p>
        </w:tc>
        <w:tc>
          <w:tcPr>
            <w:tcW w:w="180" w:type="dxa"/>
            <w:vAlign w:val="bottom"/>
            <w:vMerge w:val="restart"/>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519</w:t>
            </w:r>
          </w:p>
        </w:tc>
        <w:tc>
          <w:tcPr>
            <w:tcW w:w="26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3,799</w:t>
            </w:r>
          </w:p>
        </w:tc>
        <w:tc>
          <w:tcPr>
            <w:tcW w:w="96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$ 643,860</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accompanying condensed consolidated balance sheet at January 1, 2010, the condensed consolidated statements of operations for the three and nine months ended January 1, 2010 and January 2, 2009, the condensed consolidated statements of cash flows for the nine months ended January 1, 2010 and January 2, 2009, and the condensed consolidated statement of stockholders’ equity and comprehensive income for the nine months ended January 1, 2010 have been prepared by the management of ViaSat, Inc. (the Company), and have not been audited. These financial statements have been prepared on the same basis as the audited consolidated financial statements for the fiscal year ended April 3, 2009 and, in the opinion of management, include all adjustments (consisting only of normal recurring adjustments) necessary for a fair statement of the financial position, results of operations and cash flows for all periods presented. These financial statements should be read in conjunction with the financial statements and notes thereto for the fiscal year ended April 3, 2009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TrellisWare Technologies,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(TrellisWare), a majority-owned subsidiary of ViaSat. All significant intercompany amounts have been eliminated.</w:t>
      </w:r>
    </w:p>
    <w:p>
      <w:pPr>
        <w:spacing w:after="0" w:line="103"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Company’s fiscal year is the 52 or 53 weeks ending on the Friday closest to March 31 of the specified year. For example, references to fiscal year 2010 refer to the fiscal year ending on April 2, 2010. The Company’s quarters for fiscal year 2010 end on July 3, 2009, October 2, 2009, January 1, 2010 and April 2, 2010. This results in a 53 week fiscal year approximately every four to five years. Fiscal year 2010 is a 52 week year, compared with a 53 week year in fiscal year 2009. As a result of the shift in the fiscal calendar, the second quarter of fiscal year 2009 included an additional week. The Company does not believe that the extra week results in any material impact on its financial results.</w:t>
      </w:r>
    </w:p>
    <w:p>
      <w:pPr>
        <w:spacing w:after="0" w:line="80"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During the Company’s third quarter of fiscal year 2010, the Company completed the acquisition of WildBlue Holding, Inc., a privately held Delaware corporation (WildBlue) (see Note 11). The acquisition was accounted for as a purchase and accordingly, the condensed consolidated financial statements include the operating results of WildBlue from the date of acquisition.</w:t>
      </w:r>
    </w:p>
    <w:p>
      <w:pPr>
        <w:spacing w:after="0" w:line="73"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satellites, long-lived assets, income taxes and valuation allowance on deferred tax assets.</w:t>
      </w:r>
    </w:p>
    <w:p>
      <w:pPr>
        <w:spacing w:after="0" w:line="8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Financial Accounting Standards Board (FASB) has issued authoritative guidance on the Codification (Statements of Financial Accounting Standards (SFAS) No. 168 (SFAS 168), “FASB Accounting Standards Codification</w:t>
      </w:r>
      <w:r>
        <w:rPr>
          <w:rFonts w:ascii="Arial" w:cs="Arial" w:eastAsia="Arial" w:hAnsi="Arial"/>
          <w:sz w:val="14"/>
          <w:szCs w:val="14"/>
          <w:color w:val="auto"/>
        </w:rPr>
        <w:t>TM</w:t>
      </w:r>
      <w:r>
        <w:rPr>
          <w:rFonts w:ascii="Arial" w:cs="Arial" w:eastAsia="Arial" w:hAnsi="Arial"/>
          <w:sz w:val="17"/>
          <w:szCs w:val="17"/>
          <w:color w:val="auto"/>
        </w:rPr>
        <w:t xml:space="preserve"> and the Hierarchy of Generally Accepted Accounting Principles” / ASC 105). The authoritative guidance on the Codification (SFAS 168 / ASC 105) establishes the FASB Accounting Standards Codification</w:t>
      </w:r>
      <w:r>
        <w:rPr>
          <w:rFonts w:ascii="Arial" w:cs="Arial" w:eastAsia="Arial" w:hAnsi="Arial"/>
          <w:sz w:val="14"/>
          <w:szCs w:val="14"/>
          <w:color w:val="auto"/>
        </w:rPr>
        <w:t>TM</w:t>
      </w:r>
      <w:r>
        <w:rPr>
          <w:rFonts w:ascii="Arial" w:cs="Arial" w:eastAsia="Arial" w:hAnsi="Arial"/>
          <w:sz w:val="17"/>
          <w:szCs w:val="17"/>
          <w:color w:val="auto"/>
        </w:rPr>
        <w:t xml:space="preserve"> (Codification or ASC) as the single source of GAAP recognized by the FASB to be applied by nongovernmental entities. Rules and interpretive releases of the Securities and Exchange Commission (SEC) under authority of federal securities laws are also sources of authoritative GAAP for SEC registrants. The Codification supersedes all existing non-SEC accounting and reporting standards. All other non-grandfathered, non-SEC accounting literature not included in the Codification will become non-authoritative. Following the Codification, the FASB will not issue new standards in the form of Statements, FASB Staff Positions or Emerging Issues Task Force Abstracts. Instead, it will issue Accounting Standards Updates, which will serve to update the Codification, provide background information about the guidance and provide the basis for conclusions on the changes to the Codification. GAAP is not intended to be changed as a result of the FASB’s Codification project, but it will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change the way the guidance is organized and presented. As a result, these changes will have a significant impact on how companies reference GAAP in their financial statements and in their accounting policies for financial statements issued for interim and annual periods ending after September 15, 2009. The Company has implemented the Codification in this quarterly report, and has provided references to the Codification topics alongside references to the existing standards.</w:t>
      </w:r>
    </w:p>
    <w:p>
      <w:pPr>
        <w:spacing w:after="0" w:line="79"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On April 4, 2009, the beginning of the Company’s first quarter of fiscal year 2010, the Company adopted the authoritative guidance for noncontrolling interests (SFAS 160, “Noncontrolling Interests in Consolidated Financial Statements — an amendment of ARB No. 51” / ASC 810-10-65-1). The Company adopted the authoritative guidance for noncontrolling interests on a prospective basis, except for the presentation and disclosure requirements which were applied retrospectively for all periods presented. As a result, the Company reclassified to noncontrolling interest, a component of stockholders’ equity, which was previously reported as minority interest in consolidated subsidiary in the mezzanine section of the Company’s condensed consolidated balance sheets and reported as a separate caption within the Company’s condensed consolidated statements of operations, net income including noncontrolling interest, net income attributable to the noncontrolling interest, and net income attributable to ViaSat, Inc. In addition, the Company utilized net income including noncontrolling interest as the starting point on the Company’s condensed consolidated statements of cash flows in order to reconcile net income to net cash provided by operating activities, rather than beginning with net income, which was previously exclusive of the noncontrolling interest. These reclassifications had no effect on previously reported consolidated income from operations, net income attributable to ViaSat, Inc. or net cash provided by operating activities. Also, net income per share continues to be based on net income attributable to ViaSat, Inc.</w:t>
      </w:r>
    </w:p>
    <w:p>
      <w:pPr>
        <w:spacing w:after="0" w:line="65"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December 2007, the FASB issued authoritative guidance for business combinations (SFAS 141R, “Business Combinations” / ASC 805). The purpose of issuing the statement is to better represent the economic value of a business combination transaction. The changes effected with the authoritative guidance for business combinations from the previous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The authoritative guidance for business combinations became effective for the Company as of the beginning of fiscal year 2010. The guidance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The Company adopted this guidance in the first quarter of fiscal year 2010. In accordance with this guidance, the Company recognized $4.6 million and $7.1 million in transaction expenses related to the acquisition of WildBlue (see Note 11 for a discussion of the WildBlue acquisition) in its condensed consolidated statements of operations for the three and nine months ended January 1, 2010, respectively.</w:t>
      </w:r>
    </w:p>
    <w:p>
      <w:pPr>
        <w:spacing w:after="0" w:line="70"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Company has evaluated subsequent events through the time of filing this Form 10-Q with the SEC on February 10, 2010. See to Note 15 for a discussion of subsequent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As a result of the WildBlue acquisition, the Company acquired restricted cash used to collateralize certain letters of credit. In addition, certain of WildBlue’s employment agreements require the Company to restrict cash to fund severance obligations that would be triggered upon termination of certain WildBlue key employees. These amounts are deposited in accounts that restrict the use of such cash for purposes other than discharging the related obligations. As such, these amounts have been classified as restricted cash on the Company’s condensed consolidated balance sheets. Restricted cash is classified as noncurrent where the restriction expires in more than one year. The Company had $2.1 million of restricted cash classified as a current asset as of January 1, 2010, compared to no restricted cash as of April 3, 2009.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the Company’s satellite under construction are recorded at cost, net of accumulated depreciation. The Company generally computes depreciation using the straight-line method over the estimated useful lives of the assets ranging from two to eleven years. Leasehold improvements are capitalized and amortized using the straight-line method over the shorter of the lease term or the life of the improvement. Additions to property, equipment and satellites,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Satellite construction costs, including launch services and insurance, are generally procured under long-term contracts that provide for payments over the contract periods and are capitalized as incurred. In addition, interest expense is capitalized on the carrying value of the satellite during the construction period. With respect to ViaSat-1, the Company’s high-capacity satellite currently under construction, the Company capitalized $3.8 million and $5.0 million of interest expense during the three and nine months ended January 1, 2010, respectively. No interest expense was capitalized during the same periods last fiscal year.</w:t>
      </w:r>
    </w:p>
    <w:p>
      <w:pPr>
        <w:spacing w:after="0" w:line="80" w:lineRule="exact"/>
        <w:rPr>
          <w:sz w:val="20"/>
          <w:szCs w:val="20"/>
          <w:color w:val="auto"/>
        </w:rPr>
      </w:pPr>
    </w:p>
    <w:p>
      <w:pPr>
        <w:ind w:right="300" w:firstLine="215"/>
        <w:spacing w:after="0" w:line="302" w:lineRule="auto"/>
        <w:rPr>
          <w:sz w:val="20"/>
          <w:szCs w:val="20"/>
          <w:color w:val="auto"/>
        </w:rPr>
      </w:pPr>
      <w:r>
        <w:rPr>
          <w:rFonts w:ascii="Arial" w:cs="Arial" w:eastAsia="Arial" w:hAnsi="Arial"/>
          <w:sz w:val="16"/>
          <w:szCs w:val="16"/>
          <w:color w:val="auto"/>
        </w:rPr>
        <w:t>As a result of the acquisition of WildBlue on December 15, 2009 (see Note 11), the Company acquired the WildBlue-1 satellite (which was placed into service in March 2007) and an exclusive prepaid lifetime capital lease of Ka-band capacity on Telesat Canada’s Anik F2 satellite (which was placed into service in April 2005). The acquired assets also included the indoor and outdoor customer premise equipment (CPE) units leased to subscribers under WildBlue’s retail leasing program. The Company depreciates the cost of CPE and associated installation costs over its estimated useful life.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right="300" w:firstLine="222"/>
        <w:spacing w:after="0" w:line="291" w:lineRule="auto"/>
        <w:rPr>
          <w:sz w:val="20"/>
          <w:szCs w:val="20"/>
          <w:color w:val="auto"/>
        </w:rPr>
      </w:pPr>
      <w:r>
        <w:rPr>
          <w:rFonts w:ascii="Arial" w:cs="Arial" w:eastAsia="Arial" w:hAnsi="Arial"/>
          <w:sz w:val="16"/>
          <w:szCs w:val="16"/>
          <w:color w:val="auto"/>
        </w:rPr>
        <w:t>The Company capitalizes the costs of obtaining or acquiring patents, orbital slots and orbital licenses. Amortization of intangible assets that have finite lives is provided for by the straight-line method over the shorter of the legal or estimated economic life. The Company capitalized $3.0 million and</w:t>
      </w:r>
    </w:p>
    <w:p>
      <w:pPr>
        <w:ind w:right="40"/>
        <w:spacing w:after="0" w:line="252" w:lineRule="auto"/>
        <w:rPr>
          <w:sz w:val="20"/>
          <w:szCs w:val="20"/>
          <w:color w:val="auto"/>
        </w:rPr>
      </w:pPr>
      <w:r>
        <w:rPr>
          <w:rFonts w:ascii="Arial" w:cs="Arial" w:eastAsia="Arial" w:hAnsi="Arial"/>
          <w:sz w:val="18"/>
          <w:szCs w:val="18"/>
          <w:color w:val="auto"/>
        </w:rPr>
        <w:t>$1.8 million of costs related to patents, which are included in other assets as of January 1, 2010 and April 3, 2009, respectively. Accumulated amortization related to these patents was $0.2 million as of January 1, 2010 and April 3, 2009. Amortization expense related to these patents was less than $0.1 million for the three months ended January 1, 2010 and January 2, 2009, and less than $0.1 million for the nine months ended January 1, 2010 and January 2, 2009. The Company also capitalized $4.4 million and $2.6 million of costs in other assets as of January 1, 2010 and April 3, 2009, respectively, related to orbital slots and orbital licenses that have not yet been placed into service. If a patent, orbital slot or orbital license is rejected, abandoned or otherwise invalidated, the unamortized cost is expensed in that period. During the three and nine months ended January 1, 2010 and January 2, 2009, the Company did not write off any costs due to abandonment or impairment.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as the amounts are not materially different from the effective interest rate basis. During the three and nine months ended January 1, 2010, the Company paid and capitalized approximately $8.5 million and $11.3 million, respectively, in debt issuance costs related to the Company’s 8.875% Senior Notes due 2016 (the Notes) and additional debt issuance costs related to the Company’s revolving credit facility (the Credit Facility). During the three and nine months ended January 2, 2009, the Company paid and capitalized no material amounts in debt issuance costs related to the Credit Facility. Unamortized debt issuance costs short-term are recorded in prepaid expenses and other current assets and long-term in other assets in the condensed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not to exceed five years. The Company capitalized $2.3 million and $5.3 million of costs related to software developed for resale for the three and nine months ended January 1, 2010, respectively. The Company capitalized $0.2 million and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$0.4 million related to software development for resale for the three and nine months ended January 2, 2009, respectively. There was no amortization expense of software development costs for the three and nine months ended January 1, 2010. The amortization expense of software development costs was $0.1 million and $1.1 million for the three and nine months ended January 2, 2009,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balance on the Company’s self-insurance liability was $1.5 million and $1.4 million as of January 1, 2010 and April 3, 2009,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Occasionally, the Company enters into secured borrowing arrangements in connection with customer financing in order to provide additional sources of funding. As of January 1, 2010 and April 3, 2009, the Company had no secured borrowing arrangements with customers. In the first quarter of fiscal year 2009, the Company paid all obligations related to its secured borrowing, under which the Company pledged a note receivable from a customer to serve as collateral for the obligation under the borrowing arrangement, totaling $4.7 million plus accrued interest.</w:t>
      </w:r>
    </w:p>
    <w:p>
      <w:pPr>
        <w:spacing w:after="0" w:line="63"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During fiscal year 2008, due to the customer’s payment default under the note receivable, the Company wrote down the note receivable by approximately $5.3 million related to the principal and interest accrued to date. During the fourth quarter of fiscal year 2009, the Company entered into certain agreements with the note receivable insurance carrier providing the Company approximately $1.7 million in cash payments and recorded a current asset of approximately $1.7 million and a long-term asset of approximately $1.5 million as of April 3, 2009. Pursuant to these agreements, the Company received an additional cash payment of $1.3 million during the first nine months of fiscal year 2010 and as of January 1, 2010 recorded a current asset of approximately $1.1 million and a long-term asset of approximately $1.0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has agreed to indemnify, the Company could incur substantial legal costs and damages. A claim would be accrued when a loss is considered probable and the amount can be reasonably estimated. At January 1, 2010 and April 3, 2009, no such amounts were accrued.</w:t>
      </w:r>
    </w:p>
    <w:p>
      <w:pPr>
        <w:spacing w:after="0" w:line="7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Simultaneously with the execution of the merger agreement relating to the acquisition of WildBlue, the Company entered into an indemnification agreement dated September 30, 2009 with several of the former stockholders of WildBlue pursuant to which such former stockholders agreed to indemnify the Company for costs which result from, relate to or arise out of potential claims and liabilities under various WildBlue contracts, an existing appraisal action regarding WildBlue’s 2008 recapitalization, certain rights to acquire securities of WildBlue and a severance agreement. The Company determined the fair value of the indemnification agreement in accordance with the authoritative guidance for business combinations and has recorded a liability of $0.5 million in the condensed consolidated balance sheet as of January 1, 2010 as an element of accrued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 noncontrolling interest, previously referred to as minority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are reported in the condensed consolidated financial statements at the consolidated amounts, which include the amounts attributable to both the controlling and noncontrolling interest.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2008, the Company’s majority-owned subsidiary, TrellisWare, issued additional shares of preferred stock in which the Company invested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in order to retain a constant ownership interest. As a result of the transaction, TrellisWare also received $1.5 million in cash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 to its other principal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During the first nine months of fiscal year 2010 and during fiscal year 2009, the Company delivered 231,412 and 93,006 shares of common stock, respectively, based on the vesting terms of certain restricted stock unit agreements. In order for employees to satisfy minimum statutory employee tax withholding requirements related to the delivery of common stock underlying these restricted stock unit agreements, the Company repurchased 87,408 and 33,350 shares of common stock with a total value of $2.3 million and $0.7 million during the first nine months of fiscal year 2010 and during fiscal year 2009, respectively. Repurchased shares of common stock of 154,376 and 66,968 were held in treasury as of January 1, 2010 and April 3, 2009,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85"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During the three and nine months ended January 1, 2010, the Company did not settle any foreign exchange contracts; therefore, there were no realized gains or losses during the three and nine months ended January 1, 2010 related to derivative instruments. During the three months ended January 2, 2009, the Company did not settle any foreign exchange contracts; therefore, there were no realized gains or losses during the three months ended January 2, 2009 related to derivative instruments. During the nine months ended January 2, 2009, the Company settled certain foreign exchange contracts and in connection therewith recognized a loss of approximately $0.3 million, recorded in cost of revenues based on the nature of the underlying transactions. The Company had no foreign currency forward contracts outstanding as of January 1, 2010 or April 3,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Company records compensation expense associated with stock options, restricted stock unit awards and other stock-based compensation in accordance with the authoritative guidance for share-based payments (SFAS 123R, “Share-Based Payment” / ASC 718). The Company recognizes these compensation costs on a straight-line basis over the requisite service period of the award. The Company recognized $3.3 million and $8.4 million of stock-based compensation expense for the three and nine months ended January 1, 2010, respectively, and $2.5 million and $7.6 million of stock-based compensation expense for the three and nine months ended January 2, 2009, respectively.</w:t>
      </w:r>
    </w:p>
    <w:p>
      <w:pPr>
        <w:spacing w:after="0" w:line="64"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Company recorded incremental tax benefits from stock options exercised and restricted stock unit awards vesting of $1.1 million and $0.2 million for the nine months ended January 1, 2010 and January 2, 2009, respectively, which are classified as part of cash flows from financing activities in the condensed consolidated statements of cash flows.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215"/>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(FASB Interpretation No. 48 (FIN 48), “Accounting for Uncertainty in Income Taxes — an interpretation of FASB Statement No. 109” /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w:t>
      </w:r>
    </w:p>
    <w:p>
      <w:pPr>
        <w:spacing w:after="0" w:line="5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280" w:firstLine="225"/>
        <w:spacing w:after="0" w:line="302" w:lineRule="auto"/>
        <w:rPr>
          <w:sz w:val="20"/>
          <w:szCs w:val="20"/>
          <w:color w:val="auto"/>
        </w:rPr>
      </w:pPr>
      <w:r>
        <w:rPr>
          <w:rFonts w:ascii="Arial" w:cs="Arial" w:eastAsia="Arial" w:hAnsi="Arial"/>
          <w:sz w:val="16"/>
          <w:szCs w:val="16"/>
          <w:color w:val="auto"/>
        </w:rPr>
        <w:t>In June 2009, the FASB issued authoritative guidance which amends the consolidation guidance applicable to variable interest entities (SFAS 167, “Amendments to FASB Interpretation No. 46R”). The guidance will affect the overall consolidation analysis under the current authoritative guidance for consolidation of variable interest entities (FIN 46R / ASC 810) and is effective for the Company as of the beginning of the first quarter of fiscal year 2011. The Company is currently evaluating the impact that the guidance may have on its consolidated financial statements and disclosures.</w:t>
      </w:r>
    </w:p>
    <w:p>
      <w:pPr>
        <w:spacing w:after="0" w:line="46"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In October 2009, the FASB issued authoritative guidance for revenue recognition with multiple deliverables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the Company beginning in the first quarter of fiscal year 2012, however early adoption is permitted. The Company is currently evaluating the impact that the guidance may have on its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20" w:firstLine="215"/>
        <w:spacing w:after="0" w:line="288"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authoritative guidance for the percentage-of-completion method of accounting (the AICPA’s Statement of Position 81-1 (SOP 81-1), “Accounting for Performance of Construction-Type and Certain Production-Type Contracts”</w:t>
      </w:r>
    </w:p>
    <w:p>
      <w:pPr>
        <w:ind w:right="20" w:firstLine="8"/>
        <w:spacing w:after="0" w:line="270" w:lineRule="auto"/>
        <w:tabs>
          <w:tab w:leader="none" w:pos="95" w:val="left"/>
        </w:tabs>
        <w:numPr>
          <w:ilvl w:val="0"/>
          <w:numId w:val="3"/>
        </w:numPr>
        <w:rPr>
          <w:rFonts w:ascii="Arial" w:cs="Arial" w:eastAsia="Arial" w:hAnsi="Arial"/>
          <w:sz w:val="17"/>
          <w:szCs w:val="17"/>
          <w:color w:val="auto"/>
        </w:rPr>
      </w:pPr>
      <w:r>
        <w:rPr>
          <w:rFonts w:ascii="Arial" w:cs="Arial" w:eastAsia="Arial" w:hAnsi="Arial"/>
          <w:sz w:val="17"/>
          <w:szCs w:val="17"/>
          <w:color w:val="auto"/>
        </w:rPr>
        <w:t>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January 1, 2010 and January 2, 2009, the Company recorded losses of approximately $0.6 million and $0.2 million, respectively, related to loss contracts. During the nine months ended January 1, 2010 and January 2, 2009, the Company recorded losses of approximately $5.7 million and $1.6 million, respectively, related to loss contracts.</w:t>
      </w:r>
    </w:p>
    <w:p>
      <w:pPr>
        <w:spacing w:after="0" w:line="71"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Company also has contracts and purchase orders where revenue is recorded on delivery of products or performance of services in accordance with authoritative guidance for revenue recognition (Staff Accounting Bulletin No. 104 (SAB 104), “Revenue Recognition” / ASC 605). Under this standard, the Company recognizes revenue when an arrangement exists, prices are determinable, collectability is reasonably assured and the goods or services have been delivered.</w:t>
      </w:r>
    </w:p>
    <w:p>
      <w:pPr>
        <w:spacing w:after="0" w:line="79" w:lineRule="exact"/>
        <w:rPr>
          <w:sz w:val="20"/>
          <w:szCs w:val="20"/>
          <w:color w:val="auto"/>
        </w:rPr>
      </w:pPr>
    </w:p>
    <w:p>
      <w:pPr>
        <w:jc w:val="both"/>
        <w:ind w:right="540" w:firstLine="222"/>
        <w:spacing w:after="0" w:line="264" w:lineRule="auto"/>
        <w:rPr>
          <w:sz w:val="20"/>
          <w:szCs w:val="20"/>
          <w:color w:val="auto"/>
        </w:rPr>
      </w:pPr>
      <w:r>
        <w:rPr>
          <w:rFonts w:ascii="Arial" w:cs="Arial" w:eastAsia="Arial" w:hAnsi="Arial"/>
          <w:sz w:val="18"/>
          <w:szCs w:val="18"/>
          <w:color w:val="auto"/>
        </w:rPr>
        <w:t>The Company also enters into certain leasing arrangements with customers and evaluates the contracts in accordance with FASB ASC Topic 840 — Leases. The Company’s accounting for equipment leases involves specific determinations under FAS 13, which often involve complex provisions and significant judgments. In accordance with FAS 13, the Company classifies the transactions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71"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authoritative guidance for accounting for multiple element revenue arrangements, (EITF 00-21, “Accounting for Multiple Element Revenue Arrangements” / ASC 605-25),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accordance with authoritative guidance for shipping and handling fees and costs (EITF 00-10, “Accounting for Shipping and Handling Fees and Costs”</w:t>
      </w:r>
    </w:p>
    <w:p>
      <w:pPr>
        <w:spacing w:after="0" w:line="46" w:lineRule="exact"/>
        <w:rPr>
          <w:sz w:val="20"/>
          <w:szCs w:val="20"/>
          <w:color w:val="auto"/>
        </w:rPr>
      </w:pPr>
    </w:p>
    <w:p>
      <w:pPr>
        <w:ind w:right="140" w:firstLine="8"/>
        <w:spacing w:after="0" w:line="261" w:lineRule="auto"/>
        <w:tabs>
          <w:tab w:leader="none" w:pos="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76"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Contract costs on United States government contracts, including indirect costs, are subject to audit and negotiations with United States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Effective March 29, 2008, the Company adopted the authoritative guidance for financial assets and liabilities measured at fair value on a recurring basis. The guidance does not require any new fair value measurements but rather eliminates inconsistencies in prior authoritative guidance. The guidance defines fair value, establishes a framework for measuring fair value and establishes a hierarchy that categorizes and prioritizes the sources to be used to estimate fair value. As a basis for categorizing inputs, the guidance, establishes the following hierarchy which prioritizes the inputs used to measure fair value from market based assumptions to entity specific assumptions:</w:t>
      </w:r>
    </w:p>
    <w:p>
      <w:pPr>
        <w:spacing w:after="0" w:line="8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17" w:lineRule="exact"/>
        <w:rPr>
          <w:rFonts w:ascii="Arial" w:cs="Arial" w:eastAsia="Arial" w:hAnsi="Arial"/>
          <w:sz w:val="18"/>
          <w:szCs w:val="18"/>
          <w:b w:val="1"/>
          <w:bCs w:val="1"/>
          <w:color w:val="auto"/>
        </w:rPr>
      </w:pPr>
    </w:p>
    <w:p>
      <w:pPr>
        <w:ind w:left="460" w:right="260" w:hanging="452"/>
        <w:spacing w:after="0" w:line="264"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rFonts w:ascii="Arial" w:cs="Arial" w:eastAsia="Arial" w:hAnsi="Arial"/>
          <w:sz w:val="18"/>
          <w:szCs w:val="18"/>
          <w:b w:val="1"/>
          <w:bCs w:val="1"/>
          <w:color w:val="auto"/>
        </w:rPr>
      </w:pPr>
    </w:p>
    <w:p>
      <w:pPr>
        <w:ind w:left="460" w:right="180" w:hanging="452"/>
        <w:spacing w:after="0" w:line="277"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Effective April 4, 2009, the Company adopted the authoritative guidance for non-financial assets and liabilities that are remeasured at fair value on a non-recurring basis without material impact on its consolidated financial statements and disclosures.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January 1, 2010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 2009:</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708"/>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80" w:type="dxa"/>
            <w:vAlign w:val="bottom"/>
            <w:gridSpan w:val="5"/>
          </w:tcPr>
          <w:p>
            <w:pPr>
              <w:ind w:left="1180"/>
              <w:spacing w:after="0"/>
              <w:rPr>
                <w:sz w:val="20"/>
                <w:szCs w:val="20"/>
                <w:color w:val="auto"/>
              </w:rPr>
            </w:pPr>
            <w:r>
              <w:rPr>
                <w:rFonts w:ascii="Arial" w:cs="Arial" w:eastAsia="Arial" w:hAnsi="Arial"/>
                <w:sz w:val="14"/>
                <w:szCs w:val="14"/>
                <w:b w:val="1"/>
                <w:bCs w:val="1"/>
                <w:color w:val="auto"/>
              </w:rPr>
              <w:t>January 1, 2010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19,247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19,247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19,247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19,247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gridSpan w:val="4"/>
          </w:tcPr>
          <w:p>
            <w:pPr>
              <w:ind w:left="16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right"/>
              <w:ind w:right="728"/>
              <w:spacing w:after="0"/>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24"/>
                <w:szCs w:val="24"/>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4"/>
          </w:tcPr>
          <w:p>
            <w:pPr>
              <w:ind w:left="160"/>
              <w:spacing w:after="0"/>
              <w:rPr>
                <w:sz w:val="20"/>
                <w:szCs w:val="20"/>
                <w:color w:val="auto"/>
              </w:rPr>
            </w:pPr>
            <w:r>
              <w:rPr>
                <w:rFonts w:ascii="Arial" w:cs="Arial" w:eastAsia="Arial" w:hAnsi="Arial"/>
                <w:sz w:val="14"/>
                <w:szCs w:val="14"/>
                <w:b w:val="1"/>
                <w:bCs w:val="1"/>
                <w:color w:val="auto"/>
              </w:rPr>
              <w:t>April 3, 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40" w:type="dxa"/>
            <w:vAlign w:val="bottom"/>
            <w:gridSpan w:val="3"/>
          </w:tcPr>
          <w:p>
            <w:pPr>
              <w:ind w:left="1340"/>
              <w:spacing w:after="0"/>
              <w:rPr>
                <w:sz w:val="20"/>
                <w:szCs w:val="20"/>
                <w:color w:val="auto"/>
              </w:rPr>
            </w:pPr>
            <w:r>
              <w:rPr>
                <w:rFonts w:ascii="Arial" w:cs="Arial" w:eastAsia="Arial" w:hAnsi="Arial"/>
                <w:sz w:val="18"/>
                <w:szCs w:val="18"/>
                <w:color w:val="auto"/>
              </w:rPr>
              <w:t>$</w:t>
            </w:r>
          </w:p>
        </w:tc>
        <w:tc>
          <w:tcPr>
            <w:tcW w:w="580" w:type="dxa"/>
            <w:vAlign w:val="bottom"/>
          </w:tcPr>
          <w:p>
            <w:pPr>
              <w:jc w:val="center"/>
              <w:ind w:left="90"/>
              <w:spacing w:after="0"/>
              <w:rPr>
                <w:sz w:val="20"/>
                <w:szCs w:val="20"/>
                <w:color w:val="auto"/>
              </w:rPr>
            </w:pPr>
            <w:r>
              <w:rPr>
                <w:rFonts w:ascii="Arial" w:cs="Arial" w:eastAsia="Arial" w:hAnsi="Arial"/>
                <w:sz w:val="18"/>
                <w:szCs w:val="18"/>
                <w:color w:val="auto"/>
                <w:w w:val="88"/>
              </w:rPr>
              <w:t>2,029</w:t>
            </w:r>
          </w:p>
        </w:tc>
        <w:tc>
          <w:tcPr>
            <w:tcW w:w="3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54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2,029</w:t>
            </w:r>
          </w:p>
        </w:tc>
        <w:tc>
          <w:tcPr>
            <w:tcW w:w="3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Certain money market funds are valued using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in an active market with sufficient volume and frequency of transactions (Level 1). The remaining portion of money market funds are valued based on quoted prices for similar assets or liabilities,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80"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As of January 1, 2010, the Company’s long-term debt consisted of borrowings under the Credit Facility, reported at the borrowed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amount with current accrued interest and the Notes reported at amortized cost. However, for disclosure purposes, the Company is required to measure the fair value of outstanding debt on recurring basis. The fair value of the Company’s long-term debt approximates its carrying amount due to its variable interest rate on revolving line of credit and the proximity of the date of issuance of the Notes compared to the reporting date. The Company had no long-term debt as of April 3, 2009.</w:t>
      </w:r>
    </w:p>
    <w:p>
      <w:pPr>
        <w:spacing w:after="0" w:line="8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Foreign currency forward exchange </w:t>
      </w:r>
      <w:r>
        <w:rPr>
          <w:rFonts w:ascii="Arial" w:cs="Arial" w:eastAsia="Arial" w:hAnsi="Arial"/>
          <w:sz w:val="18"/>
          <w:szCs w:val="18"/>
          <w:color w:val="auto"/>
        </w:rPr>
        <w:t>contracts — The Company had no foreign currency forward exchange contracts outstanding at January 1,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April 3,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 Attributable to ViaSat, Inc. Common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5"/>
          </w:tcPr>
          <w:p>
            <w:pPr>
              <w:jc w:val="right"/>
              <w:ind w:right="873"/>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660" w:type="dxa"/>
            <w:vAlign w:val="bottom"/>
            <w:gridSpan w:val="4"/>
          </w:tcPr>
          <w:p>
            <w:pPr>
              <w:ind w:lef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1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January 2, 2009</w:t>
            </w:r>
          </w:p>
        </w:tc>
        <w:tc>
          <w:tcPr>
            <w:tcW w:w="6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71"/>
              </w:rPr>
              <w:t>thousands)</w:t>
            </w:r>
          </w:p>
        </w:tc>
        <w:tc>
          <w:tcPr>
            <w:tcW w:w="1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used in calculating</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 per share</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32,777</w:t>
            </w:r>
          </w:p>
        </w:tc>
        <w:tc>
          <w:tcPr>
            <w:tcW w:w="1560" w:type="dxa"/>
            <w:vAlign w:val="bottom"/>
            <w:gridSpan w:val="3"/>
            <w:shd w:val="clear" w:color="auto" w:fill="CCEEFF"/>
          </w:tcPr>
          <w:p>
            <w:pPr>
              <w:jc w:val="right"/>
              <w:ind w:right="233"/>
              <w:spacing w:after="0"/>
              <w:rPr>
                <w:sz w:val="20"/>
                <w:szCs w:val="20"/>
                <w:color w:val="auto"/>
              </w:rPr>
            </w:pPr>
            <w:r>
              <w:rPr>
                <w:rFonts w:ascii="Arial" w:cs="Arial" w:eastAsia="Arial" w:hAnsi="Arial"/>
                <w:sz w:val="18"/>
                <w:szCs w:val="18"/>
                <w:color w:val="auto"/>
              </w:rPr>
              <w:t>30,836</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31,863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w w:val="93"/>
              </w:rPr>
              <w:t>Weighted average options to purchase common stock as determined by</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application of the treasury stock method</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1,603</w:t>
            </w:r>
          </w:p>
        </w:tc>
        <w:tc>
          <w:tcPr>
            <w:tcW w:w="1560" w:type="dxa"/>
            <w:vAlign w:val="bottom"/>
            <w:gridSpan w:val="3"/>
          </w:tcPr>
          <w:p>
            <w:pPr>
              <w:jc w:val="right"/>
              <w:ind w:right="233"/>
              <w:spacing w:after="0"/>
              <w:rPr>
                <w:sz w:val="20"/>
                <w:szCs w:val="20"/>
                <w:color w:val="auto"/>
              </w:rPr>
            </w:pPr>
            <w:r>
              <w:rPr>
                <w:rFonts w:ascii="Arial" w:cs="Arial" w:eastAsia="Arial" w:hAnsi="Arial"/>
                <w:sz w:val="18"/>
                <w:szCs w:val="18"/>
                <w:color w:val="auto"/>
              </w:rPr>
              <w:t>736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6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restricted stock units to acquire common stock as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determined by application of the treasury stock method</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217</w:t>
            </w:r>
          </w:p>
        </w:tc>
        <w:tc>
          <w:tcPr>
            <w:tcW w:w="1560" w:type="dxa"/>
            <w:vAlign w:val="bottom"/>
            <w:gridSpan w:val="3"/>
            <w:shd w:val="clear" w:color="auto" w:fill="CCEEFF"/>
          </w:tcPr>
          <w:p>
            <w:pPr>
              <w:jc w:val="right"/>
              <w:ind w:right="233"/>
              <w:spacing w:after="0"/>
              <w:rPr>
                <w:sz w:val="20"/>
                <w:szCs w:val="20"/>
                <w:color w:val="auto"/>
              </w:rPr>
            </w:pPr>
            <w:r>
              <w:rPr>
                <w:rFonts w:ascii="Arial" w:cs="Arial" w:eastAsia="Arial" w:hAnsi="Arial"/>
                <w:sz w:val="18"/>
                <w:szCs w:val="18"/>
                <w:color w:val="auto"/>
              </w:rPr>
              <w:t>120</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Weighted average contingently issuable shares in connection with</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certain terms of the JAST acquisition agreement</w:t>
            </w:r>
          </w:p>
        </w:tc>
        <w:tc>
          <w:tcPr>
            <w:tcW w:w="2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potentially issuable shares in connection with</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terms of the amended ViaSat 401(k) Profit Sharing Plan</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Employee Stock Purchase Plan equivalents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33"/>
              <w:spacing w:after="0"/>
              <w:rPr>
                <w:sz w:val="20"/>
                <w:szCs w:val="20"/>
                <w:color w:val="auto"/>
              </w:rPr>
            </w:pPr>
            <w:r>
              <w:rPr>
                <w:rFonts w:ascii="Arial" w:cs="Arial" w:eastAsia="Arial" w:hAnsi="Arial"/>
                <w:sz w:val="18"/>
                <w:szCs w:val="18"/>
                <w:color w:val="auto"/>
              </w:rPr>
              <w:t>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31,699</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33,591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15"/>
        <w:spacing w:after="0" w:line="308" w:lineRule="auto"/>
        <w:rPr>
          <w:sz w:val="20"/>
          <w:szCs w:val="20"/>
          <w:color w:val="auto"/>
        </w:rPr>
      </w:pPr>
      <w:r>
        <w:rPr>
          <w:rFonts w:ascii="Arial" w:cs="Arial" w:eastAsia="Arial" w:hAnsi="Arial"/>
          <w:sz w:val="17"/>
          <w:szCs w:val="17"/>
          <w:color w:val="auto"/>
        </w:rPr>
        <w:t>Antidilutive shares excluded from the calculation were 523,659 and 3,250,335 shares for the three months ended January 1, 2010 and January 2, 2009, respectively, and 604,857 and 2,738,113 shares for the nine months ended January 1, 2010 and January 2, 2009,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820" w:type="dxa"/>
            <w:vAlign w:val="bottom"/>
            <w:gridSpan w:val="4"/>
          </w:tcPr>
          <w:p>
            <w:pPr>
              <w:ind w:left="1500"/>
              <w:spacing w:after="0"/>
              <w:rPr>
                <w:sz w:val="20"/>
                <w:szCs w:val="20"/>
                <w:color w:val="auto"/>
              </w:rPr>
            </w:pPr>
            <w:r>
              <w:rPr>
                <w:rFonts w:ascii="Arial" w:cs="Arial" w:eastAsia="Arial" w:hAnsi="Arial"/>
                <w:sz w:val="14"/>
                <w:szCs w:val="14"/>
                <w:b w:val="1"/>
                <w:bCs w:val="1"/>
                <w:color w:val="auto"/>
              </w:rPr>
              <w:t>January 1, 2010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Billed</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93,204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76,999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92,526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87,469</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8"/>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185,601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164,106</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38,480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33,607</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17,557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14,876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24,136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14,635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13,521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5,060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1,837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21,532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Property, equipment and satellites, net:</w:t>
            </w: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 WildBlue-1 (estimated useful life of 10 years)</w:t>
            </w: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195,890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99,090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Machinery and equipment (estimated useful life 2-5 years)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85,568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56,053</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Computer equipment and software (estimated useful life 3 years)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57,626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43,591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CPE leased equipment (estimated useful life of 3 years)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35,033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Furniture and fixtures (estimated useful life 7 years)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10,089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9,918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 (estimated useful life 2-11 years)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19,152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17,573</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Building (estimated useful life of 24 years)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9,994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4,384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Satellite under construction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171,471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110,588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Construction in progress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14,810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703,107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(90,776)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(75,894)</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612,331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Technology (estimated useful life of 3-9 years)</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44,392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44,392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and customer relationships (estimated useful life of 3-10 years)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86,688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Non-compete agreement (estimated useful life of 3-5 years)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9,076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co-location rights (estimated useful life of 10 years)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8,600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Trade name (estimated useful life of 3 years)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(estimated useful life of 8 months to 10 years)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9,323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163,759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(69,802)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(65,034)</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Capitalized software costs, net</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5,923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 orbital slots and other licenses, net</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7,072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43,686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22,212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Current portion of warranty reserve</w:t>
            </w:r>
          </w:p>
        </w:tc>
        <w:tc>
          <w:tcPr>
            <w:tcW w:w="17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6,726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Accrued employee compensation</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10,226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 and deferred revenues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48,957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26,811</w:t>
            </w:r>
          </w:p>
        </w:tc>
        <w:tc>
          <w:tcPr>
            <w:tcW w:w="0" w:type="dxa"/>
            <w:vAlign w:val="bottom"/>
          </w:tcPr>
          <w:p>
            <w:pPr>
              <w:spacing w:after="0"/>
              <w:rPr>
                <w:sz w:val="1"/>
                <w:szCs w:val="1"/>
                <w:color w:val="auto"/>
              </w:rPr>
            </w:pPr>
          </w:p>
        </w:tc>
      </w:tr>
      <w:tr>
        <w:trPr>
          <w:trHeight w:val="216"/>
        </w:trPr>
        <w:tc>
          <w:tcPr>
            <w:tcW w:w="7400" w:type="dxa"/>
            <w:vAlign w:val="bottom"/>
          </w:tcPr>
          <w:p>
            <w:pPr>
              <w:ind w:left="2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88"/>
              <w:spacing w:after="0"/>
              <w:rPr>
                <w:sz w:val="20"/>
                <w:szCs w:val="20"/>
                <w:color w:val="auto"/>
              </w:rPr>
            </w:pPr>
            <w:r>
              <w:rPr>
                <w:rFonts w:ascii="Arial" w:cs="Arial" w:eastAsia="Arial" w:hAnsi="Arial"/>
                <w:sz w:val="18"/>
                <w:szCs w:val="18"/>
                <w:color w:val="auto"/>
              </w:rPr>
              <w:t>22,315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10,670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100,221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19" w:right="239" w:bottom="1041"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41"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January 1, 2010</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80"/>
        </w:trPr>
        <w:tc>
          <w:tcPr>
            <w:tcW w:w="89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2"/>
              </w:rPr>
              <w:t>thousands)</w:t>
            </w: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warranty</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4,141</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Unrecognized tax position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10,773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 long-term portion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6"/>
        </w:trPr>
        <w:tc>
          <w:tcPr>
            <w:tcW w:w="8900" w:type="dxa"/>
            <w:vAlign w:val="bottom"/>
          </w:tcPr>
          <w:p>
            <w:pPr>
              <w:ind w:left="220"/>
              <w:spacing w:after="0"/>
              <w:rPr>
                <w:sz w:val="20"/>
                <w:szCs w:val="20"/>
                <w:color w:val="auto"/>
              </w:rPr>
            </w:pPr>
            <w:r>
              <w:rPr>
                <w:rFonts w:ascii="Arial" w:cs="Arial" w:eastAsia="Arial" w:hAnsi="Arial"/>
                <w:sz w:val="18"/>
                <w:szCs w:val="18"/>
                <w:color w:val="auto"/>
              </w:rPr>
              <w:t>Deferred revenue, long-term portion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3,332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Accounting for Goodwill and Intangible Assets</w:t>
      </w:r>
    </w:p>
    <w:p>
      <w:pPr>
        <w:spacing w:after="0" w:line="121"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Company accounts for its goodwill under the authoritative guidance for goodwill and other intangible assets (SFAS 142, “Goodwill and Other Intangible Assets” / ASC 350). The guidance for the goodwill impairment model is a two-step process. First, it requires a comparison of the book value of net assets to the fair value of the reporting units that have goodwill assigned to them. Reporting units within the Company’s government systems, commercial networks and satellite services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w:t>
      </w:r>
    </w:p>
    <w:p>
      <w:pPr>
        <w:spacing w:after="0" w:line="71"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acquisition of WildBlue during the third quarter of fiscal year 2010 resulted in an increase of the Company’s goodwill of approximately $8.6 million, which was recorded within the Company’s satellite services segment.</w:t>
      </w:r>
    </w:p>
    <w:p>
      <w:pPr>
        <w:spacing w:after="0" w:line="62"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Amortization expense was $1.9 million and $2.3 million for the three months ended January 1, 2010 and January 2, 2009, respectively, and $4.8 million and $7.0 million for the nine months ended January 1, 2010 and January 2, 2009, respectively.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Current and expected amortization expense for acquired intangibles for each of the following periods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1, 2010</w:t>
            </w:r>
          </w:p>
        </w:tc>
        <w:tc>
          <w:tcPr>
            <w:tcW w:w="6160" w:type="dxa"/>
            <w:vAlign w:val="bottom"/>
            <w:gridSpan w:val="2"/>
            <w:shd w:val="clear" w:color="auto" w:fill="CCEEFF"/>
          </w:tcPr>
          <w:p>
            <w:pPr>
              <w:ind w:left="59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6160" w:type="dxa"/>
            <w:vAlign w:val="bottom"/>
            <w:gridSpan w:val="2"/>
          </w:tcPr>
          <w:p>
            <w:pPr>
              <w:ind w:left="59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16,551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29,880</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920" w:type="dxa"/>
            <w:vAlign w:val="bottom"/>
            <w:vMerge w:val="restart"/>
          </w:tcPr>
          <w:p>
            <w:pPr>
              <w:jc w:val="right"/>
              <w:ind w:right="453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0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 and Line of Credit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consisted of the following as of January 1, 2010 and April 3,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rPr>
              <w:t>January 1, 2010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Senior notes due 2016 (the Notes)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Notes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(3,323)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900" w:type="dxa"/>
            <w:vAlign w:val="bottom"/>
            <w:gridSpan w:val="2"/>
          </w:tcPr>
          <w:p>
            <w:pPr>
              <w:spacing w:after="0"/>
              <w:rPr>
                <w:sz w:val="20"/>
                <w:szCs w:val="20"/>
                <w:color w:val="auto"/>
              </w:rPr>
            </w:pPr>
            <w:r>
              <w:rPr>
                <w:rFonts w:ascii="Arial" w:cs="Arial" w:eastAsia="Arial" w:hAnsi="Arial"/>
                <w:sz w:val="18"/>
                <w:szCs w:val="18"/>
                <w:color w:val="auto"/>
              </w:rPr>
              <w:t>Total Notes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271,677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411,677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On October 22, 2009, the Company issued $275.0 million in principal amount of senior notes all of which is due 2016 (the Notes) in a private placement to institutional buyers. The Notes bear interest at the rate of 8.875% per year, payable semi-annually in cash in arrears commencing in March 2010 and were issued with an original issue discount of 1.24% or, $3.4 million. The Notes are recorded as long-term debt, net of original issue discount, in the Company’s consolidated financial statements. The original issue discount and deferred financing cost associated with the issuance of the Notes is amortized to interest expense over the term of the Notes.</w:t>
      </w:r>
    </w:p>
    <w:p>
      <w:pPr>
        <w:spacing w:after="0" w:line="80"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the Company’s existing and future subsidiaries that guarantees the Credit Facility. The Notes and the guarantees are the Company’s and the guarantors’ general senior unsecured obligations and rank equally in right of payment with all of the Company’s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360" w:firstLine="222"/>
        <w:spacing w:after="0" w:line="257" w:lineRule="auto"/>
        <w:rPr>
          <w:sz w:val="20"/>
          <w:szCs w:val="20"/>
          <w:color w:val="auto"/>
        </w:rPr>
      </w:pPr>
      <w:r>
        <w:rPr>
          <w:rFonts w:ascii="Arial" w:cs="Arial" w:eastAsia="Arial" w:hAnsi="Arial"/>
          <w:sz w:val="18"/>
          <w:szCs w:val="18"/>
          <w:color w:val="auto"/>
        </w:rPr>
        <w:t>The indenture agreement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80"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Prior to September 15, 2012, the Company may redeem up to 35% of the Notes at a redemption price of 108.875% of the principal amount thereof, plus accrued and unpaid interest, if any, thereon to the redemption date, from the net cash proceeds of specified equity offerings. Prior to September 15, 2012, the Company may also redeem the Notes,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75"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the Company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79"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In connection with the private placement of the Notes, the Company and the guarantors entered into a registration rights agreement with the initial purchasers in which the Company agreed to file a registration statement with the SEC to permit the holders to exchange or resell the Notes. The Company must use commercially reasonable efforts to consummate an exchange offer within 365 days after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issuance of the Notes or, under certain circumstances, to prepare and file a shelf registration statement to cover the resale of the Notes. If the Company and the guarantors do not comply with certain of their obligations under the registration rights agreement, the registration rights agreement provides that additional interest will accrue on the principal amount of the Notes at a rate of 0.25% per annum during the 90-day period immediately following such default and will increase by 0.25% per annum at the end of each subsequent 90-day period, but in no event will the penalty rate exceed 1.00% per annum.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220" w:firstLine="222"/>
        <w:spacing w:after="0" w:line="291" w:lineRule="auto"/>
        <w:rPr>
          <w:sz w:val="20"/>
          <w:szCs w:val="20"/>
          <w:color w:val="auto"/>
        </w:rPr>
      </w:pPr>
      <w:r>
        <w:rPr>
          <w:rFonts w:ascii="Arial" w:cs="Arial" w:eastAsia="Arial" w:hAnsi="Arial"/>
          <w:sz w:val="16"/>
          <w:szCs w:val="16"/>
          <w:color w:val="auto"/>
        </w:rPr>
        <w:t>The Credit Facility, as amended, provides a revolving line of credit of $210.0 million (including up to $25.0 million of letters of credit), which facility matures on July 1, 2012. Borrowings under the Credit Facility bear interest, at the Company’s option, at either (a) the highest of the Federal Funds rate plus</w:t>
      </w:r>
    </w:p>
    <w:p>
      <w:pPr>
        <w:spacing w:after="0" w:line="295" w:lineRule="auto"/>
        <w:rPr>
          <w:sz w:val="20"/>
          <w:szCs w:val="20"/>
          <w:color w:val="auto"/>
        </w:rPr>
      </w:pPr>
      <w:r>
        <w:rPr>
          <w:rFonts w:ascii="Arial" w:cs="Arial" w:eastAsia="Arial" w:hAnsi="Arial"/>
          <w:sz w:val="16"/>
          <w:szCs w:val="16"/>
          <w:color w:val="auto"/>
        </w:rPr>
        <w:t>0.50%, the Eurodollar rate plus 1.00% or the administrative agent’s prime rate as announced from time to time, or (b) at the Eurodollar rate plus, in the case of each of (a) and (b), an applicable margin that is based on the ratio of the Company’s debt to earnings before interest, taxes, depreciation and amortization (EBITDA). At January 1, 2010, the effective interest rate on the Company’s outstanding borrowings under the Credit Facility was 4.25%. The Credit Facility is guaranteed by certain of the Company’s domestic subsidiaries and collateralized by substantially all of the Company’s and the guarantors’ assets.</w:t>
      </w:r>
    </w:p>
    <w:p>
      <w:pPr>
        <w:spacing w:after="0" w:line="53"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 On December 14, 2009, the Company amended the Credit Facility to clarify the calculation of EBITDA following the completion of the WildBlue acquisition.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was in compliance with its financial covenants under the Credit Facility as of January 1, 2010. At January 1, 2010, the Company had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$140.0 million in principal amount of outstanding borrowings under the Credit Facility and $12.2 million outstanding under standby letters of credit, leaving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 availability under the Credit Facility of $57.8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costs,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January 1, 2010 and January 2,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42"/>
        </w:trPr>
        <w:tc>
          <w:tcPr>
            <w:tcW w:w="8720" w:type="dxa"/>
            <w:vAlign w:val="bottom"/>
          </w:tcPr>
          <w:p>
            <w:pPr>
              <w:spacing w:after="0"/>
              <w:rPr>
                <w:sz w:val="12"/>
                <w:szCs w:val="12"/>
                <w:color w:val="auto"/>
              </w:rPr>
            </w:pPr>
          </w:p>
        </w:tc>
        <w:tc>
          <w:tcPr>
            <w:tcW w:w="10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January 1, 2010</w:t>
            </w:r>
          </w:p>
        </w:tc>
        <w:tc>
          <w:tcPr>
            <w:tcW w:w="6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4"/>
          </w:tcPr>
          <w:p>
            <w:pPr>
              <w:jc w:val="center"/>
              <w:ind w:left="29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w:t>
            </w:r>
          </w:p>
        </w:tc>
      </w:tr>
      <w:tr>
        <w:trPr>
          <w:trHeight w:val="216"/>
        </w:trPr>
        <w:tc>
          <w:tcPr>
            <w:tcW w:w="872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(4,929)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(6,143)</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10,867</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120" w:firstLine="222"/>
        <w:spacing w:after="0" w:line="290" w:lineRule="auto"/>
        <w:rPr>
          <w:sz w:val="20"/>
          <w:szCs w:val="20"/>
          <w:color w:val="auto"/>
        </w:rPr>
      </w:pPr>
      <w:r>
        <w:rPr>
          <w:rFonts w:ascii="Arial" w:cs="Arial" w:eastAsia="Arial" w:hAnsi="Arial"/>
          <w:sz w:val="16"/>
          <w:szCs w:val="16"/>
          <w:color w:val="auto"/>
        </w:rPr>
        <w:t>The Company currently estimates its annual effective income tax rate to be approximately 17.4% for the fiscal year ending April 2, 2010, as compared to the actual 15.0% effective tax rate for the fiscal year ended April 3, 2009. The estimated effective tax rate for fiscal 2010 is different from the expected statutory rate due primarily to the research and development tax credits, partially offset by non-deductible costs associated with the WildBlue acquisition. In addition, the fiscal year 2010 annual effective tax rate includes the recognition of approximately $2.6 million of previously unrecognized tax benefits due to the expiration of the statute of limitations for certain previously filed tax returns. The Company’s estimated annual effective tax rate of approximately 17.4% for fiscal year 2010 reflects the expiration of the federal research and development tax credit on December 31, 2009. If the federal research and development tax credit is reinstated, the Company may have a lower annual effective tax rate and the amount of the tax rate reduction will depend on the effective date of any such reinstatement, the terms of the reinstatement as well as the amount of eligible research and development expenses in the reinstated period.</w:t>
      </w:r>
    </w:p>
    <w:p>
      <w:pPr>
        <w:spacing w:after="0" w:line="58" w:lineRule="exact"/>
        <w:rPr>
          <w:sz w:val="20"/>
          <w:szCs w:val="20"/>
          <w:color w:val="auto"/>
        </w:rPr>
      </w:pPr>
    </w:p>
    <w:p>
      <w:pPr>
        <w:ind w:right="220" w:firstLine="222"/>
        <w:spacing w:after="0" w:line="286" w:lineRule="auto"/>
        <w:rPr>
          <w:sz w:val="20"/>
          <w:szCs w:val="20"/>
          <w:color w:val="auto"/>
        </w:rPr>
      </w:pPr>
      <w:r>
        <w:rPr>
          <w:rFonts w:ascii="Arial" w:cs="Arial" w:eastAsia="Arial" w:hAnsi="Arial"/>
          <w:sz w:val="17"/>
          <w:szCs w:val="17"/>
          <w:color w:val="auto"/>
        </w:rPr>
        <w:t>The income tax benefit of $2.9 million for the third quarter of fiscal 2010 is lower than the expected tax expense based on the estimated annual effective tax rate primarily due to the recognition of approximately $2.6 million of previously unrecognized tax benefits due to the expiration of the statute of limitations for certain previously filed tax returns, partially offset by the non-deductible costs associated with the WildBlue acquisition.</w:t>
      </w:r>
    </w:p>
    <w:p>
      <w:pPr>
        <w:spacing w:after="0" w:line="57" w:lineRule="exact"/>
        <w:rPr>
          <w:sz w:val="20"/>
          <w:szCs w:val="20"/>
          <w:color w:val="auto"/>
        </w:rPr>
      </w:pPr>
    </w:p>
    <w:p>
      <w:pPr>
        <w:jc w:val="both"/>
        <w:ind w:right="400" w:firstLine="222"/>
        <w:spacing w:after="0" w:line="259" w:lineRule="auto"/>
        <w:rPr>
          <w:sz w:val="20"/>
          <w:szCs w:val="20"/>
          <w:color w:val="auto"/>
        </w:rPr>
      </w:pPr>
      <w:r>
        <w:rPr>
          <w:rFonts w:ascii="Arial" w:cs="Arial" w:eastAsia="Arial" w:hAnsi="Arial"/>
          <w:sz w:val="18"/>
          <w:szCs w:val="18"/>
          <w:color w:val="auto"/>
        </w:rPr>
        <w:t>The Company’s valuation allowance against deferred tax assets increased from $2.1 million at April 3, 2009 to $10.9 million at January 1, 2010. The increase in the valuation allowance was due to the acquisition of certain deferred tax assets of WildBlue. The acquired deferred tax assets from WildBlue were recorded net of the valuation allowance. The valuation allowance relates to state net operating loss carryforwards and research credit carryforwards available to reduce state income taxes.</w:t>
      </w:r>
    </w:p>
    <w:p>
      <w:pPr>
        <w:spacing w:after="0" w:line="7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For the three and nine months ended January 1, 2010, the Company’s gross unrecognized tax benefits decreased by $1.9 million and $0.6 million, respectively. In the next twelve months it is reasonably possible that the amount of unrecognized tax benefits will decrease by $2.9 million as a result of the expiration of the statute of limitations for previously filed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Acquisition</w:t>
      </w:r>
    </w:p>
    <w:p>
      <w:pPr>
        <w:spacing w:after="0" w:line="121" w:lineRule="exact"/>
        <w:rPr>
          <w:sz w:val="20"/>
          <w:szCs w:val="20"/>
          <w:color w:val="auto"/>
        </w:rPr>
      </w:pPr>
    </w:p>
    <w:p>
      <w:pPr>
        <w:ind w:right="180" w:firstLine="225"/>
        <w:spacing w:after="0" w:line="288" w:lineRule="auto"/>
        <w:rPr>
          <w:sz w:val="20"/>
          <w:szCs w:val="20"/>
          <w:color w:val="auto"/>
        </w:rPr>
      </w:pPr>
      <w:r>
        <w:rPr>
          <w:rFonts w:ascii="Arial" w:cs="Arial" w:eastAsia="Arial" w:hAnsi="Arial"/>
          <w:sz w:val="16"/>
          <w:szCs w:val="16"/>
          <w:color w:val="auto"/>
        </w:rPr>
        <w:t>On December 15, 2009, the Company completed the acquisition of all outstanding shares of WildBlue, a privately held provider of broadband internet service, delivering two-way broadband internet access via satellite in the contiguous United States. The purchase price of approximately $574.6 million was comprised primarily of $131.9 million related to the fair value of 4,286,450 shares of the Company’s common stock issued at the closing date and</w:t>
      </w:r>
    </w:p>
    <w:p>
      <w:pPr>
        <w:ind w:right="160"/>
        <w:spacing w:after="0" w:line="261" w:lineRule="auto"/>
        <w:rPr>
          <w:sz w:val="20"/>
          <w:szCs w:val="20"/>
          <w:color w:val="auto"/>
        </w:rPr>
      </w:pPr>
      <w:r>
        <w:rPr>
          <w:rFonts w:ascii="Arial" w:cs="Arial" w:eastAsia="Arial" w:hAnsi="Arial"/>
          <w:sz w:val="18"/>
          <w:szCs w:val="18"/>
          <w:color w:val="auto"/>
        </w:rPr>
        <w:t>$442.7 million in cash consideration. The $442.7 million in cash consideration paid to the former WildBlue stockholders less cash acquired of $64.7 million resulted in a net cash outlay of approximately $378.0 million.</w:t>
      </w:r>
    </w:p>
    <w:p>
      <w:pPr>
        <w:spacing w:after="0" w:line="76" w:lineRule="exact"/>
        <w:rPr>
          <w:sz w:val="20"/>
          <w:szCs w:val="20"/>
          <w:color w:val="auto"/>
        </w:rPr>
      </w:pPr>
    </w:p>
    <w:p>
      <w:pPr>
        <w:ind w:right="180" w:firstLine="222"/>
        <w:spacing w:after="0" w:line="272" w:lineRule="auto"/>
        <w:rPr>
          <w:sz w:val="20"/>
          <w:szCs w:val="20"/>
          <w:color w:val="auto"/>
        </w:rPr>
      </w:pPr>
      <w:r>
        <w:rPr>
          <w:rFonts w:ascii="Arial" w:cs="Arial" w:eastAsia="Arial" w:hAnsi="Arial"/>
          <w:sz w:val="17"/>
          <w:szCs w:val="17"/>
          <w:color w:val="auto"/>
        </w:rPr>
        <w:t>The Company accounts for business combinations pursuant to the authoritative guidance for business combinations (Statement of Financial Accounting Standard (SFAS) No. 141R (SFAS 141R), “Business Combinations,” /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Total merger-related transaction costs incurred by the Company were approximately $7.1 million, of which $4.6 million and $7.1 million were incurred and recorded in selling, general and administrative expenses in the three and nine months ending January 1, 2010, respectively.</w:t>
      </w:r>
    </w:p>
    <w:p>
      <w:pPr>
        <w:spacing w:after="0" w:line="70"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preliminary purchase price allocation of the acquired assets and assumed liabilities based on the estimated fair values as of December 15, 2009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580" w:type="dxa"/>
            <w:vAlign w:val="bottom"/>
            <w:gridSpan w:val="2"/>
            <w:shd w:val="clear" w:color="auto" w:fill="CCEEFF"/>
          </w:tcPr>
          <w:p>
            <w:pPr>
              <w:ind w:left="6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Goodwill</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assets</w:t>
            </w: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Current liabilities</w:t>
            </w: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6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6580" w:type="dxa"/>
            <w:vAlign w:val="bottom"/>
            <w:gridSpan w:val="2"/>
            <w:shd w:val="clear" w:color="auto" w:fill="CCEEFF"/>
          </w:tcPr>
          <w:p>
            <w:pPr>
              <w:ind w:left="6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380" w:type="dxa"/>
            <w:vAlign w:val="bottom"/>
            <w:vMerge w:val="restart"/>
          </w:tcPr>
          <w:p>
            <w:pPr>
              <w:jc w:val="right"/>
              <w:ind w:right="4530"/>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6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Amounts assigned to identifiable intangible assets are being amortized on a straight-line basis over their estimated useful lives and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Preliminary</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4"/>
              </w:rPr>
              <w:t>fair value</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life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338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5,680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Customer relationships—retail</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39,840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relationships—wholesale</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27,950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Satellite co-location rights</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8,600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338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82,070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intangible assets acquired in the WildBlue business combination were determined, in accordance with the authoritative guidance for business combinations, based on the estimated fair values using valuation techniques consistent with the market approach, income approach and/or cost approach to measure fair value. The remaining useful lives were estimated based on the underlying agreements and/or the future economic benefit expected to be received from the assets. Under the terms of the co-location right agreement, the Company has certain option periods that begin in approximately 10 years based upon the life of Anik F2 Ka-Band Payload.</w:t>
      </w:r>
    </w:p>
    <w:p>
      <w:pPr>
        <w:spacing w:after="0" w:line="80"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acquisition of WildBlue is beneficial to the Company as it enables the Company to integrate the extensive bandwidth capacity of its ViaSat-1 satellite into WildBlue’s existing distribution and fulfillment resources, which are expected to reduce initial service costs and improve subscriber growth. These benefits and additional opportunities were among the factors that contributed to a purchase price resulting in the recognition of preliminary estimated goodwill, which was recorded within the Company’s satellite services segment. The intangible assets and goodwill recognized are not deductible for federal income tax purposes. The purchase price allocation is preliminary due to pending resolution of certain WildBlue tax attributes.</w:t>
      </w:r>
    </w:p>
    <w:p>
      <w:pPr>
        <w:spacing w:after="0" w:line="64"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condensed consolidated financial statements include the operating results of WildBlue from the date of acquisition. Since the acquisition date, the Company recorded approximately $9.0 million in revenue and $1.7 million of operating losses with respect to the WildBlue business in the condensed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unaudited financial information in the table below summarizes the combined results of operations for the Company and WildBlue on a pro forma basis, as though the companies had been combined as of the beginning of fiscal year 2009. The pro forma financial information is presented for informational purposes only and may not be indicative of the results of operations that would have been achieved if the acquisition had taken place at the beginning of fiscal year 2009. The pro forma financial information for the three and nine month periods ended January 1, 2010 and January 2, 2009 include the business combination accounting effect on historical WildBlue revenue, elimination of the historical ViaSat revenues and related costs of revenues derived from sales of CPE to WildBlue, amortization and depreciation charges from acquired intangible and tangible assets, difference between WildBlue’s and ViaSat’s historical interest expense/interest income due to ViaSat’s new capitalization structure as a result of the acquisition, related tax effects and adjustment to shares outstanding for shares issued for the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4"/>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2180" w:type="dxa"/>
            <w:vAlign w:val="bottom"/>
            <w:tcBorders>
              <w:bottom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rPr>
              <w:t>except per share data)</w:t>
            </w: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156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January 2, 2009</w:t>
            </w:r>
          </w:p>
        </w:tc>
        <w:tc>
          <w:tcPr>
            <w:tcW w:w="188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196,779</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192,497</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605,310</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583,712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Net income attributable to ViaSat, Inc.</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4,114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2,177</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20,014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share attributable to ViaSat, Inc. common</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w w:val="99"/>
              </w:rPr>
              <w:t>Diluted net income per share attributable to ViaSat, Inc. common</w:t>
            </w: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stockholders</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.06</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419"/>
        </w:trPr>
        <w:tc>
          <w:tcPr>
            <w:tcW w:w="5160" w:type="dxa"/>
            <w:vAlign w:val="bottom"/>
          </w:tcPr>
          <w:p>
            <w:pPr>
              <w:spacing w:after="0"/>
              <w:rPr>
                <w:sz w:val="24"/>
                <w:szCs w:val="24"/>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Restructuring</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the third quarter of fiscal year 2010, the Company initiated a post-acquisition restructuring plan related to the termination of certain duplicative employee positions upon the acquisition of WildBlue. Under the terms of the plan, the Company recorded restructuring charges of approximately $2.7 million as part of selling, general and administrative expenses within the satellite services segment, all of which remained unpaid and were recorded in accrued liabilities as of January 1, 2010. In late January 2010, the Company paid approximately $2.4 million of the outstanding restructuring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 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and comprises the Company’s former satellite networks and antenna systems segments, except for the satellite services segment. The Company’s satellite services segment includes both the Company’s recently acquired WildBlue business (which provides wholesale and retail satellite-based broadband internet services in the United States) and the Company’s managed network services which complement the commercial networks segment by supporting the satellite communication systems of the Company’s enterprise and mobile broadband customers. The Company’s satellite services segment also includes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2"/>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89,078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8"/>
              <w:spacing w:after="0"/>
              <w:rPr>
                <w:sz w:val="20"/>
                <w:szCs w:val="20"/>
                <w:color w:val="auto"/>
              </w:rPr>
            </w:pPr>
            <w:r>
              <w:rPr>
                <w:rFonts w:ascii="Arial" w:cs="Arial" w:eastAsia="Arial" w:hAnsi="Arial"/>
                <w:sz w:val="18"/>
                <w:szCs w:val="18"/>
                <w:color w:val="auto"/>
              </w:rPr>
              <w:t>93,757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284,453</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55,009</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54,208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172,709</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176,364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12,277</w:t>
            </w:r>
          </w:p>
        </w:tc>
        <w:tc>
          <w:tcPr>
            <w:tcW w:w="360" w:type="dxa"/>
            <w:vAlign w:val="bottom"/>
          </w:tcPr>
          <w:p>
            <w:pPr>
              <w:spacing w:after="0"/>
              <w:rPr>
                <w:sz w:val="18"/>
                <w:szCs w:val="18"/>
                <w:color w:val="auto"/>
              </w:rPr>
            </w:pPr>
          </w:p>
        </w:tc>
        <w:tc>
          <w:tcPr>
            <w:tcW w:w="1220" w:type="dxa"/>
            <w:vAlign w:val="bottom"/>
            <w:gridSpan w:val="2"/>
          </w:tcPr>
          <w:p>
            <w:pPr>
              <w:jc w:val="right"/>
              <w:ind w:right="528"/>
              <w:spacing w:after="0"/>
              <w:rPr>
                <w:sz w:val="20"/>
                <w:szCs w:val="20"/>
                <w:color w:val="auto"/>
              </w:rPr>
            </w:pPr>
            <w:r>
              <w:rPr>
                <w:rFonts w:ascii="Arial" w:cs="Arial" w:eastAsia="Arial" w:hAnsi="Arial"/>
                <w:sz w:val="18"/>
                <w:szCs w:val="18"/>
                <w:color w:val="auto"/>
              </w:rPr>
              <w:t>2,397</w:t>
            </w: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18,276</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156,364</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150,362</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475,438</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10,780</w:t>
            </w:r>
          </w:p>
        </w:tc>
        <w:tc>
          <w:tcPr>
            <w:tcW w:w="360" w:type="dxa"/>
            <w:vAlign w:val="bottom"/>
          </w:tcPr>
          <w:p>
            <w:pPr>
              <w:spacing w:after="0"/>
              <w:rPr>
                <w:sz w:val="18"/>
                <w:szCs w:val="18"/>
                <w:color w:val="auto"/>
              </w:rPr>
            </w:pPr>
          </w:p>
        </w:tc>
        <w:tc>
          <w:tcPr>
            <w:tcW w:w="1220" w:type="dxa"/>
            <w:vAlign w:val="bottom"/>
            <w:gridSpan w:val="2"/>
          </w:tcPr>
          <w:p>
            <w:pPr>
              <w:jc w:val="right"/>
              <w:ind w:right="528"/>
              <w:spacing w:after="0"/>
              <w:rPr>
                <w:sz w:val="20"/>
                <w:szCs w:val="20"/>
                <w:color w:val="auto"/>
              </w:rPr>
            </w:pPr>
            <w:r>
              <w:rPr>
                <w:rFonts w:ascii="Arial" w:cs="Arial" w:eastAsia="Arial" w:hAnsi="Arial"/>
                <w:sz w:val="18"/>
                <w:szCs w:val="18"/>
                <w:color w:val="auto"/>
              </w:rPr>
              <w:t>14,255</w:t>
            </w: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37,182</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2,950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(6,177)</w:t>
            </w:r>
          </w:p>
        </w:tc>
        <w:tc>
          <w:tcPr>
            <w:tcW w:w="360" w:type="dxa"/>
            <w:vAlign w:val="bottom"/>
          </w:tcPr>
          <w:p>
            <w:pPr>
              <w:spacing w:after="0"/>
              <w:rPr>
                <w:sz w:val="18"/>
                <w:szCs w:val="18"/>
                <w:color w:val="auto"/>
              </w:rPr>
            </w:pPr>
          </w:p>
        </w:tc>
        <w:tc>
          <w:tcPr>
            <w:tcW w:w="1220" w:type="dxa"/>
            <w:vAlign w:val="bottom"/>
            <w:gridSpan w:val="2"/>
          </w:tcPr>
          <w:p>
            <w:pPr>
              <w:jc w:val="right"/>
              <w:ind w:right="468"/>
              <w:spacing w:after="0"/>
              <w:rPr>
                <w:sz w:val="20"/>
                <w:szCs w:val="20"/>
                <w:color w:val="auto"/>
              </w:rPr>
            </w:pPr>
            <w:r>
              <w:rPr>
                <w:rFonts w:ascii="Arial" w:cs="Arial" w:eastAsia="Arial" w:hAnsi="Arial"/>
                <w:sz w:val="18"/>
                <w:szCs w:val="18"/>
                <w:color w:val="auto"/>
              </w:rPr>
              <w:t>(431)</w:t>
            </w:r>
          </w:p>
        </w:tc>
        <w:tc>
          <w:tcPr>
            <w:tcW w:w="2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(10,219)</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5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13,849</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29,913</w:t>
            </w:r>
          </w:p>
        </w:tc>
        <w:tc>
          <w:tcPr>
            <w:tcW w:w="6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Amortization of acquired intangibles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(1,901)</w:t>
            </w:r>
          </w:p>
        </w:tc>
        <w:tc>
          <w:tcPr>
            <w:tcW w:w="360" w:type="dxa"/>
            <w:vAlign w:val="bottom"/>
          </w:tcPr>
          <w:p>
            <w:pPr>
              <w:spacing w:after="0"/>
              <w:rPr>
                <w:sz w:val="18"/>
                <w:szCs w:val="18"/>
                <w:color w:val="auto"/>
              </w:rPr>
            </w:pPr>
          </w:p>
        </w:tc>
        <w:tc>
          <w:tcPr>
            <w:tcW w:w="1220" w:type="dxa"/>
            <w:vAlign w:val="bottom"/>
            <w:gridSpan w:val="2"/>
          </w:tcPr>
          <w:p>
            <w:pPr>
              <w:jc w:val="right"/>
              <w:ind w:right="468"/>
              <w:spacing w:after="0"/>
              <w:rPr>
                <w:sz w:val="20"/>
                <w:szCs w:val="20"/>
                <w:color w:val="auto"/>
              </w:rPr>
            </w:pPr>
            <w:r>
              <w:rPr>
                <w:rFonts w:ascii="Arial" w:cs="Arial" w:eastAsia="Arial" w:hAnsi="Arial"/>
                <w:sz w:val="18"/>
                <w:szCs w:val="18"/>
                <w:color w:val="auto"/>
              </w:rPr>
              <w:t>(2,337)</w:t>
            </w:r>
          </w:p>
        </w:tc>
        <w:tc>
          <w:tcPr>
            <w:tcW w:w="2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(4,768)</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1,862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11,559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25,162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acquired intangibles by segment for the three and nine months ended January 1, 2010 and January 2,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January 2, 2009</w:t>
            </w:r>
          </w:p>
        </w:tc>
        <w:tc>
          <w:tcPr>
            <w:tcW w:w="6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71"/>
              </w:rPr>
              <w:t>thousands)</w:t>
            </w: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7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272</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33"/>
              <w:spacing w:after="0"/>
              <w:rPr>
                <w:sz w:val="20"/>
                <w:szCs w:val="20"/>
                <w:color w:val="auto"/>
              </w:rPr>
            </w:pPr>
            <w:r>
              <w:rPr>
                <w:rFonts w:ascii="Arial" w:cs="Arial" w:eastAsia="Arial" w:hAnsi="Arial"/>
                <w:sz w:val="18"/>
                <w:szCs w:val="18"/>
                <w:color w:val="auto"/>
              </w:rPr>
              <w:t>2,065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3,412</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540</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6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January 1, 2010 and April 3, 2009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840" w:type="dxa"/>
            <w:vAlign w:val="bottom"/>
            <w:gridSpan w:val="4"/>
          </w:tcPr>
          <w:p>
            <w:pPr>
              <w:ind w:left="3540"/>
              <w:spacing w:after="0"/>
              <w:rPr>
                <w:sz w:val="20"/>
                <w:szCs w:val="20"/>
                <w:color w:val="auto"/>
              </w:rPr>
            </w:pPr>
            <w:r>
              <w:rPr>
                <w:rFonts w:ascii="Arial" w:cs="Arial" w:eastAsia="Arial" w:hAnsi="Arial"/>
                <w:sz w:val="14"/>
                <w:szCs w:val="14"/>
                <w:b w:val="1"/>
                <w:bCs w:val="1"/>
                <w:color w:val="auto"/>
              </w:rPr>
              <w:t>January 1, 2010</w:t>
            </w:r>
          </w:p>
        </w:tc>
        <w:tc>
          <w:tcPr>
            <w:tcW w:w="1220" w:type="dxa"/>
            <w:vAlign w:val="bottom"/>
            <w:gridSpan w:val="4"/>
          </w:tcPr>
          <w:p>
            <w:pPr>
              <w:ind w:left="32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3700" w:type="dxa"/>
            <w:vAlign w:val="bottom"/>
            <w:gridSpan w:val="2"/>
          </w:tcPr>
          <w:p>
            <w:pPr>
              <w:ind w:left="3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161,732</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162,209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109,598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433,539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Corporate assets</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8"/>
              <w:spacing w:after="0"/>
              <w:rPr>
                <w:sz w:val="20"/>
                <w:szCs w:val="20"/>
                <w:color w:val="auto"/>
              </w:rPr>
            </w:pPr>
            <w:r>
              <w:rPr>
                <w:rFonts w:ascii="Arial" w:cs="Arial" w:eastAsia="Arial" w:hAnsi="Arial"/>
                <w:sz w:val="18"/>
                <w:szCs w:val="18"/>
                <w:color w:val="auto"/>
              </w:rPr>
              <w:t>820,492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311,252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700" w:type="dxa"/>
            <w:vAlign w:val="bottom"/>
            <w:gridSpan w:val="2"/>
            <w:shd w:val="clear" w:color="auto" w:fill="CCEEFF"/>
          </w:tcPr>
          <w:p>
            <w:pPr>
              <w:ind w:left="35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1,254,031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622,942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acquired intangible assets and goodwill included in segment assets as of January 1, 2010 and April 3, 2009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4"/>
              </w:rPr>
              <w:t>Net acquired intangible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4"/>
                <w:szCs w:val="14"/>
                <w:b w:val="1"/>
                <w:bCs w:val="1"/>
                <w:color w:val="auto"/>
                <w:w w:val="77"/>
              </w:rPr>
              <w:t>assets</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3"/>
              </w:rPr>
              <w:t>January 1, 2010</w:t>
            </w:r>
          </w:p>
        </w:tc>
        <w:tc>
          <w:tcPr>
            <w:tcW w:w="60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April 3, 2009</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8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22,161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Commercial Networks</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10,451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13,863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43,268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43,268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8,633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three and nine months ended January 1, 2010 and January 2,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2"/>
              </w:rPr>
              <w:t>Three months ended</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6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74"/>
              </w:rPr>
              <w:t>thousands)</w:t>
            </w: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January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120,321</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w w:val="92"/>
              </w:rPr>
              <w:t>128,662</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380,723</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391,156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24,662</w:t>
            </w:r>
          </w:p>
        </w:tc>
        <w:tc>
          <w:tcPr>
            <w:tcW w:w="360" w:type="dxa"/>
            <w:vAlign w:val="bottom"/>
          </w:tcPr>
          <w:p>
            <w:pPr>
              <w:spacing w:after="0"/>
              <w:rPr>
                <w:sz w:val="18"/>
                <w:szCs w:val="18"/>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8"/>
                <w:szCs w:val="18"/>
                <w:color w:val="auto"/>
              </w:rPr>
              <w:t>12,223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64,261</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34,220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5,944</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5,489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18,380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2,782</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8"/>
                <w:szCs w:val="18"/>
                <w:color w:val="auto"/>
              </w:rPr>
              <w:t>3,151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5,650</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12,822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2,655</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837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156,364</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150,362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475,438</w:t>
            </w:r>
          </w:p>
        </w:tc>
        <w:tc>
          <w:tcPr>
            <w:tcW w:w="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462,603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The net book value of long-lived assets located outside the United States was $3.7 million and $0.3 million at January 1, 2010 and April 3, 2009,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Certain Relationships and Related-Party Transactions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7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Under the satellite construction contract with SS/L, the Company purchased a new high-capacity Ka-band spot-beam satellite (ViaSat-1) designed by the Company and currently under construction by SS/L for approximately $209.1 million, subject to purchase</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the Company and in the best interests of the Company and its stockholders.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nine months ended January 1, 2010 and January 2, 2009, under the satellite construction contract, the Company paid $51.3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$65.3 million, respectively, to SS/L and had $3.8 million and a $9.7 million payable related to SS/L as of January 1, 2010 and April 3, 2009,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ending January 1, 2010, the Company also received $2.4 million from SS/L under the beam sharing agreement with Loral. There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cash received from SS/L for the nine months ending January 2, 2009. Accounts receivable due from SS/L under the beam sharing agreement with Loral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$0.2 million and $0.3 million as of January 1, 2010 and April 3, 2009, respectively. From time to time the Company enters into various contracts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ordinary course of business with Telesat Canada. All amounts for the respective periods were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January 4, 2010, the Company repurchased 251,731 shares of ViaSat common stock from Intelsat USA Sales Corp (Intelsat) for $8.0 million in cash.</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69"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Item 1A,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following our recent acquisition of WildBlue, we are a leading provider of satellite broadband internet services in the United States. ViaSat was incorporated in California in 1986, and reincorporated as a Delaware corporation in 1996.</w:t>
      </w:r>
    </w:p>
    <w:p>
      <w:pPr>
        <w:spacing w:after="0" w:line="59"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On December 15, 2009, we completed our acquisition of WildBlue Holding, Inc. (WildBlue), a leading Ka-band satellite broadband internet service provider. In connection with the acquisition, we paid approximately $442.7 million in cash and issued approximately 4.29 million shares of ViaSat common stock to WildBlue equity and debt holders. ViaSat retained approximately $64.7 million of WildBlue’s cash on hand. To finance part of the cash payment made to WildBlue equity and debt holders, in October 2009 we issued $275.0 million in aggregate principal amount of 8.875% senior notes due 2016 (the Notes). To provide additional liquidity and flexibility in connection with the WildBlue acquisition, in October 2009 we also increased the amount of our revolving line of credit to $210.0 million.</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ViaSat operates in three segments: government systems, commercial networks and satellite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tactical armed forces, public safety first-responders and remote government employees.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17" w:lineRule="exact"/>
        <w:rPr>
          <w:sz w:val="20"/>
          <w:szCs w:val="20"/>
          <w:color w:val="auto"/>
        </w:rPr>
      </w:pPr>
    </w:p>
    <w:p>
      <w:pPr>
        <w:ind w:left="220" w:right="140" w:hanging="212"/>
        <w:spacing w:after="0" w:line="312" w:lineRule="auto"/>
        <w:tabs>
          <w:tab w:leader="none" w:pos="2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 JTRS) terminals (which we expect will be available in 2010), “disposable” weapon data links, portable small tactical terminals and digital video data links for intelligence, surveillance and reconnaissance from Unmanned Aerial Vehicles (UAVs) and ground systems,</w:t>
      </w:r>
    </w:p>
    <w:p>
      <w:pPr>
        <w:spacing w:after="0" w:line="38" w:lineRule="exact"/>
        <w:rPr>
          <w:rFonts w:ascii="Arial" w:cs="Arial" w:eastAsia="Arial" w:hAnsi="Arial"/>
          <w:sz w:val="16"/>
          <w:szCs w:val="16"/>
          <w:b w:val="1"/>
          <w:bCs w:val="1"/>
          <w:color w:val="auto"/>
        </w:rPr>
      </w:pPr>
    </w:p>
    <w:p>
      <w:pPr>
        <w:ind w:left="220" w:right="40" w:hanging="212"/>
        <w:spacing w:after="0" w:line="277"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Information assurance products that enable military and government users to communicate information securely over networks, and that secure data stored on computers and storage devices, and</w:t>
      </w:r>
    </w:p>
    <w:p>
      <w:pPr>
        <w:spacing w:after="0" w:line="62" w:lineRule="exact"/>
        <w:rPr>
          <w:rFonts w:ascii="Arial" w:cs="Arial" w:eastAsia="Arial" w:hAnsi="Arial"/>
          <w:sz w:val="18"/>
          <w:szCs w:val="18"/>
          <w:b w:val="1"/>
          <w:bCs w:val="1"/>
          <w:color w:val="auto"/>
        </w:rPr>
      </w:pPr>
    </w:p>
    <w:p>
      <w:pPr>
        <w:ind w:left="220" w:right="80" w:hanging="212"/>
        <w:spacing w:after="0" w:line="277" w:lineRule="auto"/>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including an array of portable and fixed broadband modems, terminals, network access control systems and antenna systems using a range of satellite frequency bands.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commercial networks segment develops and produces a variety of advanced end-to-end satellite communication systems and ground networking equipment and products that address five key market segments: enterprise, consumer, in-flight, maritime and ground mobile applications. These communication systems, networking equipment and products are generally developed through a combination of customer and discretionary internal research and development funding.</w:t>
      </w:r>
    </w:p>
    <w:p>
      <w:pPr>
        <w:spacing w:after="0" w:line="7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satellite communication systems and ground networking equipment and products cater to a wide range of domestic and international commercial customers and include:</w:t>
      </w:r>
    </w:p>
    <w:p>
      <w:pPr>
        <w:spacing w:after="0" w:line="62"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Mobile broadband satellite communication systems, designed for use in aircraft, seagoing vessels and high-speed trains,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Consumer broadband, including next-generation satellite network infrastructure and ground terminals to access high capacity satellites,</w:t>
      </w:r>
    </w:p>
    <w:p>
      <w:pPr>
        <w:spacing w:after="0" w:line="117" w:lineRule="exact"/>
        <w:rPr>
          <w:rFonts w:ascii="Arial" w:cs="Arial" w:eastAsia="Arial" w:hAnsi="Arial"/>
          <w:sz w:val="18"/>
          <w:szCs w:val="18"/>
          <w:b w:val="1"/>
          <w:bCs w:val="1"/>
          <w:color w:val="auto"/>
        </w:rPr>
      </w:pPr>
    </w:p>
    <w:p>
      <w:pPr>
        <w:ind w:left="220" w:right="116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including design and technology services covering all aspects of satellite communication system architecture and technology,</w:t>
      </w:r>
    </w:p>
    <w:p>
      <w:pPr>
        <w:spacing w:after="0" w:line="62" w:lineRule="exact"/>
        <w:rPr>
          <w:rFonts w:ascii="Arial" w:cs="Arial" w:eastAsia="Arial" w:hAnsi="Arial"/>
          <w:sz w:val="18"/>
          <w:szCs w:val="18"/>
          <w:b w:val="1"/>
          <w:bCs w:val="1"/>
          <w:color w:val="auto"/>
        </w:rPr>
      </w:pPr>
    </w:p>
    <w:p>
      <w:pPr>
        <w:ind w:left="220" w:right="14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and products, designed to provide enterprises with broadband access to the internet or private networks, and</w:t>
      </w:r>
    </w:p>
    <w:p>
      <w:pPr>
        <w:spacing w:after="0" w:line="62" w:lineRule="exact"/>
        <w:rPr>
          <w:rFonts w:ascii="Arial" w:cs="Arial" w:eastAsia="Arial" w:hAnsi="Arial"/>
          <w:sz w:val="18"/>
          <w:szCs w:val="18"/>
          <w:b w:val="1"/>
          <w:bCs w:val="1"/>
          <w:color w:val="auto"/>
        </w:rPr>
      </w:pPr>
    </w:p>
    <w:p>
      <w:pPr>
        <w:ind w:left="220" w:hanging="212"/>
        <w:spacing w:after="0"/>
        <w:tabs>
          <w:tab w:leader="none" w:pos="2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Antenna systems for terrestrial and satellite applications, specializing in small, low-profile, multi-band antennas for mobile satellite communications.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satellite services segment complements our commercial networks segment by providing wholesale and retail satellite-based broadband internet services in the United States via our satellite and capacity agreements and managed network services for the satellite communication systems of our enterprise and mobile broadband customers.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services offered by our satellite services segment comprise:</w:t>
      </w:r>
    </w:p>
    <w:p>
      <w:pPr>
        <w:spacing w:after="0" w:line="117" w:lineRule="exact"/>
        <w:rPr>
          <w:sz w:val="20"/>
          <w:szCs w:val="20"/>
          <w:color w:val="auto"/>
        </w:rPr>
      </w:pPr>
    </w:p>
    <w:p>
      <w:pPr>
        <w:ind w:left="220" w:right="680" w:hanging="212"/>
        <w:spacing w:after="0" w:line="342" w:lineRule="auto"/>
        <w:tabs>
          <w:tab w:leader="none" w:pos="22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Wholesale and retail broadband services, comprised of WildBlue</w:t>
      </w:r>
      <w:r>
        <w:rPr>
          <w:rFonts w:ascii="Arial" w:cs="Arial" w:eastAsia="Arial" w:hAnsi="Arial"/>
          <w:sz w:val="13"/>
          <w:szCs w:val="13"/>
          <w:color w:val="auto"/>
        </w:rPr>
        <w:t>®</w:t>
      </w:r>
      <w:r>
        <w:rPr>
          <w:rFonts w:ascii="Arial" w:cs="Arial" w:eastAsia="Arial" w:hAnsi="Arial"/>
          <w:sz w:val="16"/>
          <w:szCs w:val="16"/>
          <w:color w:val="auto"/>
        </w:rPr>
        <w:t xml:space="preserve"> service, which provides two-way satellite-based broadband internet access to consumers and small businesses in the United States. As of January 1, 2010, we provided WildBlue service to approximately 423,000 subscribers.</w:t>
      </w:r>
    </w:p>
    <w:p>
      <w:pPr>
        <w:spacing w:after="0" w:line="15" w:lineRule="exact"/>
        <w:rPr>
          <w:rFonts w:ascii="Arial" w:cs="Arial" w:eastAsia="Arial" w:hAnsi="Arial"/>
          <w:sz w:val="16"/>
          <w:szCs w:val="16"/>
          <w:b w:val="1"/>
          <w:bCs w:val="1"/>
          <w:color w:val="auto"/>
        </w:rPr>
      </w:pPr>
    </w:p>
    <w:p>
      <w:pPr>
        <w:ind w:left="220" w:hanging="212"/>
        <w:spacing w:after="0"/>
        <w:tabs>
          <w:tab w:leader="none" w:pos="2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Mobile broadband services, comprised of network management services for customers who use our ArcLight-based mobile satellite systems, and</w:t>
      </w:r>
    </w:p>
    <w:p>
      <w:pPr>
        <w:spacing w:after="0" w:line="128" w:lineRule="exact"/>
        <w:rPr>
          <w:rFonts w:ascii="Arial" w:cs="Arial" w:eastAsia="Arial" w:hAnsi="Arial"/>
          <w:sz w:val="17"/>
          <w:szCs w:val="17"/>
          <w:b w:val="1"/>
          <w:bCs w:val="1"/>
          <w:color w:val="auto"/>
        </w:rPr>
      </w:pPr>
    </w:p>
    <w:p>
      <w:pPr>
        <w:ind w:left="220" w:right="4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Managed broadband services, comprised of a full-service managed broadband service for everyday enterprise networking or backup protection for primary networks.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addition, following the launch of ViaSat-1, we expect to provide wholesale broadband service over ViaSat-1 in the United States at speeds and volumes that provide a broadband experience that is comparable to or better than terrestrial broadband alternatives such as cable modems and DSL connections. We expect this service to become available in 2011. We plan to offer wholesale broadband services via ViaSat-1 to national and regional distribution partners, including retail service providers and communications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7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Our products are provided primarily through three types of contracts: fixed-price, time-and-materials and cost-reimbursement contracts. Fixed-price contracts, which require us to provide products and services under a contract at a specified price, comprised approximately 92% and 87% of our revenues for the three months ended January 1, 2010 and January 2, 2009, respectively, and 90% and 86% of our revenues for the nine months ended January 1, 2010 and January 2, 2009, respectively. The remainder of our revenue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70" w:lineRule="exact"/>
        <w:rPr>
          <w:sz w:val="20"/>
          <w:szCs w:val="20"/>
          <w:color w:val="auto"/>
        </w:rPr>
      </w:pPr>
    </w:p>
    <w:p>
      <w:pPr>
        <w:ind w:right="200" w:firstLine="225"/>
        <w:spacing w:after="0" w:line="255"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$17.1 million or 11% and $28.9 million or 19% of our total revenues in the three months ended January 1, 2010 and January 2, 2009, respectively. Revenues for our funded research and development from our customer contracts were approximately $75.0 million or 16% and $93.3 million or 20% of our total revenues in the nine months ended January 1, 2010 and January 2, 2009, respectively.</w:t>
      </w:r>
    </w:p>
    <w:p>
      <w:pPr>
        <w:spacing w:after="0" w:line="8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5% of revenues during the three months ended January 1, 2010 and January 2, 2009, and 5% of revenues during the nine months ended January 1, 2010 and January 2, 2009. As a government contractor, we are able to recover a portion of our independent research and development expenses pursuant to our government contracts.</w:t>
      </w:r>
    </w:p>
    <w:p>
      <w:pPr>
        <w:spacing w:after="0" w:line="5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satellite services segment revenues are primarily derived from our recently acquired WildBlue business (which provides wholesale and retail satellite-based broadband internet services in the United States) and our managed network services which complement the commercial networks segment by supporting the satellite communication systems of the Company’s enterprise and mobile broadband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215"/>
        <w:spacing w:after="0" w:line="297"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authoritative guidance for the percentage-of-completion method of accounting (the American Institute of Certified Public Accountants’ (AICPA) Statement of Position 81-1 (SOP 81-1), “Accounting for Performance of Construction-Type and Certain Production-Type Contracts” /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50"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January 1, 2010 and January 2, 2009, we recorded losses of approximately $0.6 million and $0.2 million, respectively, related to loss contracts. During the nine months ended January 1, 2010 and January 2, 2009, we recorded losses of approximately $5.7 million and $1.6 million, respectively, related to loss contracts.</w:t>
      </w:r>
    </w:p>
    <w:p>
      <w:pPr>
        <w:spacing w:after="0" w:line="72"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would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January 1, 2010 would change our income before income taxes by approximately $0.4 million.</w:t>
      </w:r>
    </w:p>
    <w:p>
      <w:pPr>
        <w:spacing w:after="0" w:line="70"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We also have contracts and purchase orders where revenue is recorded on delivery of products or performance of services in accordance with the authoritative guidance for revenue recognition (Staff Accounting Bulletin No. 104 (SAB 104), “Revenue Recognition” / ASC 605). Under this standard, we recognize revenue when an arrangement exists, prices are determinable, collectability is reasonably assured and the goods or services have been delivered.</w:t>
      </w:r>
    </w:p>
    <w:p>
      <w:pPr>
        <w:spacing w:after="0" w:line="39"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We also enter into certain leasing arrangements with customers and evaluate the contracts in accordance with FASB ASC Topic 840 — Leases. Our accounting for equipment leases involves specific determinations under the authoritative guidance, which often involve complex provisions and significant judgments. In accordance with the authoritative guidance, we classify the transactions as 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the authoritative guidance for accounting for multiple element revenue arrangements (Emerging Issues Task Force 00-21 (EITF 00-21), “Accounting for Multiple Element Revenue Arrangements” / ASC 605-25),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57"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the authoritative guidance for share-based payments (revised Statement of Financial Accounting Standards (SFAS) No. 123 (SFAS 123R), “Share-Based Payment” / ASC 718). Stock-based compensation expense recognized under the authoritative guidance for share-based payments for the three months ended January 1, 2010 and January 2, 2009 was $3.3 million and $2.5 million, respectively. Stock-based compensation expense recognized under the authoritative guidance for share-based payments for the nine months ended January 1, 2010 and January 2, 2009 was $8.4 million and $7.6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a contributing factor to this is that a significant portion of our sales has been to the U.S. government. Our accounts receivable balance was $185.6 million, net of allowance for doubtful accounts of $0.1 million, as of January 1, 2010, and $164.1 million, net of allowance for doubtful accounts of $0.4 million, as of April 3, 2009.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222"/>
        <w:spacing w:after="0" w:line="254" w:lineRule="auto"/>
        <w:rPr>
          <w:sz w:val="20"/>
          <w:szCs w:val="20"/>
          <w:color w:val="auto"/>
        </w:rPr>
      </w:pPr>
      <w:r>
        <w:rPr>
          <w:rFonts w:ascii="Arial" w:cs="Arial" w:eastAsia="Arial" w:hAnsi="Arial"/>
          <w:sz w:val="18"/>
          <w:szCs w:val="18"/>
          <w:color w:val="auto"/>
        </w:rPr>
        <w:t>We account for our goodwill under authoritative guidance for goodwill and other intangible assets (SFAS 142, “Goodwill and Other Intangible Assets” / ASC 350). The guidance (SFAS 142 / ASC 350) for goodwill impairment model is a two-step process. First, it requires a comparison of the book value of net assets to the fair value of the reporting units that have goodwill assigned to them. Reporting units within our government systems, commercial networks and satellite services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guidance (SFAS 142 / ASC 350) related to the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Equipment, computers and software, furniture and fixtures, and our ViaSat-1 satellite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In addition, interest expense is capitalized on the carrying value of the satellite during the construction period. Satellite construction and launch services costs are capitalized to reflect progress toward completion, which typically coincides with contract milestone payment schedules. Insurance premiums related to the satellite launch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70" w:lineRule="exact"/>
        <w:rPr>
          <w:sz w:val="20"/>
          <w:szCs w:val="20"/>
          <w:color w:val="auto"/>
        </w:rPr>
      </w:pPr>
    </w:p>
    <w:p>
      <w:pPr>
        <w:ind w:right="60" w:firstLine="215"/>
        <w:spacing w:after="0" w:line="312" w:lineRule="auto"/>
        <w:rPr>
          <w:sz w:val="20"/>
          <w:szCs w:val="20"/>
          <w:color w:val="auto"/>
        </w:rPr>
      </w:pPr>
      <w:r>
        <w:rPr>
          <w:rFonts w:ascii="Arial" w:cs="Arial" w:eastAsia="Arial" w:hAnsi="Arial"/>
          <w:sz w:val="16"/>
          <w:szCs w:val="16"/>
          <w:color w:val="auto"/>
        </w:rPr>
        <w:t>As a result of the acquisition of WildBlue on December 15, 2009, we acquired the WildBlue-1 satellite (which was placed into service in March 2007) and an exclusive prepaid lifetime capital lease of Ka-band capacity on Telesat Canada’s Anik F2 satellite (which was placed into service in April 2005). The acquired assets also included the indoor and outdoor customer premise equipment (CPE) units leased to subscribers under WildBlue’s retail leasing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satellites, and other intangible assets)</w:t>
      </w:r>
    </w:p>
    <w:p>
      <w:pPr>
        <w:spacing w:after="0" w:line="117"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In accordance with the authoritative guidance for impairment or disposal of long-lived assets (SFAS 144, “Accounting for the Impairment or Disposal of Long-Lived Assets” / ASC 360), we assess potential impairments to our long-lived assets, including property, equipment and satellites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(SFAS 109, “Accounting for Income Taxes” / ASC 740), net deferred tax assets are reduced by a valuation allowance if, based on all the available evidence, it is more likely than not that some or all of the deferred tax assets will not be realized.</w:t>
      </w:r>
    </w:p>
    <w:p>
      <w:pPr>
        <w:spacing w:after="0" w:line="39"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Management evaluates the realizability of our deferred tax assets and assesses the need for a valuation allowance on a quarterly basis. In accordance with the authoritative guidance for income taxes, net deferred tax assets are reduced by a valuation allowance if, based on all the available evidence, it is more likely than not that some or all of the deferred tax assets will not be realized. Our valuation allowance against deferred tax assets increased from $2.1 million at April 3, 2009 to $10.9 million at January 1, 2010. The valuation allowance relates to state net operating loss carryforwards and research credit carryforwards available to reduce state income taxes. The increase in the valuation allowance was due to the acquisition of certain deferred tax assets of WildBlue. The acquired deferred tax assets from WildBlue were recorded net of the valuation allowance.</w:t>
      </w:r>
    </w:p>
    <w:p>
      <w:pPr>
        <w:spacing w:after="0" w:line="70" w:lineRule="exact"/>
        <w:rPr>
          <w:sz w:val="20"/>
          <w:szCs w:val="20"/>
          <w:color w:val="auto"/>
        </w:rPr>
      </w:pPr>
    </w:p>
    <w:p>
      <w:pPr>
        <w:ind w:right="200" w:firstLine="215"/>
        <w:spacing w:after="0" w:line="264"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(Financial Accounting Standards Board (FASB) Interpretation No. 48 (FIN 48), “Accounting for Uncertainty in Income Taxes — an interpretation of FASB Statement No. 109” / ASC 740). Under the guidance, we may recognize the tax benefit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80"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related revenues or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9"/>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60" w:type="dxa"/>
            <w:vAlign w:val="bottom"/>
            <w:tcBorders>
              <w:top w:val="single" w:sz="8" w:color="auto"/>
            </w:tcBorders>
            <w:gridSpan w:val="6"/>
          </w:tcPr>
          <w:p>
            <w:pPr>
              <w:jc w:val="right"/>
              <w:ind w:right="488"/>
              <w:spacing w:after="0" w:line="142" w:lineRule="exact"/>
              <w:rPr>
                <w:sz w:val="20"/>
                <w:szCs w:val="20"/>
                <w:color w:val="auto"/>
              </w:rPr>
            </w:pPr>
            <w:r>
              <w:rPr>
                <w:rFonts w:ascii="Arial" w:cs="Arial" w:eastAsia="Arial" w:hAnsi="Arial"/>
                <w:sz w:val="14"/>
                <w:szCs w:val="14"/>
                <w:b w:val="1"/>
                <w:bCs w:val="1"/>
                <w:color w:val="auto"/>
              </w:rPr>
              <w:t>January 1, 2010</w:t>
            </w: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January 2, 2009</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Borders>
              <w:top w:val="single" w:sz="8" w:color="auto"/>
            </w:tcBorders>
            <w:gridSpan w:val="6"/>
          </w:tcPr>
          <w:p>
            <w:pPr>
              <w:ind w:left="140"/>
              <w:spacing w:after="0" w:line="142" w:lineRule="exact"/>
              <w:rPr>
                <w:sz w:val="20"/>
                <w:szCs w:val="20"/>
                <w:color w:val="auto"/>
              </w:rPr>
            </w:pPr>
            <w:r>
              <w:rPr>
                <w:rFonts w:ascii="Arial" w:cs="Arial" w:eastAsia="Arial" w:hAnsi="Arial"/>
                <w:sz w:val="14"/>
                <w:szCs w:val="14"/>
                <w:b w:val="1"/>
                <w:bCs w:val="1"/>
                <w:color w:val="auto"/>
              </w:rPr>
              <w:t>January 1, 2010</w:t>
            </w:r>
          </w:p>
        </w:tc>
        <w:tc>
          <w:tcPr>
            <w:tcW w:w="12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January 2, 2009</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tcBorders>
              <w:top w:val="single" w:sz="8" w:color="auto"/>
            </w:tcBorders>
            <w:gridSpan w:val="5"/>
            <w:shd w:val="clear" w:color="auto" w:fill="CCEEFF"/>
          </w:tcPr>
          <w:p>
            <w:pPr>
              <w:jc w:val="right"/>
              <w:ind w:right="211"/>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1260" w:type="dxa"/>
            <w:vAlign w:val="bottom"/>
            <w:tcBorders>
              <w:top w:val="single" w:sz="8" w:color="auto"/>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tcBorders>
              <w:top w:val="single" w:sz="8" w:color="auto"/>
            </w:tcBorders>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tcBorders>
              <w:top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Product revenues</w:t>
            </w:r>
          </w:p>
        </w:tc>
        <w:tc>
          <w:tcPr>
            <w:tcW w:w="1240" w:type="dxa"/>
            <w:vAlign w:val="bottom"/>
            <w:gridSpan w:val="5"/>
          </w:tcPr>
          <w:p>
            <w:pPr>
              <w:jc w:val="right"/>
              <w:ind w:right="351"/>
              <w:spacing w:after="0"/>
              <w:rPr>
                <w:sz w:val="20"/>
                <w:szCs w:val="20"/>
                <w:color w:val="auto"/>
              </w:rPr>
            </w:pPr>
            <w:r>
              <w:rPr>
                <w:rFonts w:ascii="Arial" w:cs="Arial" w:eastAsia="Arial" w:hAnsi="Arial"/>
                <w:sz w:val="18"/>
                <w:szCs w:val="18"/>
                <w:color w:val="auto"/>
              </w:rPr>
              <w:t>87.7</w:t>
            </w:r>
          </w:p>
        </w:tc>
        <w:tc>
          <w:tcPr>
            <w:tcW w:w="420" w:type="dxa"/>
            <w:vAlign w:val="bottom"/>
          </w:tcPr>
          <w:p>
            <w:pPr>
              <w:spacing w:after="0"/>
              <w:rPr>
                <w:sz w:val="18"/>
                <w:szCs w:val="18"/>
                <w:color w:val="auto"/>
              </w:rPr>
            </w:pPr>
          </w:p>
        </w:tc>
        <w:tc>
          <w:tcPr>
            <w:tcW w:w="1260" w:type="dxa"/>
            <w:vAlign w:val="bottom"/>
            <w:gridSpan w:val="5"/>
          </w:tcPr>
          <w:p>
            <w:pPr>
              <w:jc w:val="right"/>
              <w:ind w:right="420"/>
              <w:spacing w:after="0"/>
              <w:rPr>
                <w:sz w:val="20"/>
                <w:szCs w:val="20"/>
                <w:color w:val="auto"/>
              </w:rPr>
            </w:pPr>
            <w:r>
              <w:rPr>
                <w:rFonts w:ascii="Arial" w:cs="Arial" w:eastAsia="Arial" w:hAnsi="Arial"/>
                <w:sz w:val="18"/>
                <w:szCs w:val="18"/>
                <w:color w:val="auto"/>
              </w:rPr>
              <w:t>93.9</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jc w:val="right"/>
              <w:ind w:right="348"/>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240" w:type="dxa"/>
            <w:vAlign w:val="bottom"/>
            <w:gridSpan w:val="5"/>
            <w:shd w:val="clear" w:color="auto" w:fill="CCEEFF"/>
          </w:tcPr>
          <w:p>
            <w:pPr>
              <w:jc w:val="right"/>
              <w:ind w:right="351"/>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240" w:type="dxa"/>
            <w:vAlign w:val="bottom"/>
            <w:gridSpan w:val="5"/>
            <w:shd w:val="clear" w:color="auto" w:fill="CCEEFF"/>
          </w:tcPr>
          <w:p>
            <w:pPr>
              <w:jc w:val="right"/>
              <w:ind w:right="351"/>
              <w:spacing w:after="0"/>
              <w:rPr>
                <w:sz w:val="20"/>
                <w:szCs w:val="20"/>
                <w:color w:val="auto"/>
              </w:rPr>
            </w:pPr>
            <w:r>
              <w:rPr>
                <w:rFonts w:ascii="Arial" w:cs="Arial" w:eastAsia="Arial" w:hAnsi="Arial"/>
                <w:sz w:val="18"/>
                <w:szCs w:val="18"/>
                <w:color w:val="auto"/>
              </w:rPr>
              <w:t>72.0</w:t>
            </w:r>
          </w:p>
        </w:tc>
        <w:tc>
          <w:tcPr>
            <w:tcW w:w="4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71.4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70.6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Cost of service revenues</w:t>
            </w:r>
          </w:p>
        </w:tc>
        <w:tc>
          <w:tcPr>
            <w:tcW w:w="1240" w:type="dxa"/>
            <w:vAlign w:val="bottom"/>
            <w:gridSpan w:val="5"/>
          </w:tcPr>
          <w:p>
            <w:pPr>
              <w:jc w:val="right"/>
              <w:ind w:right="351"/>
              <w:spacing w:after="0"/>
              <w:rPr>
                <w:sz w:val="20"/>
                <w:szCs w:val="20"/>
                <w:color w:val="auto"/>
              </w:rPr>
            </w:pPr>
            <w:r>
              <w:rPr>
                <w:rFonts w:ascii="Arial" w:cs="Arial" w:eastAsia="Arial" w:hAnsi="Arial"/>
                <w:sz w:val="18"/>
                <w:szCs w:val="18"/>
                <w:color w:val="auto"/>
              </w:rPr>
              <w:t>60.4</w:t>
            </w:r>
          </w:p>
        </w:tc>
        <w:tc>
          <w:tcPr>
            <w:tcW w:w="420" w:type="dxa"/>
            <w:vAlign w:val="bottom"/>
          </w:tcPr>
          <w:p>
            <w:pPr>
              <w:spacing w:after="0"/>
              <w:rPr>
                <w:sz w:val="18"/>
                <w:szCs w:val="18"/>
                <w:color w:val="auto"/>
              </w:rPr>
            </w:pPr>
          </w:p>
        </w:tc>
        <w:tc>
          <w:tcPr>
            <w:tcW w:w="1260" w:type="dxa"/>
            <w:vAlign w:val="bottom"/>
            <w:gridSpan w:val="5"/>
          </w:tcPr>
          <w:p>
            <w:pPr>
              <w:jc w:val="right"/>
              <w:ind w:right="420"/>
              <w:spacing w:after="0"/>
              <w:rPr>
                <w:sz w:val="20"/>
                <w:szCs w:val="20"/>
                <w:color w:val="auto"/>
              </w:rPr>
            </w:pPr>
            <w:r>
              <w:rPr>
                <w:rFonts w:ascii="Arial" w:cs="Arial" w:eastAsia="Arial" w:hAnsi="Arial"/>
                <w:sz w:val="18"/>
                <w:szCs w:val="18"/>
                <w:color w:val="auto"/>
              </w:rPr>
              <w:t>51.5</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jc w:val="right"/>
              <w:ind w:right="348"/>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gridSpan w:val="5"/>
            <w:shd w:val="clear" w:color="auto" w:fill="CCEEFF"/>
          </w:tcPr>
          <w:p>
            <w:pPr>
              <w:jc w:val="right"/>
              <w:ind w:right="351"/>
              <w:spacing w:after="0"/>
              <w:rPr>
                <w:sz w:val="20"/>
                <w:szCs w:val="20"/>
                <w:color w:val="auto"/>
              </w:rPr>
            </w:pPr>
            <w:r>
              <w:rPr>
                <w:rFonts w:ascii="Arial" w:cs="Arial" w:eastAsia="Arial" w:hAnsi="Arial"/>
                <w:sz w:val="18"/>
                <w:szCs w:val="18"/>
                <w:color w:val="auto"/>
              </w:rPr>
              <w:t>22.0</w:t>
            </w:r>
          </w:p>
        </w:tc>
        <w:tc>
          <w:tcPr>
            <w:tcW w:w="4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Independent research and development</w:t>
            </w:r>
          </w:p>
        </w:tc>
        <w:tc>
          <w:tcPr>
            <w:tcW w:w="1240" w:type="dxa"/>
            <w:vAlign w:val="bottom"/>
            <w:gridSpan w:val="5"/>
          </w:tcPr>
          <w:p>
            <w:pPr>
              <w:jc w:val="right"/>
              <w:ind w:right="351"/>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1260" w:type="dxa"/>
            <w:vAlign w:val="bottom"/>
            <w:gridSpan w:val="5"/>
          </w:tcPr>
          <w:p>
            <w:pPr>
              <w:jc w:val="right"/>
              <w:ind w:right="420"/>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jc w:val="right"/>
              <w:ind w:right="348"/>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240" w:type="dxa"/>
            <w:vAlign w:val="bottom"/>
            <w:gridSpan w:val="5"/>
            <w:shd w:val="clear" w:color="auto" w:fill="CCEEFF"/>
          </w:tcPr>
          <w:p>
            <w:pPr>
              <w:jc w:val="right"/>
              <w:ind w:right="351"/>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gridSpan w:val="5"/>
            <w:shd w:val="clear" w:color="auto" w:fill="CCEEFF"/>
          </w:tcPr>
          <w:p>
            <w:pPr>
              <w:jc w:val="right"/>
              <w:ind w:right="351"/>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5"/>
          </w:tcPr>
          <w:p>
            <w:pPr>
              <w:jc w:val="right"/>
              <w:ind w:right="351"/>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260" w:type="dxa"/>
            <w:vAlign w:val="bottom"/>
            <w:gridSpan w:val="5"/>
          </w:tcPr>
          <w:p>
            <w:pPr>
              <w:jc w:val="right"/>
              <w:ind w:right="42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4"/>
          </w:tcPr>
          <w:p>
            <w:pPr>
              <w:jc w:val="right"/>
              <w:ind w:right="348"/>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4"/>
          </w:tcPr>
          <w:p>
            <w:pPr>
              <w:jc w:val="right"/>
              <w:ind w:right="4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240" w:type="dxa"/>
            <w:vAlign w:val="bottom"/>
            <w:gridSpan w:val="5"/>
            <w:shd w:val="clear" w:color="auto" w:fill="CCEEFF"/>
          </w:tcPr>
          <w:p>
            <w:pPr>
              <w:jc w:val="right"/>
              <w:ind w:right="351"/>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32"/>
        </w:trPr>
        <w:tc>
          <w:tcPr>
            <w:tcW w:w="6820" w:type="dxa"/>
            <w:vAlign w:val="bottom"/>
            <w:gridSpan w:val="7"/>
          </w:tcPr>
          <w:p>
            <w:pPr>
              <w:spacing w:after="0"/>
              <w:rPr>
                <w:sz w:val="20"/>
                <w:szCs w:val="20"/>
                <w:color w:val="auto"/>
              </w:rPr>
            </w:pPr>
            <w:r>
              <w:rPr>
                <w:rFonts w:ascii="Arial" w:cs="Arial" w:eastAsia="Arial" w:hAnsi="Arial"/>
                <w:sz w:val="18"/>
                <w:szCs w:val="18"/>
                <w:b w:val="1"/>
                <w:bCs w:val="1"/>
                <w:color w:val="auto"/>
              </w:rPr>
              <w:t>Three Months Ended January 1, 2010 vs. Three Months Ended January 2, 2009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0"/>
                <w:szCs w:val="20"/>
                <w:color w:val="auto"/>
              </w:rPr>
            </w:pPr>
            <w:r>
              <w:rPr>
                <w:rFonts w:ascii="Arial" w:cs="Arial" w:eastAsia="Arial" w:hAnsi="Arial"/>
                <w:sz w:val="18"/>
                <w:szCs w:val="18"/>
                <w:i w:val="1"/>
                <w:iCs w:val="1"/>
                <w:color w:val="auto"/>
              </w:rPr>
              <w:t>Product revenues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8"/>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Dollar</w:t>
            </w:r>
          </w:p>
        </w:tc>
        <w:tc>
          <w:tcPr>
            <w:tcW w:w="2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8"/>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January 2,</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4"/>
              </w:rPr>
              <w:t>increase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1660" w:type="dxa"/>
            <w:vAlign w:val="bottom"/>
            <w:gridSpan w:val="6"/>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220" w:type="dxa"/>
            <w:vAlign w:val="bottom"/>
            <w:tcBorders>
              <w:top w:val="single" w:sz="8" w:color="auto"/>
            </w:tcBorders>
          </w:tcPr>
          <w:p>
            <w:pPr>
              <w:spacing w:after="0"/>
              <w:rPr>
                <w:sz w:val="16"/>
                <w:szCs w:val="16"/>
                <w:color w:val="auto"/>
              </w:rPr>
            </w:pPr>
          </w:p>
        </w:tc>
        <w:tc>
          <w:tcPr>
            <w:tcW w:w="500" w:type="dxa"/>
            <w:vAlign w:val="bottom"/>
            <w:gridSpan w:val="2"/>
          </w:tcPr>
          <w:p>
            <w:pPr>
              <w:spacing w:after="0"/>
              <w:rPr>
                <w:sz w:val="16"/>
                <w:szCs w:val="16"/>
                <w:color w:val="auto"/>
              </w:rPr>
            </w:pPr>
          </w:p>
        </w:tc>
        <w:tc>
          <w:tcPr>
            <w:tcW w:w="940" w:type="dxa"/>
            <w:vAlign w:val="bottom"/>
            <w:tcBorders>
              <w:top w:val="single" w:sz="8" w:color="auto"/>
            </w:tcBorders>
            <w:gridSpan w:val="3"/>
          </w:tcPr>
          <w:p>
            <w:pPr>
              <w:jc w:val="right"/>
              <w:ind w:right="148"/>
              <w:spacing w:after="0" w:line="195" w:lineRule="exact"/>
              <w:rPr>
                <w:sz w:val="20"/>
                <w:szCs w:val="20"/>
                <w:color w:val="auto"/>
              </w:rPr>
            </w:pPr>
            <w:r>
              <w:rPr>
                <w:rFonts w:ascii="Arial" w:cs="Arial" w:eastAsia="Arial" w:hAnsi="Arial"/>
                <w:sz w:val="18"/>
                <w:szCs w:val="18"/>
                <w:color w:val="auto"/>
              </w:rPr>
              <w:t>$137.1</w:t>
            </w:r>
          </w:p>
        </w:tc>
        <w:tc>
          <w:tcPr>
            <w:tcW w:w="100" w:type="dxa"/>
            <w:vAlign w:val="bottom"/>
            <w:tcBorders>
              <w:top w:val="single" w:sz="8" w:color="auto"/>
            </w:tcBorders>
          </w:tcPr>
          <w:p>
            <w:pPr>
              <w:spacing w:after="0"/>
              <w:rPr>
                <w:sz w:val="16"/>
                <w:szCs w:val="16"/>
                <w:color w:val="auto"/>
              </w:rPr>
            </w:pPr>
          </w:p>
        </w:tc>
        <w:tc>
          <w:tcPr>
            <w:tcW w:w="500" w:type="dxa"/>
            <w:vAlign w:val="bottom"/>
            <w:gridSpan w:val="2"/>
          </w:tcPr>
          <w:p>
            <w:pPr>
              <w:spacing w:after="0"/>
              <w:rPr>
                <w:sz w:val="16"/>
                <w:szCs w:val="16"/>
                <w:color w:val="auto"/>
              </w:rPr>
            </w:pPr>
          </w:p>
        </w:tc>
        <w:tc>
          <w:tcPr>
            <w:tcW w:w="1040" w:type="dxa"/>
            <w:vAlign w:val="bottom"/>
            <w:tcBorders>
              <w:top w:val="single" w:sz="8" w:color="auto"/>
            </w:tcBorders>
            <w:gridSpan w:val="3"/>
          </w:tcPr>
          <w:p>
            <w:pPr>
              <w:jc w:val="right"/>
              <w:ind w:right="320"/>
              <w:spacing w:after="0" w:line="195" w:lineRule="exact"/>
              <w:rPr>
                <w:sz w:val="20"/>
                <w:szCs w:val="20"/>
                <w:color w:val="auto"/>
              </w:rPr>
            </w:pPr>
            <w:r>
              <w:rPr>
                <w:rFonts w:ascii="Arial" w:cs="Arial" w:eastAsia="Arial" w:hAnsi="Arial"/>
                <w:sz w:val="18"/>
                <w:szCs w:val="18"/>
                <w:color w:val="auto"/>
              </w:rPr>
              <w:t>$141.2</w:t>
            </w:r>
          </w:p>
        </w:tc>
        <w:tc>
          <w:tcPr>
            <w:tcW w:w="40" w:type="dxa"/>
            <w:vAlign w:val="bottom"/>
          </w:tcPr>
          <w:p>
            <w:pPr>
              <w:spacing w:after="0"/>
              <w:rPr>
                <w:sz w:val="16"/>
                <w:szCs w:val="16"/>
                <w:color w:val="auto"/>
              </w:rPr>
            </w:pPr>
          </w:p>
        </w:tc>
        <w:tc>
          <w:tcPr>
            <w:tcW w:w="460" w:type="dxa"/>
            <w:vAlign w:val="bottom"/>
            <w:gridSpan w:val="2"/>
          </w:tcPr>
          <w:p>
            <w:pPr>
              <w:spacing w:after="0"/>
              <w:rPr>
                <w:sz w:val="16"/>
                <w:szCs w:val="16"/>
                <w:color w:val="auto"/>
              </w:rPr>
            </w:pPr>
          </w:p>
        </w:tc>
        <w:tc>
          <w:tcPr>
            <w:tcW w:w="780" w:type="dxa"/>
            <w:vAlign w:val="bottom"/>
            <w:tcBorders>
              <w:top w:val="single" w:sz="8" w:color="auto"/>
            </w:tcBorders>
            <w:gridSpan w:val="2"/>
          </w:tcPr>
          <w:p>
            <w:pPr>
              <w:jc w:val="center"/>
              <w:ind w:left="85"/>
              <w:spacing w:after="0" w:line="195" w:lineRule="exact"/>
              <w:rPr>
                <w:sz w:val="20"/>
                <w:szCs w:val="20"/>
                <w:color w:val="auto"/>
              </w:rPr>
            </w:pPr>
            <w:r>
              <w:rPr>
                <w:rFonts w:ascii="Arial" w:cs="Arial" w:eastAsia="Arial" w:hAnsi="Arial"/>
                <w:sz w:val="18"/>
                <w:szCs w:val="18"/>
                <w:color w:val="auto"/>
                <w:w w:val="97"/>
              </w:rPr>
              <w:t>$(4.0)</w:t>
            </w:r>
          </w:p>
        </w:tc>
        <w:tc>
          <w:tcPr>
            <w:tcW w:w="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Borders>
              <w:top w:val="single" w:sz="8" w:color="auto"/>
            </w:tcBorders>
            <w:gridSpan w:val="3"/>
          </w:tcPr>
          <w:p>
            <w:pPr>
              <w:jc w:val="right"/>
              <w:ind w:right="120"/>
              <w:spacing w:after="0" w:line="195"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60" w:type="dxa"/>
            <w:vAlign w:val="bottom"/>
            <w:gridSpan w:val="6"/>
          </w:tcPr>
          <w:p>
            <w:pPr>
              <w:jc w:val="right"/>
              <w:ind w:right="8"/>
              <w:spacing w:after="0"/>
              <w:rPr>
                <w:sz w:val="20"/>
                <w:szCs w:val="20"/>
                <w:color w:val="auto"/>
              </w:rPr>
            </w:pPr>
            <w:r>
              <w:rPr>
                <w:rFonts w:ascii="Arial" w:cs="Arial" w:eastAsia="Arial" w:hAnsi="Arial"/>
                <w:sz w:val="18"/>
                <w:szCs w:val="18"/>
                <w:color w:val="auto"/>
              </w:rPr>
              <w:t>87.7%</w:t>
            </w:r>
          </w:p>
        </w:tc>
        <w:tc>
          <w:tcPr>
            <w:tcW w:w="1640" w:type="dxa"/>
            <w:vAlign w:val="bottom"/>
            <w:gridSpan w:val="6"/>
          </w:tcPr>
          <w:p>
            <w:pPr>
              <w:jc w:val="right"/>
              <w:ind w:right="180"/>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Product revenues decreased from $141.2 million to $137.1 million during the third quarter of fiscal year 2010 when compared to the same period last year. The decrease is primarily related to a $4.7 million reduction in government systems segment product revenues partially offset by an increase of $0.8 million from the commercial networks segment. The product revenue decrease in our government systems segment primarily resulted from lower product sales of $6.8 million in next-generation tactical data link development and $1.3 million in video data link systems, offset by higher product sales of $4.1 million in next-generation military satellite communication systems. Our commercial networks segment product revenue increase was mainly due to higher product sales of $6.6 million from our enterprise VSAT products and $4.7 million from our antenna systems products, offset by a reduction in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product sales from our mobile satellite communications systems of $5.4 million and $4.2 million from our consumer broadband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92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$19.2</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$9.2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12.3%</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Service revenues increased from $9.2 million to $19.2 million primarily due to the acquisition of WildBlue which contributed $9.0 million of service revenues in our satellite services segment in the third quarter of fiscal year 2010, since the date of acquisition. The remainder of the service revenue increase was primarily driven by mobile satellite services, which were also included in our satellite services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4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$98.7</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$100.8</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$(2.1)</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product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72.0%</w:t>
            </w:r>
          </w:p>
        </w:tc>
        <w:tc>
          <w:tcPr>
            <w:tcW w:w="1540" w:type="dxa"/>
            <w:vAlign w:val="bottom"/>
            <w:gridSpan w:val="2"/>
          </w:tcPr>
          <w:p>
            <w:pPr>
              <w:jc w:val="right"/>
              <w:ind w:right="82"/>
              <w:spacing w:after="0"/>
              <w:rPr>
                <w:sz w:val="20"/>
                <w:szCs w:val="20"/>
                <w:color w:val="auto"/>
              </w:rPr>
            </w:pPr>
            <w:r>
              <w:rPr>
                <w:rFonts w:ascii="Arial" w:cs="Arial" w:eastAsia="Arial" w:hAnsi="Arial"/>
                <w:sz w:val="18"/>
                <w:szCs w:val="18"/>
                <w:color w:val="auto"/>
              </w:rPr>
              <w:t>71.4%</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Our quarterly cost of product revenues decreased from $100.8 million to $98.7 million during the third quarter of fiscal year 2010 when compared to the third quarter of fiscal year 2009 primarily due to our decreased product revenues. Cost of product revenues as a percentage of product revenues stayed relatively flat at 71.4% for the third quarter of fiscal year 2009 and 72.0% for the third quarter of fiscal year 2010. This was primarily a result of product cost increases of approximately $2.2 million in our government systems segment mainly from lower margins earned on next-generation tactical data link development programs, offset by product cost decreases of approximately $0.9 million in our commercial networks segment mainly from enterprise VSAT products. Cost of product revenues may fluctuate in future periods depending on the mix of products sold, competition, new product introduction costs and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service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$11.6</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$ 4.7</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$6.9</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service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60.4%</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51.5%</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Our quarterly cost of service revenues increased from $4.7 million to $11.6 million during the third quarter of fiscal year 2010 when compared to the third quarter of fiscal year 2009 primarily due the service revenue increase from the acquisition of WildBlue included in our satellite services segment. The remainder of the increase in cost of service revenues was primarily driven by service cost increases in mobile satellite service development efforts also within our satellite services segment. Cost of service revenues may fluctuate in future periods depending on the mix of services provided, competition, new service introduction costs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Pr>
          <w:p>
            <w:pPr>
              <w:spacing w:after="0"/>
              <w:rPr>
                <w:sz w:val="10"/>
                <w:szCs w:val="10"/>
                <w:color w:val="auto"/>
              </w:rPr>
            </w:pPr>
          </w:p>
        </w:tc>
        <w:tc>
          <w:tcPr>
            <w:tcW w:w="100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50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4"/>
              <w:spacing w:after="0" w:line="195" w:lineRule="exact"/>
              <w:rPr>
                <w:sz w:val="20"/>
                <w:szCs w:val="20"/>
                <w:color w:val="auto"/>
              </w:rPr>
            </w:pPr>
            <w:r>
              <w:rPr>
                <w:rFonts w:ascii="Arial" w:cs="Arial" w:eastAsia="Arial" w:hAnsi="Arial"/>
                <w:sz w:val="18"/>
                <w:szCs w:val="18"/>
                <w:color w:val="auto"/>
              </w:rPr>
              <w:t>$34.4</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$24.0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$10.5</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500" w:type="dxa"/>
            <w:vAlign w:val="bottom"/>
            <w:gridSpan w:val="2"/>
          </w:tcPr>
          <w:p>
            <w:pPr>
              <w:jc w:val="right"/>
              <w:ind w:right="124"/>
              <w:spacing w:after="0"/>
              <w:rPr>
                <w:sz w:val="20"/>
                <w:szCs w:val="20"/>
                <w:color w:val="auto"/>
              </w:rPr>
            </w:pPr>
            <w:r>
              <w:rPr>
                <w:rFonts w:ascii="Arial" w:cs="Arial" w:eastAsia="Arial" w:hAnsi="Arial"/>
                <w:sz w:val="18"/>
                <w:szCs w:val="18"/>
                <w:color w:val="auto"/>
              </w:rPr>
              <w:t>22.0%</w:t>
            </w:r>
          </w:p>
        </w:tc>
        <w:tc>
          <w:tcPr>
            <w:tcW w:w="1500" w:type="dxa"/>
            <w:vAlign w:val="bottom"/>
            <w:gridSpan w:val="2"/>
          </w:tcPr>
          <w:p>
            <w:pPr>
              <w:jc w:val="right"/>
              <w:ind w:right="122"/>
              <w:spacing w:after="0"/>
              <w:rPr>
                <w:sz w:val="20"/>
                <w:szCs w:val="20"/>
                <w:color w:val="auto"/>
              </w:rPr>
            </w:pPr>
            <w:r>
              <w:rPr>
                <w:rFonts w:ascii="Arial" w:cs="Arial" w:eastAsia="Arial" w:hAnsi="Arial"/>
                <w:sz w:val="18"/>
                <w:szCs w:val="18"/>
                <w:color w:val="auto"/>
              </w:rPr>
              <w:t>15.9%</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0" w:type="dxa"/>
            <w:vAlign w:val="bottom"/>
          </w:tcPr>
          <w:p>
            <w:pPr>
              <w:spacing w:after="0"/>
              <w:rPr>
                <w:sz w:val="24"/>
                <w:szCs w:val="24"/>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increase in selling, general and administrative expenses (SG&amp;A) of $10.5 million in the third quarter of fiscal year 2010 compared to the third quarter of fiscal year 2009 was primarily attributable to $4.6 million in transaction expenses incurred in connection with the WildBlue acquisition and $5.0 million in SG&amp;A attributable to WildBlue from the day of the acquisition through the end of the quarter (of which $2.7 million related to certain post-acquisition charges recorded for restructuring cost related to terminated employees).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January 1,</w:t>
            </w:r>
          </w:p>
        </w:tc>
        <w:tc>
          <w:tcPr>
            <w:tcW w:w="52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January 2,</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$7.9</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$7.0</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$0.9</w:t>
            </w:r>
          </w:p>
        </w:tc>
        <w:tc>
          <w:tcPr>
            <w:tcW w:w="54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Percentage of revenues</w:t>
            </w:r>
          </w:p>
        </w:tc>
        <w:tc>
          <w:tcPr>
            <w:tcW w:w="900" w:type="dxa"/>
            <w:vAlign w:val="bottom"/>
          </w:tcPr>
          <w:p>
            <w:pPr>
              <w:jc w:val="right"/>
              <w:ind w:right="122"/>
              <w:spacing w:after="0"/>
              <w:rPr>
                <w:sz w:val="20"/>
                <w:szCs w:val="20"/>
                <w:color w:val="auto"/>
              </w:rPr>
            </w:pPr>
            <w:r>
              <w:rPr>
                <w:rFonts w:ascii="Arial" w:cs="Arial" w:eastAsia="Arial" w:hAnsi="Arial"/>
                <w:sz w:val="18"/>
                <w:szCs w:val="18"/>
                <w:color w:val="auto"/>
              </w:rPr>
              <w:t>5.0%</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increase in independent, research and development (IR&amp;D) expenses of approximately $0.9 million reflected a year-over-year third quarter increase in the commercial networks segment of $1.7 million during the third quarter of fiscal year 2010 when compared to the same period in fiscal year 2009 and a decrease in the government systems segment of $0.9 million. The higher IR&amp;D expenses were principally due to increased IR&amp;D related to next generation consumer broadband products.</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We amortize our acquired intangible assets from prior acquisitions over their estimated useful lives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eight months to ten years. The decrease in amortization is due to the fact that certain acquired technology intangibles in our commercial networks segment became fully amortized over the preceding twelve-months, offset partially by amortization of approximately $0.5 million related to the new intangibles acquired as a result of the WildBlue acquisition in December 2009. Current and expected amortization expense for each of the following periods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1,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4,768</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4,598</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16,551</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13,446</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11,705</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29,880</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firstLine="225"/>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The increase in interest income of $0.3 million quarter over quarter was primarily due to slightly higher average interest rates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and higher average invested cash balances during the third quarter of fiscal year 2010 when compared to the same period last fiscal year.</w:t>
      </w:r>
    </w:p>
    <w:p>
      <w:pPr>
        <w:spacing w:after="0" w:line="16"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increase in interest expense of $2.0 million quarter over quarter was primarily due to interest expense in connection with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revolving credit facility (the Credit Facility). We capitalized $3.8 million of interest expense associated with the construction of our ViaSat-1 satellite during the three months ended January 1, 2010 compared to no amounts capitalized during the corresponding period of the prior fiscal year. The amount of such capitalized interest will depend on the carrying value of the ViaSat-1 satellite and the duration of the construction phase of the project. We expect to incur significantly more interest expense as a result of the issuance on October 22, 2009 of the Notes and will continue to capitalize additional interest related to our ViaSat-1 satellite construction project.</w:t>
      </w:r>
    </w:p>
    <w:p>
      <w:pPr>
        <w:spacing w:after="0" w:line="85"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The income tax benefit of $2.9 million for the third quarter of fiscal 2010 was lower than the expected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17.4% estimated annual effective tax rate primarily due to the recognition of approximately $2.6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million of previously unrecognized tax benefits due to the expiration of the statute of limitations for certain previously filed tax returns, partially offset by non-deductible acquisition-related costs associated with our WildBlue acquisition. Our estimated annual effective tax rate of approximately 17.4% for fiscal year 2010 reflects the expiration of the federal research and development tax credit on December 31, 2009. If the federal research and development tax credit is reinstated, we may have a lower annual effective tax rate and the amount of the tax rate reduction will depend on the effective date of any such reinstatement, the terms of the reinstatement as well as the amount of eligible research and development expenses in the reinstated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January 1, 2010 vs. Three Months Ended January 2,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$89.1</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$93.8</w:t>
            </w:r>
          </w:p>
        </w:tc>
        <w:tc>
          <w:tcPr>
            <w:tcW w:w="5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$(4.7)</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revenue decrease in our government systems segment was primarily derived from lower product sales of $6.8 million in next-generation tactical data link development and $1.3 million in video data link systems, offset by higher product sales of $4.1 million in next-generation military satellite communication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$10.8</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$14.3</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$(3.5)</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Percentage of segment revenue</w:t>
            </w:r>
          </w:p>
        </w:tc>
        <w:tc>
          <w:tcPr>
            <w:tcW w:w="1000" w:type="dxa"/>
            <w:vAlign w:val="bottom"/>
          </w:tcPr>
          <w:p>
            <w:pPr>
              <w:jc w:val="right"/>
              <w:ind w:right="102"/>
              <w:spacing w:after="0"/>
              <w:rPr>
                <w:sz w:val="20"/>
                <w:szCs w:val="20"/>
                <w:color w:val="auto"/>
              </w:rPr>
            </w:pPr>
            <w:r>
              <w:rPr>
                <w:rFonts w:ascii="Arial" w:cs="Arial" w:eastAsia="Arial" w:hAnsi="Arial"/>
                <w:sz w:val="18"/>
                <w:szCs w:val="18"/>
                <w:color w:val="auto"/>
              </w:rPr>
              <w:t>12.1%</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222"/>
        <w:spacing w:after="0" w:line="286" w:lineRule="auto"/>
        <w:rPr>
          <w:sz w:val="20"/>
          <w:szCs w:val="20"/>
          <w:color w:val="auto"/>
        </w:rPr>
      </w:pPr>
      <w:r>
        <w:rPr>
          <w:rFonts w:ascii="Arial" w:cs="Arial" w:eastAsia="Arial" w:hAnsi="Arial"/>
          <w:sz w:val="17"/>
          <w:szCs w:val="17"/>
          <w:color w:val="auto"/>
        </w:rPr>
        <w:t>The decrease in our government systems segment operating profit of $3.5 million during the third quarter of fiscal year 2010 when compared to the third quarter of fiscal year 2009 was primarily due to decreased revenues coupled with lower product contributions, resulting in higher cost of revenues of approximately $2.2 million and also due to higher selling, support and new business proposal costs of approximately $0.5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January 1,</w:t>
            </w:r>
          </w:p>
        </w:tc>
        <w:tc>
          <w:tcPr>
            <w:tcW w:w="52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24"/>
        </w:trPr>
        <w:tc>
          <w:tcPr>
            <w:tcW w:w="5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$55.0</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$54.2</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$0.8</w:t>
            </w:r>
          </w:p>
        </w:tc>
        <w:tc>
          <w:tcPr>
            <w:tcW w:w="540" w:type="dxa"/>
            <w:vAlign w:val="bottom"/>
          </w:tcPr>
          <w:p>
            <w:pPr>
              <w:spacing w:after="0"/>
              <w:rPr>
                <w:sz w:val="19"/>
                <w:szCs w:val="19"/>
                <w:color w:val="auto"/>
              </w:rPr>
            </w:pPr>
          </w:p>
        </w:tc>
        <w:tc>
          <w:tcPr>
            <w:tcW w:w="90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commercial networks segment revenue increase was mainly due to higher product sales of $6.6 million from our enterprise VSAT products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 million from our antenna systems products, offset by a reduction in product sales of $5.4 million from our mobile satellite communications systems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 million from our consumer broadband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98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4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 profit</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02"/>
              <w:spacing w:after="0" w:line="195" w:lineRule="exact"/>
              <w:rPr>
                <w:sz w:val="20"/>
                <w:szCs w:val="20"/>
                <w:color w:val="auto"/>
              </w:rPr>
            </w:pPr>
            <w:r>
              <w:rPr>
                <w:rFonts w:ascii="Arial" w:cs="Arial" w:eastAsia="Arial" w:hAnsi="Arial"/>
                <w:sz w:val="18"/>
                <w:szCs w:val="18"/>
                <w:color w:val="auto"/>
              </w:rPr>
              <w:t>$(0.8)</w:t>
            </w:r>
          </w:p>
        </w:tc>
        <w:tc>
          <w:tcPr>
            <w:tcW w:w="500" w:type="dxa"/>
            <w:vAlign w:val="bottom"/>
          </w:tcPr>
          <w:p>
            <w:pPr>
              <w:spacing w:after="0"/>
              <w:rPr>
                <w:sz w:val="16"/>
                <w:szCs w:val="16"/>
                <w:color w:val="auto"/>
              </w:rPr>
            </w:pP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$0.1</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$(0.9)</w:t>
            </w:r>
          </w:p>
        </w:tc>
        <w:tc>
          <w:tcPr>
            <w:tcW w:w="500" w:type="dxa"/>
            <w:vAlign w:val="bottom"/>
          </w:tcPr>
          <w:p>
            <w:pPr>
              <w:spacing w:after="0"/>
              <w:rPr>
                <w:sz w:val="16"/>
                <w:szCs w:val="16"/>
                <w:color w:val="auto"/>
              </w:rPr>
            </w:pPr>
          </w:p>
        </w:tc>
        <w:tc>
          <w:tcPr>
            <w:tcW w:w="124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102"/>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Our commercial networks segment changed to an operating loss from an operating profit in the third quarter of fiscal year 2010 when compared to the same period last fiscal year. This change was primarily due to an increase in IR&amp;D costs of approximately $1.8 million and higher selling, support and new business proposal costs of $0.3 million, offset by increased revenues and related product contributions of $1.2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000" w:type="dxa"/>
            <w:vAlign w:val="bottom"/>
            <w:gridSpan w:val="2"/>
            <w:vMerge w:val="continue"/>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2010</w:t>
            </w:r>
          </w:p>
        </w:tc>
        <w:tc>
          <w:tcPr>
            <w:tcW w:w="14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224"/>
        </w:trPr>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2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$12.3</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$9.9</w:t>
            </w:r>
          </w:p>
        </w:tc>
        <w:tc>
          <w:tcPr>
            <w:tcW w:w="520" w:type="dxa"/>
            <w:vAlign w:val="bottom"/>
          </w:tcPr>
          <w:p>
            <w:pPr>
              <w:spacing w:after="0"/>
              <w:rPr>
                <w:sz w:val="19"/>
                <w:szCs w:val="19"/>
                <w:color w:val="auto"/>
              </w:rPr>
            </w:pPr>
          </w:p>
        </w:tc>
        <w:tc>
          <w:tcPr>
            <w:tcW w:w="108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Our satellite services segment revenue increase of approximately $9.9 million was primarily attributable to the acquisition of WildBlue in December 2009, which contributed $9.0 million of service revenues in our satellite services segment in the third quarter of fiscal year 2010, since the date of acquisition. The remainder of the revenue increase in our satellite services segment was primarily driven by mobile satellite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w:t>
            </w:r>
          </w:p>
        </w:tc>
        <w:tc>
          <w:tcPr>
            <w:tcW w:w="480" w:type="dxa"/>
            <w:vAlign w:val="bottom"/>
          </w:tcPr>
          <w:p>
            <w:pPr>
              <w:spacing w:after="0"/>
              <w:rPr>
                <w:sz w:val="16"/>
                <w:szCs w:val="16"/>
                <w:color w:val="auto"/>
              </w:rPr>
            </w:pPr>
          </w:p>
        </w:tc>
        <w:tc>
          <w:tcPr>
            <w:tcW w:w="100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(6.2)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(0.4)</w:t>
            </w:r>
          </w:p>
        </w:tc>
        <w:tc>
          <w:tcPr>
            <w:tcW w:w="5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$(5.7)</w:t>
            </w:r>
          </w:p>
        </w:tc>
        <w:tc>
          <w:tcPr>
            <w:tcW w:w="500" w:type="dxa"/>
            <w:vAlign w:val="bottom"/>
          </w:tcPr>
          <w:p>
            <w:pPr>
              <w:spacing w:after="0"/>
              <w:rPr>
                <w:sz w:val="16"/>
                <w:szCs w:val="16"/>
                <w:color w:val="auto"/>
              </w:rPr>
            </w:pPr>
          </w:p>
        </w:tc>
        <w:tc>
          <w:tcPr>
            <w:tcW w:w="122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(1,333.2)%</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(50.3)%</w:t>
            </w:r>
          </w:p>
        </w:tc>
        <w:tc>
          <w:tcPr>
            <w:tcW w:w="1500" w:type="dxa"/>
            <w:vAlign w:val="bottom"/>
            <w:gridSpan w:val="2"/>
          </w:tcPr>
          <w:p>
            <w:pPr>
              <w:jc w:val="right"/>
              <w:ind w:right="22"/>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increase in satellite services segment operating loss of $5.7 million during the third quarter of fiscal year 2010 when compared to the third quarter of fiscal year 2009 was primarily due to the acquisition of WildBlue. We incurred $5.0 million in SG&amp;A expenses in the WildBlue business during the third quarter of fiscal year 2010 since the date of acquisition (of which $2.7 million related to certain post-acquisition charges recorded for restructuring costs related to terminated employees) and incurred approximately $4.6 million in WildBlue transaction-related expenses during the quarter, offset by WildBlue revenues and related product contributions of $3.8 million.</w:t>
      </w:r>
    </w:p>
    <w:p>
      <w:pPr>
        <w:spacing w:after="0" w:line="184" w:lineRule="exact"/>
        <w:rPr>
          <w:sz w:val="20"/>
          <w:szCs w:val="20"/>
          <w:color w:val="auto"/>
        </w:rPr>
      </w:pPr>
    </w:p>
    <w:p>
      <w:pPr>
        <w:ind w:right="5500"/>
        <w:spacing w:after="0" w:line="407" w:lineRule="auto"/>
        <w:rPr>
          <w:sz w:val="20"/>
          <w:szCs w:val="20"/>
          <w:color w:val="auto"/>
        </w:rPr>
      </w:pPr>
      <w:r>
        <w:rPr>
          <w:rFonts w:ascii="Arial" w:cs="Arial" w:eastAsia="Arial" w:hAnsi="Arial"/>
          <w:sz w:val="18"/>
          <w:szCs w:val="18"/>
          <w:b w:val="1"/>
          <w:bCs w:val="1"/>
          <w:color w:val="auto"/>
        </w:rPr>
        <w:t xml:space="preserve">Nine Months Ended January 1, 2010 vs. Nine Months Ended January 2, 2009 </w:t>
      </w:r>
      <w:r>
        <w:rPr>
          <w:rFonts w:ascii="Arial" w:cs="Arial" w:eastAsia="Arial" w:hAnsi="Arial"/>
          <w:sz w:val="18"/>
          <w:szCs w:val="18"/>
          <w:i w:val="1"/>
          <w:iCs w:val="1"/>
          <w:color w:val="auto"/>
        </w:rPr>
        <w:t>Product revenues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4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6000" w:type="dxa"/>
            <w:vAlign w:val="bottom"/>
            <w:gridSpan w:val="2"/>
            <w:vMerge w:val="continue"/>
          </w:tcPr>
          <w:p>
            <w:pPr>
              <w:spacing w:after="0"/>
              <w:rPr>
                <w:sz w:val="14"/>
                <w:szCs w:val="14"/>
                <w:color w:val="auto"/>
              </w:rPr>
            </w:pPr>
          </w:p>
        </w:tc>
        <w:tc>
          <w:tcPr>
            <w:tcW w:w="104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520" w:type="dxa"/>
            <w:vAlign w:val="bottom"/>
          </w:tcPr>
          <w:p>
            <w:pPr>
              <w:spacing w:after="0"/>
              <w:rPr>
                <w:sz w:val="16"/>
                <w:szCs w:val="16"/>
                <w:color w:val="auto"/>
              </w:rPr>
            </w:pPr>
          </w:p>
        </w:tc>
        <w:tc>
          <w:tcPr>
            <w:tcW w:w="104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$437.9</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$437.0</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$0.9</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40" w:type="dxa"/>
            <w:vAlign w:val="bottom"/>
          </w:tcPr>
          <w:p>
            <w:pPr>
              <w:jc w:val="right"/>
              <w:ind w:right="102"/>
              <w:spacing w:after="0"/>
              <w:rPr>
                <w:sz w:val="20"/>
                <w:szCs w:val="20"/>
                <w:color w:val="auto"/>
              </w:rPr>
            </w:pPr>
            <w:r>
              <w:rPr>
                <w:rFonts w:ascii="Arial" w:cs="Arial" w:eastAsia="Arial" w:hAnsi="Arial"/>
                <w:sz w:val="18"/>
                <w:szCs w:val="18"/>
                <w:color w:val="auto"/>
              </w:rPr>
              <w:t>92.1%</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94.5%</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254" w:lineRule="auto"/>
        <w:rPr>
          <w:sz w:val="20"/>
          <w:szCs w:val="20"/>
          <w:color w:val="auto"/>
        </w:rPr>
      </w:pPr>
      <w:r>
        <w:rPr>
          <w:rFonts w:ascii="Arial" w:cs="Arial" w:eastAsia="Arial" w:hAnsi="Arial"/>
          <w:sz w:val="18"/>
          <w:szCs w:val="18"/>
          <w:color w:val="auto"/>
        </w:rPr>
        <w:t>Product revenues increased from $437.0 million to $437.9 million during the first nine months of fiscal year 2010 when compared to the same period last year. Increased product revenues were experienced in our government systems segment, which increased by $4.7 million, offset by a decrease in our commercial networks segment of $3.7 million. Product revenue increases in our government systems segment were primarily derived from higher product sales of $16.8 million in next-generation military satellite communication systems, offset by lower product sales of $7.2 million in next-generation tactical data link development and $5.7 million in information assurance products and development programs. Our commercial networks segment product revenue decrease was mainly due to a reduction in sales of $12.1 million from our consumer broadband products and $6.0 million from our mobile satellite communications systems products, offset by higher sales of $10.5 million from our enterprise VSAT products and $3.4 million from our antenna systems products.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$37.5</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$25.6</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$11.9</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7.9%</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Service revenues increased from $25.6 million to $37.5 million primarily due to the acquisition of WildBlue in December 2009 which contributed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 million of service revenues in our satellite services segment in the third quarter of fiscal year 2010. The remainder of the service revenue increase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primarily driven by growth in our mobile satellite services revenues, which are also included in our satellite services segment.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040" w:type="dxa"/>
            <w:vAlign w:val="bottom"/>
          </w:tcPr>
          <w:p>
            <w:pPr>
              <w:jc w:val="right"/>
              <w:ind w:right="302"/>
              <w:spacing w:after="0"/>
              <w:rPr>
                <w:sz w:val="20"/>
                <w:szCs w:val="20"/>
                <w:color w:val="auto"/>
              </w:rPr>
            </w:pPr>
            <w:r>
              <w:rPr>
                <w:rFonts w:ascii="Arial" w:cs="Arial" w:eastAsia="Arial" w:hAnsi="Arial"/>
                <w:sz w:val="14"/>
                <w:szCs w:val="14"/>
                <w:b w:val="1"/>
                <w:bCs w:val="1"/>
                <w:color w:val="auto"/>
              </w:rPr>
              <w:t>2010</w:t>
            </w:r>
          </w:p>
        </w:tc>
        <w:tc>
          <w:tcPr>
            <w:tcW w:w="15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$309.1</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$312.7</w:t>
            </w:r>
          </w:p>
        </w:tc>
        <w:tc>
          <w:tcPr>
            <w:tcW w:w="5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$(3.6)</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product revenues</w:t>
            </w:r>
          </w:p>
        </w:tc>
        <w:tc>
          <w:tcPr>
            <w:tcW w:w="1040" w:type="dxa"/>
            <w:vAlign w:val="bottom"/>
          </w:tcPr>
          <w:p>
            <w:pPr>
              <w:jc w:val="right"/>
              <w:ind w:right="102"/>
              <w:spacing w:after="0"/>
              <w:rPr>
                <w:sz w:val="20"/>
                <w:szCs w:val="20"/>
                <w:color w:val="auto"/>
              </w:rPr>
            </w:pPr>
            <w:r>
              <w:rPr>
                <w:rFonts w:ascii="Arial" w:cs="Arial" w:eastAsia="Arial" w:hAnsi="Arial"/>
                <w:sz w:val="18"/>
                <w:szCs w:val="18"/>
                <w:color w:val="auto"/>
              </w:rPr>
              <w:t>70.6%</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71.6%</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Our cost of product revenues decreased from $312.7 million to $309.1 million during the first nine months of fiscal year 2010 when compared to the same period of fiscal year 2009. We experienced a decrease in cost of product revenues as a percent of product revenues from 71.6% to 70.6%. This improvement was primarily due to product cost reductions of approximately $1.8 million in our commercial networks segment mainly from our enterprise VSAT products and $0.9 million in our government systems segment primarily from information assurance products and development programs, offset by lower margins on video datalink systems. Cost of product revenues may fluctuate in future periods depending on the mix of products sold, competition, new product introduction costs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8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service revenues</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$24.6</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$16.4</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$8.2</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Percentage of service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65.5%</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64.1%</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Our cost of service revenues increased from $16.4 million to $24.6 million during the first nine months of fiscal year 2010 when compared to the same period of fiscal year 2009 primarily due the service revenue increase from the acquisition of WildBlue included in our satellite services segment. The remainder of the increase in cost of service revenues was primarily driven by service cost increases in mobile satellite service development efforts which are also within our satellite services segment. Cost of service revenues may fluctuate in future periods depending on the mix of services provided, competition, new service introduction costs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$90.3</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$73.0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$17.3</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19.0%</w:t>
            </w:r>
          </w:p>
        </w:tc>
        <w:tc>
          <w:tcPr>
            <w:tcW w:w="1500" w:type="dxa"/>
            <w:vAlign w:val="bottom"/>
            <w:gridSpan w:val="2"/>
          </w:tcPr>
          <w:p>
            <w:pPr>
              <w:jc w:val="right"/>
              <w:ind w:right="122"/>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360" w:firstLine="222"/>
        <w:spacing w:after="0" w:line="264" w:lineRule="auto"/>
        <w:rPr>
          <w:sz w:val="20"/>
          <w:szCs w:val="20"/>
          <w:color w:val="auto"/>
        </w:rPr>
      </w:pPr>
      <w:r>
        <w:rPr>
          <w:rFonts w:ascii="Arial" w:cs="Arial" w:eastAsia="Arial" w:hAnsi="Arial"/>
          <w:sz w:val="18"/>
          <w:szCs w:val="18"/>
          <w:color w:val="auto"/>
        </w:rPr>
        <w:t>The increase in SG&amp;A expenses of $17.3 million during the first nine months of fiscal year 2010 compared to the same period of fiscal year 2009 was primarily attributable to $7.1 million in transaction expenses incurred in connection with the WildBlue acquisition, $5.0 million in SG&amp;A attributable to WildBlue since the date of acquisition (of which $2.7 million related to certain post-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acquisition charges recorded for restructuring costs related to terminated employees), increased support costs related to business growth of approximately</w:t>
      </w:r>
    </w:p>
    <w:p>
      <w:pPr>
        <w:spacing w:after="0" w:line="46"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$3.2 million and new business proposal costs for new contract awards of approximately $3.2 million primarily in our government systems segment, offset by lower selling costs of approximately $1.1 million mainly in our commercial networks segment.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$21.6</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$23.5</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$(1.9)</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4.5%</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The decrease in IR&amp;D expenses of approximately $1.9 million reflected a year-over-year decrease in the government systems segment of $2.2 million offset by an increase in the commercial networks segment of $0.3 million for the first nine months of fiscal year 2010 when compared to the same period in fiscal year 2009. The lower IR&amp;D expenses were principally due to a shift of some of our efforts from internal development projects to customer-funded development.</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We amortize our acquired intangible assets from prior acquisitions over their estimated useful lives ranging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eight months to ten years. The decrease in amortization is due to the fact that certain acquired technology intangibles in our commercial networks segment became fully amortized over the preceding twelve-month period, offset partially by amortization of approximately $0.5 million related to new intangibles acquired as a result of the WildBlue acquisition in December 2009. Current and expected amortization expense for each of the following periods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January 1,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4,768</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4,598</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17,777</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16,551</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13,446</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11,705</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29,880</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The decrease in interest income of $0.8 million was primarily due to lower interest rates on our investments and lower average invested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balances.</w:t>
      </w:r>
    </w:p>
    <w:p>
      <w:pPr>
        <w:spacing w:after="0" w:line="62"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The increase in interest expense of $2.2 million year over year was primarily due to interest expense on the Notes and Credit Facility. We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$5.0 million of interest expense associated with the construction of our ViaSat-1 satellite during the nine months ended January 1, 2010 compared to no amounts capitalized during the corresponding period of the prior fiscal year. The amount of such capitalized interest will depend on the carrying value of the ViaSat-1 satellite and the duration of the construction phase of the project. We expect to incur significantly more interest expense as a result of the issuance on October 22, 2009 of the Notes and will continue to capitalize additional interest related to our ViaSat-1 satellite construction project.</w:t>
      </w:r>
    </w:p>
    <w:p>
      <w:pPr>
        <w:spacing w:after="0" w:line="5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Our effective tax rate for the nine months ended January 1, 2010 was approximately 11.9%, as compared to the 17.4%</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annual effective tax rate for fiscal year 2010. The difference was primarily due to the recognition of approximately $2.6 million of previously unrecognized tax benefits due to the expiration of the statute of limitations for certain previously filed tax returns, partially offset by non-deductible acquisition-related costs associated with the WildBlue acquisition. This compares to an effective tax rate of 15.5% for the nine months ended January 2, 2009, which reflected the retroactive reinstatement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federal research and development tax credit during such fiscal period. Our estimated annual effective tax rate of approximately 17.4% for fiscal year 2010 reflects the expiration of the federal research and development tax credit on December 31, 2009. If the federal research and development tax credit is reinstated, we may have a lower annual effective tax rate and the amount of the tax rate reduction will depend on the effective date of any such reinstatement, the terms of the reinstatement as well as the amount of eligible research and development expenses in the reinstated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January 1, 2010 vs. Nine Months Ended January 2,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8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4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2,</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increase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2010</w:t>
            </w:r>
          </w:p>
        </w:tc>
        <w:tc>
          <w:tcPr>
            <w:tcW w:w="158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19"/>
                <w:szCs w:val="19"/>
                <w:color w:val="auto"/>
              </w:rPr>
            </w:pPr>
          </w:p>
        </w:tc>
        <w:tc>
          <w:tcPr>
            <w:tcW w:w="11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$284.5</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rPr>
              <w:t>$279.7</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64"/>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10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320" w:firstLine="222"/>
        <w:spacing w:after="0" w:line="264" w:lineRule="auto"/>
        <w:rPr>
          <w:sz w:val="20"/>
          <w:szCs w:val="20"/>
          <w:color w:val="auto"/>
        </w:rPr>
      </w:pPr>
      <w:r>
        <w:rPr>
          <w:rFonts w:ascii="Arial" w:cs="Arial" w:eastAsia="Arial" w:hAnsi="Arial"/>
          <w:sz w:val="18"/>
          <w:szCs w:val="18"/>
          <w:color w:val="auto"/>
        </w:rPr>
        <w:t>The revenue increase in our government systems segment was primarily derived from higher product sales of $16.8 million in next-generation military satellite communication systems offset by lower product sales of $7.2 million in next-generation tactical data link development and a decrease in product sales of $5.7 million in information assurance products and development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5"/>
        </w:trPr>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$37.2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$39.6</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$(2.5)</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Percentage of segment revenue</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13.1%</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Our government systems segment operating profits decreased $2.5 million for the first nine months of fiscal year 2010 when compared to the first nine months of fiscal year 2009 primarily due to higher selling and support costs of approximately $7.2 million which were offset by increased revenues and related product contributions of approximately $2.5 million and lower IR&amp;D costs of approximately $2.2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2010</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24"/>
        </w:trPr>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Revenues</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$172.7</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$176.4</w:t>
            </w:r>
          </w:p>
        </w:tc>
        <w:tc>
          <w:tcPr>
            <w:tcW w:w="500" w:type="dxa"/>
            <w:vAlign w:val="bottom"/>
          </w:tcPr>
          <w:p>
            <w:pPr>
              <w:spacing w:after="0"/>
              <w:rPr>
                <w:sz w:val="19"/>
                <w:szCs w:val="19"/>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$(3.7)</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Our commercial networks segment revenue decrease was mainly due to a $12.1 million reduction in consumer broadband product sales and a $6.0 million reduction in sales from our mobile satellite communications systems products, offset by higher sales of $10.5 million from our enterprise VSAT products and $3.4 million from our antenna systems products.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January 1,</w:t>
            </w:r>
          </w:p>
        </w:tc>
        <w:tc>
          <w:tcPr>
            <w:tcW w:w="54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14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$3.0</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$0.6</w:t>
            </w:r>
          </w:p>
        </w:tc>
        <w:tc>
          <w:tcPr>
            <w:tcW w:w="520" w:type="dxa"/>
            <w:vAlign w:val="bottom"/>
          </w:tcPr>
          <w:p>
            <w:pPr>
              <w:spacing w:after="0"/>
              <w:rPr>
                <w:sz w:val="16"/>
                <w:szCs w:val="16"/>
                <w:color w:val="auto"/>
              </w:rPr>
            </w:pPr>
          </w:p>
        </w:tc>
        <w:tc>
          <w:tcPr>
            <w:tcW w:w="92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$2.3</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900" w:type="dxa"/>
            <w:vAlign w:val="bottom"/>
          </w:tcPr>
          <w:p>
            <w:pPr>
              <w:jc w:val="right"/>
              <w:ind w:right="102"/>
              <w:spacing w:after="0"/>
              <w:rPr>
                <w:sz w:val="20"/>
                <w:szCs w:val="20"/>
                <w:color w:val="auto"/>
              </w:rPr>
            </w:pPr>
            <w:r>
              <w:rPr>
                <w:rFonts w:ascii="Arial" w:cs="Arial" w:eastAsia="Arial" w:hAnsi="Arial"/>
                <w:sz w:val="18"/>
                <w:szCs w:val="18"/>
                <w:color w:val="auto"/>
              </w:rPr>
              <w:t>1.7%</w:t>
            </w:r>
          </w:p>
        </w:tc>
        <w:tc>
          <w:tcPr>
            <w:tcW w:w="1440" w:type="dxa"/>
            <w:vAlign w:val="bottom"/>
            <w:gridSpan w:val="2"/>
          </w:tcPr>
          <w:p>
            <w:pPr>
              <w:jc w:val="right"/>
              <w:ind w:right="102"/>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commercial networks segment operating profit increased in the first nine months of fiscal year 2010 when compared to the same period last fiscal year primarily due to product cost decreases of approximately $1.8 million mainly from our enterprise VSAT products and a $1.6 million decrease in selling, support and new business proposal costs, offset by $0.3 million increase in IR&amp;D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85"/>
              <w:spacing w:after="0" w:line="119" w:lineRule="exact"/>
              <w:rPr>
                <w:sz w:val="20"/>
                <w:szCs w:val="20"/>
                <w:color w:val="auto"/>
              </w:rPr>
            </w:pPr>
            <w:r>
              <w:rPr>
                <w:rFonts w:ascii="Arial" w:cs="Arial" w:eastAsia="Arial" w:hAnsi="Arial"/>
                <w:sz w:val="13"/>
                <w:szCs w:val="13"/>
                <w:b w:val="1"/>
                <w:bCs w:val="1"/>
                <w:color w:val="auto"/>
              </w:rPr>
              <w:t>January 1,</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January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65"/>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224"/>
        </w:trPr>
        <w:tc>
          <w:tcPr>
            <w:tcW w:w="5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$18.3</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9"/>
                <w:szCs w:val="19"/>
                <w:color w:val="auto"/>
              </w:rPr>
            </w:pPr>
          </w:p>
        </w:tc>
        <w:tc>
          <w:tcPr>
            <w:tcW w:w="9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$11.7</w:t>
            </w:r>
          </w:p>
        </w:tc>
        <w:tc>
          <w:tcPr>
            <w:tcW w:w="520" w:type="dxa"/>
            <w:vAlign w:val="bottom"/>
          </w:tcPr>
          <w:p>
            <w:pPr>
              <w:spacing w:after="0"/>
              <w:rPr>
                <w:sz w:val="19"/>
                <w:szCs w:val="19"/>
                <w:color w:val="auto"/>
              </w:rPr>
            </w:pPr>
          </w:p>
        </w:tc>
        <w:tc>
          <w:tcPr>
            <w:tcW w:w="108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Our satellite services segment revenue increase of approximately $11.7 million was primarily due to the acquisition of WildBlue in December 2009, which contributed $9.0 million of service revenues in the third quarter of fiscal year 2010 since the date of acquisition. The remainder of the revenue increase in our satellite services segment is primarily driven by mobile satellite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January 2,</w:t>
            </w:r>
          </w:p>
        </w:tc>
        <w:tc>
          <w:tcPr>
            <w:tcW w:w="5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w:t>
            </w:r>
          </w:p>
        </w:tc>
        <w:tc>
          <w:tcPr>
            <w:tcW w:w="5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c>
          <w:tcPr>
            <w:tcW w:w="5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5"/>
              </w:rPr>
              <w:t>decrease</w:t>
            </w:r>
          </w:p>
        </w:tc>
        <w:tc>
          <w:tcPr>
            <w:tcW w:w="0" w:type="dxa"/>
            <w:vAlign w:val="bottom"/>
          </w:tcPr>
          <w:p>
            <w:pPr>
              <w:spacing w:after="0"/>
              <w:rPr>
                <w:sz w:val="1"/>
                <w:szCs w:val="1"/>
                <w:color w:val="auto"/>
              </w:rPr>
            </w:pPr>
          </w:p>
        </w:tc>
      </w:tr>
      <w:tr>
        <w:trPr>
          <w:trHeight w:val="195"/>
        </w:trPr>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w:t>
            </w:r>
          </w:p>
        </w:tc>
        <w:tc>
          <w:tcPr>
            <w:tcW w:w="500" w:type="dxa"/>
            <w:vAlign w:val="bottom"/>
          </w:tcPr>
          <w:p>
            <w:pPr>
              <w:spacing w:after="0"/>
              <w:rPr>
                <w:sz w:val="16"/>
                <w:szCs w:val="16"/>
                <w:color w:val="auto"/>
              </w:rPr>
            </w:pPr>
          </w:p>
        </w:tc>
        <w:tc>
          <w:tcPr>
            <w:tcW w:w="102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$(10.2)</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182"/>
              <w:spacing w:after="0" w:line="195" w:lineRule="exact"/>
              <w:rPr>
                <w:sz w:val="20"/>
                <w:szCs w:val="20"/>
                <w:color w:val="auto"/>
              </w:rPr>
            </w:pPr>
            <w:r>
              <w:rPr>
                <w:rFonts w:ascii="Arial" w:cs="Arial" w:eastAsia="Arial" w:hAnsi="Arial"/>
                <w:sz w:val="18"/>
                <w:szCs w:val="18"/>
                <w:color w:val="auto"/>
              </w:rPr>
              <w:t>$ (3.3)</w:t>
            </w:r>
          </w:p>
        </w:tc>
        <w:tc>
          <w:tcPr>
            <w:tcW w:w="50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$(7.0)</w:t>
            </w:r>
          </w:p>
        </w:tc>
        <w:tc>
          <w:tcPr>
            <w:tcW w:w="500" w:type="dxa"/>
            <w:vAlign w:val="bottom"/>
          </w:tcPr>
          <w:p>
            <w:pPr>
              <w:spacing w:after="0"/>
              <w:rPr>
                <w:sz w:val="16"/>
                <w:szCs w:val="16"/>
                <w:color w:val="auto"/>
              </w:rPr>
            </w:pPr>
          </w:p>
        </w:tc>
        <w:tc>
          <w:tcPr>
            <w:tcW w:w="110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(55.9)%</w:t>
            </w:r>
          </w:p>
        </w:tc>
        <w:tc>
          <w:tcPr>
            <w:tcW w:w="1500" w:type="dxa"/>
            <w:vAlign w:val="bottom"/>
            <w:gridSpan w:val="2"/>
          </w:tcPr>
          <w:p>
            <w:pPr>
              <w:jc w:val="right"/>
              <w:ind w:right="22"/>
              <w:spacing w:after="0"/>
              <w:rPr>
                <w:sz w:val="20"/>
                <w:szCs w:val="20"/>
                <w:color w:val="auto"/>
              </w:rPr>
            </w:pPr>
            <w:r>
              <w:rPr>
                <w:rFonts w:ascii="Arial" w:cs="Arial" w:eastAsia="Arial" w:hAnsi="Arial"/>
                <w:sz w:val="18"/>
                <w:szCs w:val="18"/>
                <w:color w:val="auto"/>
              </w:rPr>
              <w:t>(49.8)%</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increase in our satellite services segment operating loss of $7.0 million in the first nine months of fiscal year 2010 when compared to the same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last fiscal year was primarily due to approximately $7.1 million in transaction-related expenses incurred in connection with the WildBlue acquisition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 million in SG&amp;A expenses incurred by WildBlue during the third quarter of fiscal year 2010 since the date of acquisition (of which $2.7 million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certain post-acquisition charges recorded for restructuring cost related to terminated employees), offset by WildBlue revenues and related 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contributions of $3.8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60" w:firstLine="215"/>
        <w:spacing w:after="0" w:line="277" w:lineRule="auto"/>
        <w:rPr>
          <w:sz w:val="20"/>
          <w:szCs w:val="20"/>
          <w:color w:val="auto"/>
        </w:rPr>
      </w:pPr>
      <w:r>
        <w:rPr>
          <w:rFonts w:ascii="Arial" w:cs="Arial" w:eastAsia="Arial" w:hAnsi="Arial"/>
          <w:sz w:val="18"/>
          <w:szCs w:val="18"/>
          <w:color w:val="auto"/>
        </w:rPr>
        <w:t>As reflected in the table below, both funded and firm backlog increased during the first nine months of fiscal year 2010, primarily due to some expected large contract awards that we began pursuing in fiscal year 2009 for which negotiations were completed in fiscal year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900" w:type="dxa"/>
            <w:vAlign w:val="bottom"/>
            <w:gridSpan w:val="5"/>
          </w:tcPr>
          <w:p>
            <w:pPr>
              <w:ind w:left="3300"/>
              <w:spacing w:after="0"/>
              <w:rPr>
                <w:sz w:val="20"/>
                <w:szCs w:val="20"/>
                <w:color w:val="auto"/>
              </w:rPr>
            </w:pPr>
            <w:r>
              <w:rPr>
                <w:rFonts w:ascii="Arial" w:cs="Arial" w:eastAsia="Arial" w:hAnsi="Arial"/>
                <w:sz w:val="14"/>
                <w:szCs w:val="14"/>
                <w:b w:val="1"/>
                <w:bCs w:val="1"/>
                <w:color w:val="auto"/>
              </w:rPr>
              <w:t>January 1, 2010</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3,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millions)</w:t>
            </w: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6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207.5</w:t>
            </w:r>
          </w:p>
        </w:tc>
        <w:tc>
          <w:tcPr>
            <w:tcW w:w="62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478.7</w:t>
            </w: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vMerge w:val="continue"/>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6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242.4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6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6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firm backlog does not include contract options. Of the $478.7 million in firm backlog, approximately $118.5 million is expected to be delivered during the remaining three months of fiscal year 2010, and the balance is expected to be delivered in fiscal year 2011 and thereafter. We include in our backlog only those orders for which we have accepted purchase orders.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80" w:firstLine="225"/>
        <w:spacing w:after="0" w:line="277" w:lineRule="auto"/>
        <w:rPr>
          <w:sz w:val="20"/>
          <w:szCs w:val="20"/>
          <w:color w:val="auto"/>
        </w:rPr>
      </w:pPr>
      <w:r>
        <w:rPr>
          <w:rFonts w:ascii="Arial" w:cs="Arial" w:eastAsia="Arial" w:hAnsi="Arial"/>
          <w:sz w:val="18"/>
          <w:szCs w:val="18"/>
          <w:color w:val="auto"/>
        </w:rPr>
        <w:t>Our total new awards were $157.1 million and $503.4 million for the three and nine months ended January 1, 2010, respectively, compared to $143.1 million and $604.5 million for the three and nine months ended January 2, 2009, respectively.</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During the third quarter of fiscal year 2010, we generated $413.6 million of net cash from financing activities, which included proceeds for our issuance of the Notes and additional borrowings under our Credit Facility.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government or commercial, domestic or international), the duration of the contract and the timing of payment milestones under our satellite construction and launch contracts. In addition, primarily within our government systems and commercial networks segments, program performance significantly impacts the timing and amount of cash flows. If a program is performing and meeting its contractual requirements, then the cash flow requirements are usually lower. The cash needs of the government systems segment tend to be more a function of the type of contract rather than customer quality. Also, U.S. government procurement regulations tend to restrict the timing of cash payments on the contract. In the commercial networks and satellite services segments, our cash needs are driven primarily by the quality of the customer and the type of contract. The quality of the customer can affect the specific contract cash flow and whether financing instruments are required by the customer. In addition, the commercial networks and satellite services financing environments tend to provide for more flexible payment terms with customers, including advance payments.</w:t>
      </w:r>
    </w:p>
    <w:p>
      <w:pPr>
        <w:spacing w:after="0" w:line="6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Cash provided by operating activities for the first nine months of fiscal year 2010 was $57.9 million as compared to $31.5 million for the first nine months of fiscal year 2009. The $26.4 million increase in cash provided by operating activities for the first nine months of fiscal year 2010 as compared to the first nine months of fiscal year 2009 was primarily attributed to a year-over-year net decrease in cash used for net operating assets of $34.4 million, offset by lower year-over-year net income of $5.8 million. The net operating asset decrease was predominantly due to an increase in our collections in excess of revenues included in accrued liabilities, which increased $16.6 million from the prior fiscal year-end, offset by growth in our combined billed and unbilled accounts receivable, net, which increased by approximately $10.1 million from the prior fiscal year-end prior to the effect of the WildBlue acquisition. Receivables growth in the first nine months of fiscal year 2010 was largely due to the timing of certain contract billing milestones on programs in both our commercial networks segment and government systems segment.</w:t>
      </w:r>
    </w:p>
    <w:p>
      <w:pPr>
        <w:spacing w:after="0" w:line="84"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Cash used in investing activities in the first nine months of fiscal year 2010 was $468.3 million as compared to $93.9 million for the first nine months of fiscal year 2009. The increase in cash used in investing activities was primarily related to $378.0 million of net cash used for the acquisition of WildBlue, offset by lower construction payments for ViaSat-1 of approximately $65.0 million and lower additional capital expenditures for equipment of approximately $20.4 million for the first nine months of fiscal year 2010 compared to approximately $71.5 million and $19.2 million, respectively, for the same period of fiscal year 2009.</w:t>
      </w:r>
    </w:p>
    <w:p>
      <w:pPr>
        <w:spacing w:after="0" w:line="8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Cash provided by financing activities for the first nine months of fiscal year 2010 was $413.6 million as compared to $1.6 million for the first nine months of fiscal year 2009. The approximate $411.9 million increase in cash inflows for the first nine months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fiscal year 2010 compared to the same period of last fiscal year was primarily related to the $271.6 million and $263.0 million in proceeds from borrowings under the Notes in October of 2009 and under our Credit Facility, respectively, offset by repayments under our Credit Facility of $123.0 million and payment of debt issuance costs of $11.6 million. In addition, cash provided by financing activities for both periods included cash received from stock option exercises, cash inflows related to the incremental tax benefit from stock-based compensation and cash received from employee stock purchase plan purchases. Cash provided by financing activities in the first nine months of fiscal year 2010 was offset by the repurchase of common stock related to net share settlement of certain employee tax liabilities in connection with the vesting of restricted stock unit awards and debt issuance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related to our anticipated high-capacity satellite system. Under the satellite construction contract with SS/L, we purchased ViaSat-1, a new high-capacity Ka-band spot-beam satellite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$20.3 million, and in-orbit insurance and satellite operating costs post launch.</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November 2008, we entered into a launch services agreement with Arianespace to procure launch services for ViaSat-1 at a cost estimated to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$107.8 million, depending on the mass of the satellite at launch. In March 2009, we substituted ILS International Launch Services, Inc. (ILS) for Arianespace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primary provider of launch services for ViaSat-1 and, accordingly, we entered into a contract for launch services with ILS to procure launch services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ViaSat-1 at an estimated cost of approximately $80.0 million, subject to certain adjustments, resulting in a net savings of approximately $20.0 million.</w:t>
      </w:r>
    </w:p>
    <w:p>
      <w:pPr>
        <w:spacing w:after="0" w:line="114" w:lineRule="exact"/>
        <w:rPr>
          <w:sz w:val="20"/>
          <w:szCs w:val="20"/>
          <w:color w:val="auto"/>
        </w:rPr>
      </w:pPr>
    </w:p>
    <w:p>
      <w:pPr>
        <w:jc w:val="both"/>
        <w:ind w:right="80" w:firstLine="225"/>
        <w:spacing w:after="0" w:line="279" w:lineRule="auto"/>
        <w:rPr>
          <w:sz w:val="20"/>
          <w:szCs w:val="20"/>
          <w:color w:val="auto"/>
        </w:rPr>
      </w:pPr>
      <w:r>
        <w:rPr>
          <w:rFonts w:ascii="Arial" w:cs="Arial" w:eastAsia="Arial" w:hAnsi="Arial"/>
          <w:sz w:val="17"/>
          <w:szCs w:val="17"/>
          <w:color w:val="auto"/>
        </w:rPr>
        <w:t>On May 7, 2009, we entered into an Amended and Restated Launch Services Agreement with Arianespace. Under the terms of the Amended and Restated Launch Services Agreement,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63"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The projected total cost of the ViaSat-1 project, including the satellite, launch, insurance and related gateway infrastructure, through in-service of the satellite is estimated to be approximately $400.0 million, excluding capitalized interest, and will depend on the timing of the gateway infrastructure roll-out, among other things. However, we anticipate capitalizing certain amounts of interest expense related to our outstanding borrowings in connection with our capital projects under construction, such as construction of ViaSat-1 and related gateways. We continually evaluate alternative strategies that would limit our total required investment. We believe we have adequate sources of funding for the project, which includes our cash on hand, the cash we expect to generate from operations over the next few years, and additional borrowing ability based on our financial position and debt leverage ratio. We believe this provides us flexibility to execute this project in an appropriate manner and/or obtain outside equity under terms that we consider reasonable.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On October 22, 2009, we issued $275.0 million in principal amount of Notes in a private placement to institutional buyers. The Notes bear interest at the rate of 8.875% per year, payable semi-annually in cash in arrears commencing in March 2010 and were issued with an original issue discount of 1.24% or, $3.4 million. The Notes are recorded as long-term debt, net of original issue discount, in our consolidated financial statements. The original issue discount and deferred financing cost associated with the issuance of the Notes are amortized to interest expense over the term of the Notes.</w:t>
      </w:r>
    </w:p>
    <w:p>
      <w:pPr>
        <w:spacing w:after="0" w:line="46"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Notes are guaranteed on an unsecured senior basis by each of our existing and future subsidiaries that guarantees the Credit Facility. The Notes and the guarantees are our and the guarantors’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62"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80"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Prior to September 15, 2012, we may redeem up to 35% of the Notes at a redemption price of 108.875% of the principal amount thereof, plus accrued and unpaid interest, if any, thereon to the redemption date, from the net cash proceeds of specified equity offerings. Prior to September 15, 2012, we may also redeem the Notes,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75"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us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79"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In connection with the private placement of the Notes, we entered into a registration rights agreement with the initial purchasers in which we agreed to file a registration statement with the SEC to permit the holders to exchange or resell the Notes. We must use commercially reasonable efforts to consummate an exchange offer within 365 days after the issuance of the Notes or, under certain circumstances, to prepare and file a shelf registration statement to cover the resale of the Notes. If we do not comply with certain of their obligations under the registration rights agreement, the registration rights agreement provides that additional interest will accrue on the principal amount of the Notes at a rate of 0.25% per annum during the 90-day period immediately following such default and will increase by 0.25% per annum at the end of each subsequent 90-day period, but in no event will the penalty rate exceed 1.00% per annum.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liquidity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invest our cash in excess of current operating requirements in short-term, interest-bearing, investment-grade securities. At January 1, 2010, we had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$67.1 million in cash and cash equivalents, $227.5 million in working capital and $140.0 million in principal amount outstanding under our Credit Facility.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3, 2009, we had $63.5 million in cash and cash equivalents, $203.4 million in working capital and no outstanding borrowings under our Credit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are held in accounts managed by third party financial institutions. To date, we have experienced no loss of access to our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equivalents; however, there can be no assurance that access to our cash and cash equivalents will not be impacted by adverse conditions in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10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Credit Facility, as amended, provides a revolving line of credit of $210.0 million (including up to $25.0 million of letters of credit), which matures on July 1, 2012. Borrowings under the Credit Facility bear interest, at our option, at either (1) the highest of the Federal Funds rate plus 0.50%, Eurodollar rate plus 1.00% or the administrative agent’s prime rate as announced from time to time, or (2) at the Eurodollar rate plus, in the case of each of (1) and (2), an applicable margin that is based on the ratio of our debt to earnings before interest, taxes, depreciation and amortization (EBITDA). At January 1, 2010, the effective interest rate on our outstanding borrowings under the Credit Facility was 4.25%. We anticipate capitalizing certain amounts of interest expense on our Credit Facility in connection with the construction of ViaSat-1. The Credit Facility is guaranteed by certain of our domestic subsidiaries and collateralized by substantially all of our respective assets.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At January 1, 2010 we had $140.0 million in principal amount of outstanding borrowings under the Credit Facility and $12.2 million outstanding under standby letters of credit, leaving borrowing availability under the Credit Facility of $57.8 million.</w:t>
      </w:r>
    </w:p>
    <w:p>
      <w:pPr>
        <w:spacing w:after="0" w:line="62"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 On December 14, 2009, we amended the Credit Facility to clarify the calculation of EBITDA following the completion of the WildBlue acquisition.</w:t>
      </w:r>
    </w:p>
    <w:p>
      <w:pPr>
        <w:spacing w:after="0" w:line="63"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To further enhance our liquidity position, we may obtain additional financing, which could consist of debt, convertible debt or equity financing from public and/or private capital markets. In April 2007, we filed an additional universal shelf registration statement with the SEC for the future sale of up to an additional $200.0 million of debt securities, common stock, preferred stock, depositary shares and warrants, bringing the aggregate available under our universal shelf registration statements to up to $400.0 million. The securities may be offered from time to time, separately or together, directly by us or through underwriters at amounts, prices, interest rates and other terms to be determined at the time of the offering.</w:t>
      </w:r>
    </w:p>
    <w:p>
      <w:pPr>
        <w:spacing w:after="0" w:line="64"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 summary of our obligations at January 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For the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remainder of</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For the fiscal years ending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fiscal year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66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2011-2012</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2013-2014</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139,625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42,218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 xml:space="preserve">The Notes </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438,725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48,813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48,813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334,997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140,000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12,155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7,616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commitments including satellite-related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445,278</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73,762</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182,153</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45,922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143,441</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1,175,783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90,563</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286,030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276,953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522,237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8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total interest payments on the Notes of $6.1 million for the remainder of fiscal year 2010, $48.8 million in fiscal 2011-2012, $48.8 million in fiscal 2013-2014 and $60.0 million thereafter.</w:t>
      </w:r>
    </w:p>
    <w:p>
      <w:pPr>
        <w:spacing w:after="0" w:line="62"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ViaSat-1.</w:t>
      </w:r>
    </w:p>
    <w:p>
      <w:pPr>
        <w:spacing w:after="0" w:line="79"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 addition, we have contracted for an additional launch which can be used as a back-up launch for ViaSat-1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39"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Our condensed consolidated balance sheets included $31.3 million and $24.7 million of “other liabilities” as of January 1, 2010 and April 3, 2009, respectively, which primarily consists of our long-term warranty obligations, deferred lease credits, long-term portion of deferred revenue and long-term unrecognized tax position liabilities. These remaining liabilities have been excluded from the above table as the timing and/or the amount of any cash payment is uncertain. See Note 10 of the notes to condensed consolidated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for additional information regarding our income taxes and related tax positions and Note 8 for a discussion of our product warranties.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In June 2009, the FASB issued authoritative guidance which amends the consolidation guidance applicable to variable interest entities SFAS 167, “Amendments to FASB Interpretation No. 46R” (SFAS 167). The guidance will affect the overall consolidation analysis under the current authoritative guidance for consolidation of variable interest entities (FIN 46R / ASC 810) and is effective for us as of the beginning of the first quarter of fiscal year 2011. We are currently evaluating the impact that the guidance may have on our consolidated financial statements and disclosures.</w:t>
      </w:r>
    </w:p>
    <w:p>
      <w:pPr>
        <w:spacing w:after="0" w:line="63"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October 2009, the FASB issued authoritative guidance for revenue recognition with multiple deliverables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us beginning in the first quarter of fiscal year 2012, however early adoption is permitted. We are currently evaluating the impact that the guidance may have on our consolidated financial statements and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had no material off-balance sheet arrangements at January 1, 2010 as defined in Regulation S-K Item 303(a)(4) other than as discussed under Contractual Obligations above or disclosed in the notes to our financial statements included in this Quarterly Report or in our Annual Report on Form 10-K for the year ended April 3,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and short-term and long-term obligations, including the Credit Facility and the Notes. We consider investments in highly liquid instruments purchased with a remaining maturity of 90 days or less at the date of purchase to be cash equivalents. As of January 1, 2010, we had $140.0 million and $275.0 million in principal amount of outstanding borrowings under our Credit Facility and Notes, respectively, and we held no short-term investments. Our exposure to market risk for changes in interest rates relates primarily to borrowings under our Credit Facility, cash equivalents, short-term investments and short-term obligations, as our Notes bear interest at a fixed rate.</w:t>
      </w:r>
    </w:p>
    <w:p>
      <w:pPr>
        <w:spacing w:after="0" w:line="85"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$0.3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59" w:lineRule="exact"/>
        <w:rPr>
          <w:sz w:val="20"/>
          <w:szCs w:val="20"/>
          <w:color w:val="auto"/>
        </w:rPr>
      </w:pPr>
    </w:p>
    <w:p>
      <w:pPr>
        <w:ind w:right="40" w:firstLine="215"/>
        <w:spacing w:after="0" w:line="302" w:lineRule="auto"/>
        <w:rPr>
          <w:sz w:val="20"/>
          <w:szCs w:val="20"/>
          <w:color w:val="auto"/>
        </w:rPr>
      </w:pPr>
      <w:r>
        <w:rPr>
          <w:rFonts w:ascii="Arial" w:cs="Arial" w:eastAsia="Arial" w:hAnsi="Arial"/>
          <w:sz w:val="16"/>
          <w:szCs w:val="16"/>
          <w:color w:val="auto"/>
        </w:rPr>
        <w:t>As of January 1, 2010, we had $140.0 million in principal amount of outstanding borrowings under our Credit Facility. Our primary interest rate under the Credit Facility is the Eurodollar rate plus an applicable margin that is based on the ratio of our debt to EBITDA. As of January 1, 2010, the effective interest rate on our outstanding borrowings under the Credit Facility was 4.25%. Assuming the outstanding balance remained constant over a year, a 50 basis point increase in the interest rate would increase interest incurred prior to effects of capitalized interest and cash flow by approximately $0.7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exchanges is to reduce earnings and cash flow volatility associated with foreign exchange rate fluctuations. Accordingly, from time to time, we may enter into foreign exchange contracts to mitigate risks associated with foreign currency denominated assets, liabilities, commitments and anticipated foreign currency transactions.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January 1, 2010, we had no foreign currency exchange contracts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management, including our Chief Executive Officer, CEO, and Chief Financial Officer, CFO, as appropriate to allow for timely decision regarding required disclosures. We carried out an evaluation, with the participation of our management, including our CEO and CFO, of the effectiveness of our disclosure controls and procedures as of January 1, 2010, the end of the period covered by this Quarterly Report. Based on that evaluation, our CEO and CFO concluded that our disclosure controls and procedures were effective at the reasonable assurance level as of January 1, 2010.</w:t>
      </w:r>
    </w:p>
    <w:p>
      <w:pPr>
        <w:spacing w:after="0" w:line="81"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During the period covered by this Quarterly Report, there have been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In addition to the other information set forth in this Quarterly Report, you should carefully consider the factors discussed in Part I, Item 1A, “Risk Factors” in our Annual Report on Form 10-K for the fiscal year ended April 3, 2009 and in our Quarterly Report on Form 10-Q for the quarter ended October 2, 2009, which could materially affect our business, financial condition, liquidity or future results. There have been no material changes to these risk factors, other than the addition of and changes to the risk factors relating to our satellite services segment and our acquisition of WildBlue, which have been updated to reflect the consummation of the WildBlue acquisition in December 2009.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Owning and Operating Satellites Involve Considerable Risks</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December 2009, we acquired WildBlue and as a result of such acquisition we now own and operate WildBlue’s Ka-band satellite (WildBlue-1) and hold an exclusive lifetime lease of Ka-band capacity on Telesat Canada’s Anik F2 satellite in the contiguous United States. In January 2008, we executed an agreement to purchase ViaSat-1, our new high-capacity broadband satellite. We currently plan to launch ViaSat-1 in early 2011 and introduce service on this satellite later in 2011. We may acquire or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use one or more additional satellites in the future. We also plan to develop next generation broadband ground infrastructure and terminals for use with these satellites. If we are unable to continue to operate WildBlue-1, or have manufactured or successfully launch a satellite in a timely manner or at all, as a result of any of the following risks or otherwise, we may be unable to realize the anticipated benefits from our satellite and associated services business, and our business, financial condition and results of operations could be materially adversely affected:</w:t>
      </w:r>
    </w:p>
    <w:p>
      <w:pPr>
        <w:spacing w:after="0" w:line="63" w:lineRule="exact"/>
        <w:rPr>
          <w:sz w:val="20"/>
          <w:szCs w:val="20"/>
          <w:color w:val="auto"/>
        </w:rPr>
      </w:pPr>
    </w:p>
    <w:p>
      <w:pPr>
        <w:ind w:left="240" w:hanging="4"/>
        <w:spacing w:after="0" w:line="264" w:lineRule="auto"/>
        <w:tabs>
          <w:tab w:leader="none" w:pos="348"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Business Plan</w:t>
      </w:r>
      <w:r>
        <w:rPr>
          <w:rFonts w:ascii="Arial" w:cs="Arial" w:eastAsia="Arial" w:hAnsi="Arial"/>
          <w:sz w:val="18"/>
          <w:szCs w:val="18"/>
          <w:color w:val="auto"/>
        </w:rPr>
        <w:t>. We may be unsuccessful in implementing our business plan for the WildBlue business and our satellite services segment as a whole, or we</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able to achieve the revenue that we expect from our satellite services segment. A failure to attract a sufficient number of distributors or customers would result in lower revenues than anticipated.</w:t>
      </w:r>
    </w:p>
    <w:p>
      <w:pPr>
        <w:spacing w:after="0" w:line="73" w:lineRule="exact"/>
        <w:rPr>
          <w:rFonts w:ascii="Arial" w:cs="Arial" w:eastAsia="Arial" w:hAnsi="Arial"/>
          <w:sz w:val="18"/>
          <w:szCs w:val="18"/>
          <w:b w:val="1"/>
          <w:bCs w:val="1"/>
          <w:color w:val="auto"/>
        </w:rPr>
      </w:pPr>
    </w:p>
    <w:p>
      <w:pPr>
        <w:ind w:left="240" w:hanging="4"/>
        <w:spacing w:after="0" w:line="254" w:lineRule="auto"/>
        <w:tabs>
          <w:tab w:leader="none" w:pos="348"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In-Orbit Risks</w:t>
      </w:r>
      <w:r>
        <w:rPr>
          <w:rFonts w:ascii="Arial" w:cs="Arial" w:eastAsia="Arial" w:hAnsi="Arial"/>
          <w:sz w:val="18"/>
          <w:szCs w:val="18"/>
          <w:color w:val="auto"/>
        </w:rPr>
        <w:t>. The existing satellites supporting our WildBlue business are, and any future satellite we acquire will be, subject to potential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failures or performance degradations. Satellites are subject to in-orbit risks including malfunctions, commonly referred to as anomalies, interference from electrostatic storms, and collisions with meteoroids, decommissioned spacecraft or other space debris. Anomalies occur as a result of various factors, such as satellite manufacturing errors, problems with the power systems or control systems of the satellites and general failures resulting from operating satellites in the harsh environment of space. To the extent there is an anomaly or other in-orbit failure with respect to WildBlue-1, Anik F2, ViaSat-1 or any other satellite we may acquire or use, this could have a material adverse effect on our operations and our relationships with current customers and distributors, and we may not have or be able to finance or procure a replacement satellite or backup transponder capacity on reasonable economic terms or at all.</w:t>
      </w:r>
    </w:p>
    <w:p>
      <w:pPr>
        <w:spacing w:after="0" w:line="84" w:lineRule="exact"/>
        <w:rPr>
          <w:rFonts w:ascii="Arial" w:cs="Arial" w:eastAsia="Arial" w:hAnsi="Arial"/>
          <w:sz w:val="18"/>
          <w:szCs w:val="18"/>
          <w:b w:val="1"/>
          <w:bCs w:val="1"/>
          <w:color w:val="auto"/>
        </w:rPr>
      </w:pPr>
    </w:p>
    <w:p>
      <w:pPr>
        <w:ind w:left="240" w:right="60" w:hanging="4"/>
        <w:spacing w:after="0" w:line="271" w:lineRule="auto"/>
        <w:tabs>
          <w:tab w:leader="none" w:pos="348" w:val="left"/>
        </w:tabs>
        <w:numPr>
          <w:ilvl w:val="0"/>
          <w:numId w:val="10"/>
        </w:numPr>
        <w:rPr>
          <w:rFonts w:ascii="Arial" w:cs="Arial" w:eastAsia="Arial" w:hAnsi="Arial"/>
          <w:sz w:val="17"/>
          <w:szCs w:val="17"/>
          <w:b w:val="1"/>
          <w:bCs w:val="1"/>
          <w:color w:val="auto"/>
        </w:rPr>
      </w:pPr>
      <w:r>
        <w:rPr>
          <w:rFonts w:ascii="Arial" w:cs="Arial" w:eastAsia="Arial" w:hAnsi="Arial"/>
          <w:sz w:val="17"/>
          <w:szCs w:val="17"/>
          <w:i w:val="1"/>
          <w:iCs w:val="1"/>
          <w:color w:val="auto"/>
        </w:rPr>
        <w:t>Cost and Schedule Risks</w:t>
      </w:r>
      <w:r>
        <w:rPr>
          <w:rFonts w:ascii="Arial" w:cs="Arial" w:eastAsia="Arial" w:hAnsi="Arial"/>
          <w:sz w:val="17"/>
          <w:szCs w:val="17"/>
          <w:color w:val="auto"/>
        </w:rPr>
        <w:t>. The cost of completing satellites and developing the associated next generation SurfBeam 2</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ground infrastructure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we anticipated and there may be delays in completing satellites and SurfBeam 2 infrastructure within the expected timeframe. We may be required to spend in excess of our current forecast for the completion, launch and launch insurance of ViaSat-1, or for the development associated with the SurfBeam 2 equipment. The construction and launch of satellites are often subject to delays, including satellite and launch vehicle construction delays, cost overruns, periodic unavailability of reliable launch opportunities and delays in obtaining regulatory approvals. If the satellite construction schedule is not met, there may be even further delays because there can be no assurance that a launch opportunity will be available at the time the satellite is ready to be launched, and we may not be able to obtain or maintain regulatory authority or International Telecommunication Union (ITU) priority necessary to implement the satellite as proposed.</w:t>
      </w:r>
    </w:p>
    <w:p>
      <w:pPr>
        <w:spacing w:after="0" w:line="70" w:lineRule="exact"/>
        <w:rPr>
          <w:rFonts w:ascii="Arial" w:cs="Arial" w:eastAsia="Arial" w:hAnsi="Arial"/>
          <w:sz w:val="17"/>
          <w:szCs w:val="17"/>
          <w:b w:val="1"/>
          <w:bCs w:val="1"/>
          <w:color w:val="auto"/>
        </w:rPr>
      </w:pPr>
    </w:p>
    <w:p>
      <w:pPr>
        <w:ind w:left="240" w:right="80" w:hanging="4"/>
        <w:spacing w:after="0" w:line="273" w:lineRule="auto"/>
        <w:tabs>
          <w:tab w:leader="none" w:pos="348" w:val="left"/>
        </w:tabs>
        <w:numPr>
          <w:ilvl w:val="0"/>
          <w:numId w:val="10"/>
        </w:numPr>
        <w:rPr>
          <w:rFonts w:ascii="Arial" w:cs="Arial" w:eastAsia="Arial" w:hAnsi="Arial"/>
          <w:sz w:val="17"/>
          <w:szCs w:val="17"/>
          <w:b w:val="1"/>
          <w:bCs w:val="1"/>
          <w:color w:val="auto"/>
        </w:rPr>
      </w:pPr>
      <w:r>
        <w:rPr>
          <w:rFonts w:ascii="Arial" w:cs="Arial" w:eastAsia="Arial" w:hAnsi="Arial"/>
          <w:sz w:val="17"/>
          <w:szCs w:val="17"/>
          <w:i w:val="1"/>
          <w:iCs w:val="1"/>
          <w:color w:val="auto"/>
        </w:rPr>
        <w:t>Launch Risks</w:t>
      </w:r>
      <w:r>
        <w:rPr>
          <w:rFonts w:ascii="Arial" w:cs="Arial" w:eastAsia="Arial" w:hAnsi="Arial"/>
          <w:sz w:val="17"/>
          <w:szCs w:val="17"/>
          <w:color w:val="auto"/>
        </w:rPr>
        <w:t>. There are risks associated with the launch of satellites, including launch failure, damage or destruction during launch and improper orbital</w:t>
      </w:r>
      <w:r>
        <w:rPr>
          <w:rFonts w:ascii="Arial" w:cs="Arial" w:eastAsia="Arial" w:hAnsi="Arial"/>
          <w:sz w:val="17"/>
          <w:szCs w:val="17"/>
          <w:i w:val="1"/>
          <w:iCs w:val="1"/>
          <w:color w:val="auto"/>
        </w:rPr>
        <w:t xml:space="preserve"> </w:t>
      </w:r>
      <w:r>
        <w:rPr>
          <w:rFonts w:ascii="Arial" w:cs="Arial" w:eastAsia="Arial" w:hAnsi="Arial"/>
          <w:sz w:val="17"/>
          <w:szCs w:val="17"/>
          <w:color w:val="auto"/>
        </w:rPr>
        <w:t>placement. Launch vehicles may under-perform, in which case the satellite may still be placed into service by using its onboard propulsion systems to reach the desired orbital location, resulting in a reduction in its service life. Launch failures result in significant delays in the deployment of satellites because of the need both to construct replacement satellites, which can take up to 36 months, and obtain other launch opportunities. The overall historical loss rate in the satellite industry for all launches of commercial satellites in fixed orbits in the last five years is estimated by some industry participants to be approximately 10% but could at any time be higher.</w:t>
      </w:r>
    </w:p>
    <w:p>
      <w:pPr>
        <w:spacing w:after="0" w:line="70" w:lineRule="exact"/>
        <w:rPr>
          <w:rFonts w:ascii="Arial" w:cs="Arial" w:eastAsia="Arial" w:hAnsi="Arial"/>
          <w:sz w:val="17"/>
          <w:szCs w:val="17"/>
          <w:b w:val="1"/>
          <w:bCs w:val="1"/>
          <w:color w:val="auto"/>
        </w:rPr>
      </w:pPr>
    </w:p>
    <w:p>
      <w:pPr>
        <w:ind w:left="240" w:right="40" w:hanging="4"/>
        <w:spacing w:after="0" w:line="253" w:lineRule="auto"/>
        <w:tabs>
          <w:tab w:leader="none" w:pos="348"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Satellite Life</w:t>
      </w:r>
      <w:r>
        <w:rPr>
          <w:rFonts w:ascii="Arial" w:cs="Arial" w:eastAsia="Arial" w:hAnsi="Arial"/>
          <w:sz w:val="18"/>
          <w:szCs w:val="18"/>
          <w:color w:val="auto"/>
        </w:rPr>
        <w:t>. Our ability to earn revenue depends on the usefulness of WildBlue-1, ViaSat-1, Anik F2 and any other satellite we may acquire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Each satellite has a limited useful life. The period of time during which a satellite is expected to function in accordance with its specifications is referred to as such satellite’s design life. The design life of ViaSat-1 is 15 years from launch. The design life of WildBlue-1 was 12 years from launch, ending in 2018, and the design life of Telesat Canada’s Anik F2 satellite was 15 years from launch, ending in 2019. A number of factors affect the useful lives of the satellites, including, among other things, the quality of their design and construction, the durability of their component parts and back-up units, the ability to continue to maintain proper orbit and control over the satellite’s functions, the efficiency of the launch vehicle used, the remaining on-board fuel following orbit insertion, the occurrence of any anomaly or series of anomalies affecting the satellite, and the launch risks and in-orbit risks described above. There can be no assurance that the actual useful life of ViaSat-1, WildBlue-1, Anik F2 or any other satellite that we may acquire will equal its design life. In addition, continued improvements in satellite technology may make obsolete ViaSat-1 or any other satellite we may acquire prior to the end of its life.</w:t>
      </w:r>
    </w:p>
    <w:p>
      <w:pPr>
        <w:spacing w:after="0" w:line="86" w:lineRule="exact"/>
        <w:rPr>
          <w:rFonts w:ascii="Arial" w:cs="Arial" w:eastAsia="Arial" w:hAnsi="Arial"/>
          <w:sz w:val="18"/>
          <w:szCs w:val="18"/>
          <w:b w:val="1"/>
          <w:bCs w:val="1"/>
          <w:color w:val="auto"/>
        </w:rPr>
      </w:pPr>
    </w:p>
    <w:p>
      <w:pPr>
        <w:ind w:left="240" w:right="100" w:hanging="4"/>
        <w:spacing w:after="0" w:line="257" w:lineRule="auto"/>
        <w:tabs>
          <w:tab w:leader="none" w:pos="348" w:val="left"/>
        </w:tabs>
        <w:numPr>
          <w:ilvl w:val="0"/>
          <w:numId w:val="10"/>
        </w:numPr>
        <w:rPr>
          <w:rFonts w:ascii="Arial" w:cs="Arial" w:eastAsia="Arial" w:hAnsi="Arial"/>
          <w:sz w:val="18"/>
          <w:szCs w:val="18"/>
          <w:b w:val="1"/>
          <w:bCs w:val="1"/>
          <w:color w:val="auto"/>
        </w:rPr>
      </w:pPr>
      <w:r>
        <w:rPr>
          <w:rFonts w:ascii="Arial" w:cs="Arial" w:eastAsia="Arial" w:hAnsi="Arial"/>
          <w:sz w:val="18"/>
          <w:szCs w:val="18"/>
          <w:i w:val="1"/>
          <w:iCs w:val="1"/>
          <w:color w:val="auto"/>
        </w:rPr>
        <w:t>Insurance Risks</w:t>
      </w:r>
      <w:r>
        <w:rPr>
          <w:rFonts w:ascii="Arial" w:cs="Arial" w:eastAsia="Arial" w:hAnsi="Arial"/>
          <w:sz w:val="18"/>
          <w:szCs w:val="18"/>
          <w:color w:val="auto"/>
        </w:rPr>
        <w:t>. We currently hold in-orbit insurance for WildBlue-1 and Anik F2, and intend to seek launch and in-orbit insurance for ViaSat-1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satellite we may acquire, but we may not be able to obtain insurance, or renew existing insurance, on reasonable economic terms or at all. If we are able to obtain or renew our insurance, it will contain customary exclusions and will not likely cover the full cost of constructing and launching or replacing the satellites, nor will it cover business interruptions or similar losses. In addition, the occurrence of any anomalies on other satellites, including other Ka-band satellites,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or any failures of a satellite using similar components or failures of a similar launch vehicle to the launch vehicle we expect to use to launch ViaSat-1, may materially adversely affect our ability to insure the satellites at commercially reasonable premiums, if at all.</w:t>
      </w:r>
    </w:p>
    <w:p>
      <w:pPr>
        <w:spacing w:after="0" w:line="62" w:lineRule="exact"/>
        <w:rPr>
          <w:sz w:val="20"/>
          <w:szCs w:val="20"/>
          <w:color w:val="auto"/>
        </w:rPr>
      </w:pPr>
    </w:p>
    <w:p>
      <w:pPr>
        <w:ind w:left="240" w:right="20" w:hanging="4"/>
        <w:spacing w:after="0" w:line="291" w:lineRule="auto"/>
        <w:tabs>
          <w:tab w:leader="none" w:pos="348" w:val="left"/>
        </w:tabs>
        <w:numPr>
          <w:ilvl w:val="0"/>
          <w:numId w:val="11"/>
        </w:numPr>
        <w:rPr>
          <w:rFonts w:ascii="Arial" w:cs="Arial" w:eastAsia="Arial" w:hAnsi="Arial"/>
          <w:sz w:val="16"/>
          <w:szCs w:val="16"/>
          <w:b w:val="1"/>
          <w:bCs w:val="1"/>
          <w:color w:val="auto"/>
        </w:rPr>
      </w:pPr>
      <w:r>
        <w:rPr>
          <w:rFonts w:ascii="Arial" w:cs="Arial" w:eastAsia="Arial" w:hAnsi="Arial"/>
          <w:sz w:val="16"/>
          <w:szCs w:val="16"/>
          <w:i w:val="1"/>
          <w:iCs w:val="1"/>
          <w:color w:val="auto"/>
        </w:rPr>
        <w:t>Joint Venture Risks</w:t>
      </w:r>
      <w:r>
        <w:rPr>
          <w:rFonts w:ascii="Arial" w:cs="Arial" w:eastAsia="Arial" w:hAnsi="Arial"/>
          <w:sz w:val="16"/>
          <w:szCs w:val="16"/>
          <w:color w:val="auto"/>
        </w:rPr>
        <w:t>. We may own or operate future satellites through joint ventures which we do not control. If we were to enter into any such joint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 we would be exposed to certain risks and uncertainties, including the risk of the joint venture or applicable entity failing to satisfy its obligations, which may result in certain liabilities to us for guarantees and other commitments, challenges in achieving strategic objectives and expected benefits of the business arrangement, the risk of conflicts arising between us and our partners and the difficulty of managing and resolving such conflicts, and the difficulty of managing or otherwise monitoring such business arrangements. In addition, our operating results would be affected by the performance of businesses over which we do not exercise unilateral control and, if any other members of such joint venture were to file for bankruptcy or otherwise fail to perform its obligations or to manage the joint venture effectively, this could cause us to lose our investment in any such joint venture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or Maintain Required Authorizations or Contractual Arrangements</w:t>
      </w:r>
    </w:p>
    <w:p>
      <w:pPr>
        <w:spacing w:after="0" w:line="117" w:lineRule="exact"/>
        <w:rPr>
          <w:sz w:val="20"/>
          <w:szCs w:val="20"/>
          <w:color w:val="auto"/>
        </w:rPr>
      </w:pPr>
    </w:p>
    <w:p>
      <w:pPr>
        <w:ind w:right="80" w:firstLine="225"/>
        <w:spacing w:after="0" w:line="253" w:lineRule="auto"/>
        <w:rPr>
          <w:sz w:val="20"/>
          <w:szCs w:val="20"/>
          <w:color w:val="auto"/>
        </w:rPr>
      </w:pPr>
      <w:r>
        <w:rPr>
          <w:rFonts w:ascii="Arial" w:cs="Arial" w:eastAsia="Arial" w:hAnsi="Arial"/>
          <w:sz w:val="18"/>
          <w:szCs w:val="18"/>
          <w:color w:val="auto"/>
        </w:rPr>
        <w:t>Governmental authorizations are required in connection with the products and services that we provide. In order to maintain these authorizations, compliance with specific conditions of those authorizations, certain laws and regulations, and the payment of annual regulatory fees may be required. Failure to comply with such requirements, or comply in a timely manner, could lead to the loss of such authorizations and could have a material adverse impact on our business, financial condition or results of operations. We currently hold authorizations to, among other things, operate various satellite earth stations, including but not limited to user terminals, “gateway” facilities, and network hubs. While we anticipate that these licenses will be renewed in the ordinary course, or replaced by licenses covering more advanced facilities, we can provide no assurance that this will be the case. The inability to timely obtain required authorizations for future operations could delay or preclude our provision of new products and services. Further, changes to the regulations under which we operate could adversely affect our ability to obtain or maintain authorizations. Either circumstance could have a material adverse impact on our business.</w:t>
      </w:r>
    </w:p>
    <w:p>
      <w:pPr>
        <w:spacing w:after="0" w:line="89"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color w:val="auto"/>
        </w:rPr>
        <w:t>Our operations also rely upon authorizations held by other entities, with which we have contractual arrangements. The failure of those entities to maintain their respective authorizations, or the termination or expiration of our contractual arrangements with those entities, could have a material adverse impact on our business. For example, in order to provide our WildBlue service, we use Ka-band capacity on the Anik F2 satellite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While the end of useful life of Anik F2 is not expected to occur before 2019, there can be no assurance that will be the case. We also intend to use our ViaSat-1 satellite, which is expected to be launched in 2011, to provide WildBlue service. That satellite will operate under authority granted to ManSat Limited by the governments of the Isle of Man and the United Kingdom, and pursuant to contractual arrangements we have with ManSat Limited that extend past the expected useful life of ViaSat-1. The failure of Telesat Canada or ManSat Limited to maintain their respective authorizations, or the termination or expiration of our contractual arrangements with those entities (including as a result of the premature end of life of Anik F2), could require us to seek alternative satellite capacity for our customers, which may not be available, or which may require the costly and time-consuming process of repointing the antennas of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Is Derived from a Few of Our Contracts</w:t>
      </w:r>
    </w:p>
    <w:p>
      <w:pPr>
        <w:spacing w:after="0" w:line="11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 small number of our contracts account for a significant percentage of our revenues. Our largest revenue producing contracts are related to our tactical data links products, including our Multifunctional Information Distribution System (MIDS) terminals, which generated approximately 21% of our revenues in fiscal year 2009, 24% of our revenues in fiscal year 2008 and 23% of our revenues in fiscal year 2007. Our five largest contracts generated approximately 35% of our revenues in fiscal year 2009, 44% of our revenues in fiscal year 2008 and 46% of our revenues in fiscal year 2007. Further, we derived approximately 6% of our revenues in fiscal year 2009, 7% of our revenues in fiscal year 2008 and 15% of our revenues in fiscal year 2007 from sales of enterprise communications networks. The failure of these customers to place additional orders or to maintain these contracts with us for any reason, including any downturn in their business or financial condition or our inability to renew our contracts with these customers or obtain new contracts when they expire, could materially harm our business and impair the value of our common stock. WildBlue, which we acquired in December 2009, generated approximately 8% of our revenues in fiscal year 2009 in its capacity as our customer.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69" w:lineRule="auto"/>
        <w:rPr>
          <w:sz w:val="20"/>
          <w:szCs w:val="20"/>
          <w:color w:val="auto"/>
        </w:rPr>
      </w:pPr>
      <w:r>
        <w:rPr>
          <w:rFonts w:ascii="Arial" w:cs="Arial" w:eastAsia="Arial" w:hAnsi="Arial"/>
          <w:sz w:val="17"/>
          <w:szCs w:val="17"/>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that provide satellite-based services (including Telesat, Intelsat, Thaicom and Eutelsat) could be materially affected by a satellite failure as well as by partial satellite failure, satellite performance degradation, satellite manufacturing errors and other failures resulting from operating satellites in the harsh environment of space. We cannot assure you that our customers will be successful in managing these risks. If our customers do not successfully manage these types of risks, it could impair our ability to generate revenues and collect amounts due from these customers and materially harm our business. Major communications infrastructure programs, such as proposed satellite communications systems, are important sources of our current and planned future revenues. We also participate in a number of defense programs. Programs of these types often cannot proceed unless the customer can raise substantial funds from either governmental or private sources. As a result, our expected revenues can be adversely affected by political developments or by conditions in private and public capital markets. They can also be adversely affected if capital markets are not receptive to a customer’s proposed business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Failures or Degradations in Satellite Performance Could Affect Our Business, Financial Condition and Results of Operations</w:t>
      </w:r>
    </w:p>
    <w:p>
      <w:pPr>
        <w:spacing w:after="0" w:line="117"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We utilize capacity on our WildBlue-1 satellite and Telesat Canada’s Anik F2 satellite to support our WildBlue</w:t>
      </w:r>
      <w:r>
        <w:rPr>
          <w:rFonts w:ascii="Arial" w:cs="Arial" w:eastAsia="Arial" w:hAnsi="Arial"/>
          <w:sz w:val="13"/>
          <w:szCs w:val="13"/>
          <w:color w:val="auto"/>
        </w:rPr>
        <w:t>®</w:t>
      </w:r>
      <w:r>
        <w:rPr>
          <w:rFonts w:ascii="Arial" w:cs="Arial" w:eastAsia="Arial" w:hAnsi="Arial"/>
          <w:sz w:val="16"/>
          <w:szCs w:val="16"/>
          <w:color w:val="auto"/>
        </w:rPr>
        <w:t xml:space="preserve"> service. Satellites are subject to in-orbit risks including malfunctions, commonly referred to as anomalies, interference from electrostatic storms, and collisions with meteoroids, decommissioned spacecraft or other space debris. Anomalies occur as a result of various factors, such as satellite manufacturing errors, problems with the power systems or control systems of the satellites and general failures resulting from operating satellites in the harsh environment of space. If any of the foregoing were to occur on either WildBlue-1 or Anik F2, this could have a material adverse effect on our operations, our ability to generate revenues in our satellite services segment, and our relationships with current customers and distributors, as well as our ability to attract new customers for our satellite broadband services. Anomalies may also reduce the expected useful life of a satellite, thereby creating additional expenses due to the need to provide replacement or backup capacity and potentially reduce revenues if service is interrupted on the satellites we utilize. We may not be able to obtain backup transponder capacity or a replacement satellite on reasonable economic terms or at all. In addition, an increased frequency of anomalies could impact market acceptance of our services.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We Serve Are Highly Competitive and Our Competitors May Have Greater Resources than Us</w:t>
      </w:r>
    </w:p>
    <w:p>
      <w:pPr>
        <w:spacing w:after="0" w:line="117"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The wireless and satellite communications and secure networking industries are highly competitive and competition is increasing. In addition, because the markets in which we operate are constantly evolving and characterized by rapid technological change, it is difficult for us to predict whether, when and who may introduce new competing technologies, products or services into our markets. Currently, we face substantial competition from domestic and international wireless, satellite and terrestrial-based communications service providers in the commercial and government industries, including BAE Systems, General Dynamics, Gilat, Harris, Hughes Communications, iDirect Technologies, L-3 Communications and Rockwell Collins. Many of our competitors and potential competitors have significant competitive advantages, including strong customer relationships, more experience with regulatory compliance, greater financial and management resources, control over central communications networks and access to technologies not available to us. In addition, some of our customers continuously evaluate whether to develop and manufacture their own products and could elect to compete with us at any time. Our ability to compete may be adversely affected by limits on our capital resources and our ability to invest in maintaining and expanding our market share.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Successfully Integrate our WildBlue Acquisition and any future Strategic Acquisitions Could Adversely Affect Our Business</w:t>
      </w:r>
    </w:p>
    <w:p>
      <w:pPr>
        <w:spacing w:after="0" w:line="129" w:lineRule="exact"/>
        <w:rPr>
          <w:sz w:val="20"/>
          <w:szCs w:val="20"/>
          <w:color w:val="auto"/>
        </w:rPr>
      </w:pPr>
    </w:p>
    <w:p>
      <w:pPr>
        <w:jc w:val="both"/>
        <w:ind w:right="240" w:firstLine="225"/>
        <w:spacing w:after="0" w:line="302" w:lineRule="auto"/>
        <w:rPr>
          <w:sz w:val="20"/>
          <w:szCs w:val="20"/>
          <w:color w:val="auto"/>
        </w:rPr>
      </w:pPr>
      <w:r>
        <w:rPr>
          <w:rFonts w:ascii="Arial" w:cs="Arial" w:eastAsia="Arial" w:hAnsi="Arial"/>
          <w:sz w:val="16"/>
          <w:szCs w:val="16"/>
          <w:color w:val="auto"/>
        </w:rPr>
        <w:t>Our future performance will depend in part on whether we can successfully integrate our recently acquired WildBlue business with our satellite services segment in an effective and efficient manner. Integrating our satellite services segment with the WildBlue business will be a complex, time-consuming and expensive process and involve a number of risks and uncertainties. In addition, in order to position ourselves to take advantage of growth opportunities, we have made, and may continue to make, other strategic acquisitions that involve significant risks and uncertainties. Such risks and uncertainties include:</w:t>
      </w:r>
    </w:p>
    <w:p>
      <w:pPr>
        <w:spacing w:after="0" w:line="46" w:lineRule="exact"/>
        <w:rPr>
          <w:sz w:val="20"/>
          <w:szCs w:val="20"/>
          <w:color w:val="auto"/>
        </w:rPr>
      </w:pPr>
    </w:p>
    <w:p>
      <w:pPr>
        <w:jc w:val="center"/>
        <w:ind w:left="5620" w:right="740" w:hanging="5384"/>
        <w:spacing w:after="0" w:line="496"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difficulty in integrating the WildBlue business and any other newly acquired businesses and operations in an efficient and effective manner;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104"/>
        <w:spacing w:after="0"/>
        <w:tabs>
          <w:tab w:leader="none" w:pos="3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the challenges in achieving strategic objectives, cost savings and other benefits expected from the WildBlue acquisition and any future acquisitions;</w:t>
      </w:r>
    </w:p>
    <w:p>
      <w:pPr>
        <w:spacing w:after="0" w:line="140" w:lineRule="exact"/>
        <w:rPr>
          <w:rFonts w:ascii="Arial" w:cs="Arial" w:eastAsia="Arial" w:hAnsi="Arial"/>
          <w:sz w:val="16"/>
          <w:szCs w:val="16"/>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risk of diverting our resources and the attention of our senior management from the operations of our business;</w:t>
      </w:r>
    </w:p>
    <w:p>
      <w:pPr>
        <w:spacing w:after="0" w:line="117" w:lineRule="exact"/>
        <w:rPr>
          <w:rFonts w:ascii="Arial" w:cs="Arial" w:eastAsia="Arial" w:hAnsi="Arial"/>
          <w:sz w:val="18"/>
          <w:szCs w:val="18"/>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additional demands on management related to the increase in the size and scope of our company following the acquisition;</w:t>
      </w:r>
    </w:p>
    <w:p>
      <w:pPr>
        <w:spacing w:after="0" w:line="117" w:lineRule="exact"/>
        <w:rPr>
          <w:rFonts w:ascii="Arial" w:cs="Arial" w:eastAsia="Arial" w:hAnsi="Arial"/>
          <w:sz w:val="18"/>
          <w:szCs w:val="18"/>
          <w:b w:val="1"/>
          <w:bCs w:val="1"/>
          <w:color w:val="auto"/>
        </w:rPr>
      </w:pPr>
    </w:p>
    <w:p>
      <w:pPr>
        <w:ind w:left="340" w:hanging="104"/>
        <w:spacing w:after="0"/>
        <w:tabs>
          <w:tab w:leader="none" w:pos="3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the risk our markets do not evolve as anticipated and the technologies acquired do not prove to be those needed to be successful in those markets;</w:t>
      </w:r>
    </w:p>
    <w:p>
      <w:pPr>
        <w:spacing w:after="0" w:line="140" w:lineRule="exact"/>
        <w:rPr>
          <w:rFonts w:ascii="Arial" w:cs="Arial" w:eastAsia="Arial" w:hAnsi="Arial"/>
          <w:sz w:val="16"/>
          <w:szCs w:val="16"/>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combining corporate cultures;</w:t>
      </w:r>
    </w:p>
    <w:p>
      <w:pPr>
        <w:spacing w:after="0" w:line="117" w:lineRule="exact"/>
        <w:rPr>
          <w:rFonts w:ascii="Arial" w:cs="Arial" w:eastAsia="Arial" w:hAnsi="Arial"/>
          <w:sz w:val="18"/>
          <w:szCs w:val="18"/>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the assimilation and retention of key employees;</w:t>
      </w:r>
    </w:p>
    <w:p>
      <w:pPr>
        <w:spacing w:after="0" w:line="117" w:lineRule="exact"/>
        <w:rPr>
          <w:rFonts w:ascii="Arial" w:cs="Arial" w:eastAsia="Arial" w:hAnsi="Arial"/>
          <w:sz w:val="18"/>
          <w:szCs w:val="18"/>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maintaining relationships with present and potential customers, distributors and suppliers of the acquired business;</w:t>
      </w:r>
    </w:p>
    <w:p>
      <w:pPr>
        <w:spacing w:after="0" w:line="117" w:lineRule="exact"/>
        <w:rPr>
          <w:rFonts w:ascii="Arial" w:cs="Arial" w:eastAsia="Arial" w:hAnsi="Arial"/>
          <w:sz w:val="18"/>
          <w:szCs w:val="18"/>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costs and expenses associated with any undisclosed or potential liabilities of WildBlue or any future acquired business;</w:t>
      </w:r>
    </w:p>
    <w:p>
      <w:pPr>
        <w:spacing w:after="0" w:line="117" w:lineRule="exact"/>
        <w:rPr>
          <w:rFonts w:ascii="Arial" w:cs="Arial" w:eastAsia="Arial" w:hAnsi="Arial"/>
          <w:sz w:val="18"/>
          <w:szCs w:val="18"/>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difficulties in converting the acquired business information systems to our systems;</w:t>
      </w:r>
    </w:p>
    <w:p>
      <w:pPr>
        <w:spacing w:after="0" w:line="117" w:lineRule="exact"/>
        <w:rPr>
          <w:rFonts w:ascii="Arial" w:cs="Arial" w:eastAsia="Arial" w:hAnsi="Arial"/>
          <w:sz w:val="18"/>
          <w:szCs w:val="18"/>
          <w:b w:val="1"/>
          <w:bCs w:val="1"/>
          <w:color w:val="auto"/>
        </w:rPr>
      </w:pPr>
    </w:p>
    <w:p>
      <w:pPr>
        <w:ind w:left="240" w:right="200" w:hanging="4"/>
        <w:spacing w:after="0" w:line="342" w:lineRule="auto"/>
        <w:tabs>
          <w:tab w:leader="none" w:pos="348"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difficulties in the integration, assimilation, implementation or modification of platforms, systems, functions, technologies and infrastructure to support the combined business, as well as maintaining uniform standards, controls (including internal accounting controls), procedures and policies;</w:t>
      </w:r>
    </w:p>
    <w:p>
      <w:pPr>
        <w:spacing w:after="0" w:line="15" w:lineRule="exact"/>
        <w:rPr>
          <w:rFonts w:ascii="Arial" w:cs="Arial" w:eastAsia="Arial" w:hAnsi="Arial"/>
          <w:sz w:val="16"/>
          <w:szCs w:val="16"/>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risks of entering markets in which we have less experience; and</w:t>
      </w:r>
    </w:p>
    <w:p>
      <w:pPr>
        <w:spacing w:after="0" w:line="117" w:lineRule="exact"/>
        <w:rPr>
          <w:rFonts w:ascii="Arial" w:cs="Arial" w:eastAsia="Arial" w:hAnsi="Arial"/>
          <w:sz w:val="18"/>
          <w:szCs w:val="18"/>
          <w:b w:val="1"/>
          <w:bCs w:val="1"/>
          <w:color w:val="auto"/>
        </w:rPr>
      </w:pPr>
    </w:p>
    <w:p>
      <w:pPr>
        <w:ind w:left="340" w:hanging="104"/>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risks of potential disputes concerning indemnities and other obligations that could result in substantial costs.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Delays or unexpected difficulties or additional costs in the integration process could have a material adverse effect on our business, financial condition and results of operations. Even if we are able to integrate the WildBlue business or any future acquisition successfully, this integration may not result in the realization of the full benefits of synergies, cost savings, revenue enhancements, growth, operational efficiencies and other benefits that we expect. We cannot assure you that we will successfully integrate the WildBlue business or any future acquisition with our business or achieve the desired benefits from the WildBlue or any future acquisition within a reasonable period of time or at all.</w:t>
      </w:r>
    </w:p>
    <w:p>
      <w:pPr>
        <w:spacing w:after="0" w:line="64"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Furthermore, to complete future acquisitions we may issue equity securities, incur debt, assume contingent liabilities or have amortization expenses and write-downs of acquired assets, which could cause our earnings per share to decline. We face the risk that the returns on acquisitions will not support the expenditures or indebtedness incurred to acquire such businesses or the capital expenditures needed to develop such businesses. Mergers and acquisitions are inherently risky and subject to many factors outside of our control, and we cannot be certain that our previous or future acquisitions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WildBlue Business Has a History of Losses and May Continue to Experience Losses in the Future</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WildBlue experienced net losses of $28.2 million for the nine months ended September 30, 2009 and $80.6 million, $126.9 million and $115.5 million for the years ended December 31, 2008, 2007 and 2006, respectively. We cannot assure you that the WildBlue business will generate net income in the future on a consistent basis or at all. We cannot estimate with any certainty whether demand for our broadband satellite services will be sufficient for us to maintain or increase the number of WildBlue subscribers. If the WildBlue business fails to achieve profitability, that failure could have a material adverse effect on our business, financial condition and results of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the Regulatory Environment Could Have a Material Adverse Impact on Our Competitive Position, Growth and Financial Performance</w:t>
      </w:r>
    </w:p>
    <w:p>
      <w:pPr>
        <w:spacing w:after="0" w:line="140"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 provision of communications services is highly regulated. Our business is subject to the regulatory authority of the jurisdictions in which we operate, including the United States and other jurisdictions around the world. Those authorities regulate, among other things, the launch and operation of satellites, the use of radio spectrum, the licensing of earth stations and other radio transmitters, the provision of communications services, and the design, manufacture and marketing of communications systems and networking infrastructure. Failure to comply with applicable laws or regulations could result in the imposition of financial penalties against us, the adverse modification or cancellation of required authorizations, or other material adverse actions.</w:t>
      </w:r>
    </w:p>
    <w:p>
      <w:pPr>
        <w:spacing w:after="0" w:line="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Laws and regulations affecting the communications industry are subject to change in response to industry developments, new technology, and political considerations. Legislators and regulatory authorities in various countries are considering, and may in the future adopt, new laws, policies and regulations, as well as changes to existing regulations, regarding a variety of matters that could, directly or indirectly, affect our operations or the operations of our distribution partners, and increase the cost of providing our products and services. These changes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Changes in, or our failure to comply with, applicable regulations could materially harm our business and impair the value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On December 1, 2009, we issued 10,000 shares of ViaSat common stock to AtContact Communications, LLC for total consideration of $0.3 million in connection with various consulting and other agreements. The issuance of common stock was exempt from the registration requirements of the Securities Act of 1933 pursuant to Section 4(2)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51 is incorporated herein by reference as the list of exhibits required as part of this Quarterly Report.</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February 10, 2010</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5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19"/>
        </w:trPr>
        <w:tc>
          <w:tcPr>
            <w:tcW w:w="660" w:type="dxa"/>
            <w:vAlign w:val="bottom"/>
            <w:vMerge w:val="continue"/>
          </w:tcPr>
          <w:p>
            <w:pPr>
              <w:spacing w:after="0"/>
              <w:rPr>
                <w:sz w:val="10"/>
                <w:szCs w:val="10"/>
                <w:color w:val="auto"/>
              </w:rPr>
            </w:pPr>
          </w:p>
        </w:tc>
        <w:tc>
          <w:tcPr>
            <w:tcW w:w="596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Exhibit</w:t>
            </w:r>
          </w:p>
        </w:tc>
        <w:tc>
          <w:tcPr>
            <w:tcW w:w="12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Filing Date</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9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5960" w:type="dxa"/>
            <w:vAlign w:val="bottom"/>
          </w:tcPr>
          <w:p>
            <w:pPr>
              <w:ind w:left="140"/>
              <w:spacing w:after="0"/>
              <w:rPr>
                <w:sz w:val="20"/>
                <w:szCs w:val="20"/>
                <w:color w:val="auto"/>
              </w:rPr>
            </w:pPr>
            <w:r>
              <w:rPr>
                <w:rFonts w:ascii="Arial" w:cs="Arial" w:eastAsia="Arial" w:hAnsi="Arial"/>
                <w:sz w:val="18"/>
                <w:szCs w:val="18"/>
                <w:color w:val="auto"/>
                <w:w w:val="97"/>
              </w:rPr>
              <w:t>Indenture, dated as of October 22, 2009, among ViaSat, Inc., ViaSat Credit</w:t>
            </w:r>
          </w:p>
        </w:tc>
        <w:tc>
          <w:tcPr>
            <w:tcW w:w="660" w:type="dxa"/>
            <w:vAlign w:val="bottom"/>
          </w:tcPr>
          <w:p>
            <w:pPr>
              <w:jc w:val="center"/>
              <w:ind w:right="13"/>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000-21767</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4.1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0"/>
              </w:rPr>
              <w:t>10/22/2009</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8"/>
              </w:rPr>
              <w:t>Corp., Enerdyne Technologies, Inc., ViaSat Satellite Ventures, LLC, VSV I</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Holdings, LLC, VSV II Holdings, LLC, ViaSat Satellite Ventures U.S. I, LLC,</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ViaSat Satellite Ventures U.S. II, LLC and Wilmington Trust FSB, as trustee</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5960" w:type="dxa"/>
            <w:vAlign w:val="bottom"/>
          </w:tcPr>
          <w:p>
            <w:pPr>
              <w:ind w:left="140"/>
              <w:spacing w:after="0"/>
              <w:rPr>
                <w:sz w:val="20"/>
                <w:szCs w:val="20"/>
                <w:color w:val="auto"/>
              </w:rPr>
            </w:pPr>
            <w:r>
              <w:rPr>
                <w:rFonts w:ascii="Arial" w:cs="Arial" w:eastAsia="Arial" w:hAnsi="Arial"/>
                <w:sz w:val="18"/>
                <w:szCs w:val="18"/>
                <w:color w:val="auto"/>
                <w:w w:val="92"/>
              </w:rPr>
              <w:t>Form of 8.875% Senior Note of ViaSat, Inc. due 2016 (attached as Exhibit A to</w:t>
            </w:r>
          </w:p>
        </w:tc>
        <w:tc>
          <w:tcPr>
            <w:tcW w:w="660" w:type="dxa"/>
            <w:vAlign w:val="bottom"/>
          </w:tcPr>
          <w:p>
            <w:pPr>
              <w:jc w:val="center"/>
              <w:ind w:right="13"/>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000-21767</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4.1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0"/>
              </w:rPr>
              <w:t>10/22/2009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the Indenture filed as Exhibit 4.1 hereto)</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5960" w:type="dxa"/>
            <w:vAlign w:val="bottom"/>
          </w:tcPr>
          <w:p>
            <w:pPr>
              <w:ind w:left="140"/>
              <w:spacing w:after="0"/>
              <w:rPr>
                <w:sz w:val="20"/>
                <w:szCs w:val="20"/>
                <w:color w:val="auto"/>
              </w:rPr>
            </w:pPr>
            <w:r>
              <w:rPr>
                <w:rFonts w:ascii="Arial" w:cs="Arial" w:eastAsia="Arial" w:hAnsi="Arial"/>
                <w:sz w:val="18"/>
                <w:szCs w:val="18"/>
                <w:color w:val="auto"/>
                <w:w w:val="94"/>
              </w:rPr>
              <w:t>Registration Rights Agreement, dated as of October 22, 2009, among ViaSat,</w:t>
            </w:r>
          </w:p>
        </w:tc>
        <w:tc>
          <w:tcPr>
            <w:tcW w:w="660" w:type="dxa"/>
            <w:vAlign w:val="bottom"/>
          </w:tcPr>
          <w:p>
            <w:pPr>
              <w:jc w:val="center"/>
              <w:ind w:right="13"/>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000-21767</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4.2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0"/>
              </w:rPr>
              <w:t>10/22/2009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Inc., ViaSat Credit Corp., Enerdyne Technologies, Inc., ViaSat Satellite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Ventures, LLC, VSV I Holdings, LLC, VSV II Holdings, LLC, ViaSat Satellite</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Ventures U.S. I, LLC, ViaSat Satellite Ventures U.S. II, LLC, J.P. Morgan</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4"/>
              </w:rPr>
              <w:t>Securities Inc., Banc of America Securities LLC, Wells Fargo Securities, LLC,</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Oppenheimer &amp; Co. Inc. and Stephens Inc.</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5960" w:type="dxa"/>
            <w:vAlign w:val="bottom"/>
          </w:tcPr>
          <w:p>
            <w:pPr>
              <w:ind w:left="140"/>
              <w:spacing w:after="0"/>
              <w:rPr>
                <w:sz w:val="20"/>
                <w:szCs w:val="20"/>
                <w:color w:val="auto"/>
              </w:rPr>
            </w:pPr>
            <w:r>
              <w:rPr>
                <w:rFonts w:ascii="Arial" w:cs="Arial" w:eastAsia="Arial" w:hAnsi="Arial"/>
                <w:sz w:val="18"/>
                <w:szCs w:val="18"/>
                <w:color w:val="auto"/>
                <w:w w:val="92"/>
              </w:rPr>
              <w:t>Registration Right Agreement, dated as of December 15, 2009, among ViaSat,</w:t>
            </w:r>
          </w:p>
        </w:tc>
        <w:tc>
          <w:tcPr>
            <w:tcW w:w="660" w:type="dxa"/>
            <w:vAlign w:val="bottom"/>
          </w:tcPr>
          <w:p>
            <w:pPr>
              <w:jc w:val="center"/>
              <w:ind w:right="13"/>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000-21767</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10.1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0"/>
              </w:rPr>
              <w:t>12/18/2009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Inc. and the selling stockholders</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5960" w:type="dxa"/>
            <w:vAlign w:val="bottom"/>
          </w:tcPr>
          <w:p>
            <w:pPr>
              <w:ind w:left="140"/>
              <w:spacing w:after="0"/>
              <w:rPr>
                <w:sz w:val="20"/>
                <w:szCs w:val="20"/>
                <w:color w:val="auto"/>
              </w:rPr>
            </w:pPr>
            <w:r>
              <w:rPr>
                <w:rFonts w:ascii="Arial" w:cs="Arial" w:eastAsia="Arial" w:hAnsi="Arial"/>
                <w:sz w:val="18"/>
                <w:szCs w:val="18"/>
                <w:color w:val="auto"/>
              </w:rPr>
              <w:t>Second Amendment to Fourth Amended and Restated Revolving Loan</w:t>
            </w:r>
          </w:p>
        </w:tc>
        <w:tc>
          <w:tcPr>
            <w:tcW w:w="660" w:type="dxa"/>
            <w:vAlign w:val="bottom"/>
          </w:tcPr>
          <w:p>
            <w:pPr>
              <w:jc w:val="center"/>
              <w:ind w:right="13"/>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000-21767</w:t>
            </w: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10.1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10/9/2009</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4"/>
              </w:rPr>
              <w:t>Agreement, dated as of October 6, 2009, by and among ViaSat, Inc., Banc of</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America Securities LLC, Bank of America, N.A., JPMorgan Chase Bank,</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8"/>
              </w:rPr>
              <w:t>N.A., Union Bank, N.A., Wells Fargo Bank, National Association and other</w:t>
            </w: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lenders party thereto</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10.2</w:t>
            </w:r>
          </w:p>
        </w:tc>
        <w:tc>
          <w:tcPr>
            <w:tcW w:w="5960" w:type="dxa"/>
            <w:vAlign w:val="bottom"/>
          </w:tcPr>
          <w:p>
            <w:pPr>
              <w:ind w:left="140"/>
              <w:spacing w:after="0"/>
              <w:rPr>
                <w:sz w:val="20"/>
                <w:szCs w:val="20"/>
                <w:color w:val="auto"/>
              </w:rPr>
            </w:pPr>
            <w:r>
              <w:rPr>
                <w:rFonts w:ascii="Arial" w:cs="Arial" w:eastAsia="Arial" w:hAnsi="Arial"/>
                <w:sz w:val="18"/>
                <w:szCs w:val="18"/>
                <w:color w:val="auto"/>
                <w:w w:val="93"/>
              </w:rPr>
              <w:t>Letter agreement dated as of December 14, 2009, by and among ViaSat, Inc.,</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Union Bank, N.A., and the other lenders party thereto</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596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596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302 of the</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Sarbanes-Oxley Act of 2002</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5960" w:type="dxa"/>
            <w:vAlign w:val="bottom"/>
          </w:tcPr>
          <w:p>
            <w:pPr>
              <w:ind w:left="140"/>
              <w:spacing w:after="0"/>
              <w:rPr>
                <w:sz w:val="20"/>
                <w:szCs w:val="20"/>
                <w:color w:val="auto"/>
              </w:rPr>
            </w:pPr>
            <w:r>
              <w:rPr>
                <w:rFonts w:ascii="Arial" w:cs="Arial" w:eastAsia="Arial" w:hAnsi="Arial"/>
                <w:sz w:val="18"/>
                <w:szCs w:val="18"/>
                <w:color w:val="auto"/>
                <w:w w:val="97"/>
              </w:rPr>
              <w:t>Certifications Pursuant to 18 U.S.C. Section 1350, as Adopted Pursuant to</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5960" w:type="dxa"/>
            <w:vAlign w:val="bottom"/>
          </w:tcPr>
          <w:p>
            <w:pPr>
              <w:ind w:left="496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14,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Paul Konopka, Esq.</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WildBlue Acquisition/Calculation of EBITDA – Third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We refer to that certain Fourth Amended and Restated Revolving Loan Agreement dated as of July 1, 2009 among ViaSat, Inc., a Delaware corporation (the “Borrower”), each lender from time to time party thereto, Union Bank, N.A., as Administrative Agent (in such capacity, “Administrative Agent”), Bank of America, N.A., as Syndication Agent, JPMorgan Chase Bank, N.A., as Documentation Agent, Banc of America Securities LLC and Union Bank, N.A., as Joint Lead Arrangers and Joint Book Runners and Union Bank, N.A., as Collateral Agent, as amended (the “Credit Agreement”). Capitalized terms used herein and not defined shall have the meanings assigned to them in the Credit Agreement. Reference is also made to the WildBlue Acquisition.</w:t>
      </w:r>
    </w:p>
    <w:p>
      <w:pPr>
        <w:spacing w:after="0" w:line="50"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Borrower, the Lenders and the Agents hereby agree, effective as of the date first set forth above and for all periods ending on or after such date, that the definition of “EBITDA” contained in Section 1.1 of the Credit Agreement is amended as follows:</w:t>
      </w:r>
    </w:p>
    <w:p>
      <w:pPr>
        <w:spacing w:after="0" w:line="62" w:lineRule="exact"/>
        <w:rPr>
          <w:sz w:val="20"/>
          <w:szCs w:val="20"/>
          <w:color w:val="auto"/>
        </w:rPr>
      </w:pPr>
    </w:p>
    <w:p>
      <w:pPr>
        <w:ind w:left="240" w:right="800" w:firstLine="221"/>
        <w:spacing w:after="0" w:line="277"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word “and” at the end of clause (b)(v) is deleted; and new clauses (vii) and (viii) are added immediately after the phrase “statement of operations,” to read as follows:</w:t>
      </w:r>
    </w:p>
    <w:p>
      <w:pPr>
        <w:spacing w:after="0" w:line="62" w:lineRule="exact"/>
        <w:rPr>
          <w:sz w:val="20"/>
          <w:szCs w:val="20"/>
          <w:color w:val="auto"/>
        </w:rPr>
      </w:pPr>
    </w:p>
    <w:p>
      <w:pPr>
        <w:ind w:left="240" w:right="20" w:firstLine="225"/>
        <w:spacing w:after="0" w:line="297" w:lineRule="auto"/>
        <w:rPr>
          <w:sz w:val="20"/>
          <w:szCs w:val="20"/>
          <w:color w:val="auto"/>
        </w:rPr>
      </w:pPr>
      <w:r>
        <w:rPr>
          <w:rFonts w:ascii="Arial" w:cs="Arial" w:eastAsia="Arial" w:hAnsi="Arial"/>
          <w:sz w:val="16"/>
          <w:szCs w:val="16"/>
          <w:color w:val="auto"/>
        </w:rPr>
        <w:t>“(vii) non-recurring expenses for professional services, regulatory clearances and filings, transfer fees, severance payments and other similar closing costs (to the extent such expenses are not capitalized by the Borrower) incurred in connection with the WildBlue Acquisition, provided that such non-recurring expenses shall not exceed an aggregate amount of $27,500,000; and (viii) non-recurring expenses for professional services, regulatory clearances and filings, transfer fees, severance payments and other similar closing costs (to the extent such expenses are not capitalized by the Borrower) incurred in connection with Permitted Acquisitions (other than the WildBlue Acquisition) and reasonably approved by the Administrative Agent”; and</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following sentence is added to the end of such definition:</w:t>
      </w:r>
    </w:p>
    <w:p>
      <w:pPr>
        <w:spacing w:after="0" w:line="117" w:lineRule="exact"/>
        <w:rPr>
          <w:sz w:val="20"/>
          <w:szCs w:val="20"/>
          <w:color w:val="auto"/>
        </w:rPr>
      </w:pPr>
    </w:p>
    <w:p>
      <w:pPr>
        <w:ind w:left="240" w:firstLine="225"/>
        <w:spacing w:after="0" w:line="279" w:lineRule="auto"/>
        <w:rPr>
          <w:sz w:val="20"/>
          <w:szCs w:val="20"/>
          <w:color w:val="auto"/>
        </w:rPr>
      </w:pPr>
      <w:r>
        <w:rPr>
          <w:rFonts w:ascii="Arial" w:cs="Arial" w:eastAsia="Arial" w:hAnsi="Arial"/>
          <w:sz w:val="17"/>
          <w:szCs w:val="17"/>
          <w:color w:val="auto"/>
        </w:rPr>
        <w:t>“For the avoidance of doubt, for purposes of calculating EBITDA with respect to any period in which the WildBlue Acquisition occurred, such Acquisition shall be deemed to have occurred on the first day of such period. Accordingly, as to any such period Net Income, Interest Expense, expense for taxes paid or accrued and each other component contained in the definition of “EBITDA” shall be deemed to include the actual results of WildBlue on a pro forma consolidated basis with the Borrower as if such Acquisition had occurred on the first day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firstLine="222"/>
        <w:spacing w:after="0" w:line="293" w:lineRule="auto"/>
        <w:rPr>
          <w:sz w:val="20"/>
          <w:szCs w:val="20"/>
          <w:color w:val="auto"/>
        </w:rPr>
      </w:pPr>
      <w:r>
        <w:rPr>
          <w:rFonts w:ascii="Arial" w:cs="Arial" w:eastAsia="Arial" w:hAnsi="Arial"/>
          <w:sz w:val="16"/>
          <w:szCs w:val="16"/>
          <w:color w:val="auto"/>
        </w:rPr>
        <w:t xml:space="preserve">The governing law and venue provisions of Section 11.17 of the Credit Agreement are incorporated herein by this reference </w:t>
      </w:r>
      <w:r>
        <w:rPr>
          <w:rFonts w:ascii="Arial" w:cs="Arial" w:eastAsia="Arial" w:hAnsi="Arial"/>
          <w:sz w:val="16"/>
          <w:szCs w:val="16"/>
          <w:i w:val="1"/>
          <w:iCs w:val="1"/>
          <w:color w:val="auto"/>
        </w:rPr>
        <w:t>mutatis mutandis</w:t>
      </w:r>
      <w:r>
        <w:rPr>
          <w:rFonts w:ascii="Arial" w:cs="Arial" w:eastAsia="Arial" w:hAnsi="Arial"/>
          <w:sz w:val="16"/>
          <w:szCs w:val="16"/>
          <w:color w:val="auto"/>
        </w:rPr>
        <w:t>. This letter amendment may be 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 Except as amended hereby, all of the provisions of the Credit Agreement and the other Loan Documents shall remain unmodified and in full force and effect except that each reference to the “Agreement”, or words of like import in any Loan Document, shall mean and be a reference to the Credit Agreement as amended hereby. This letter amendment shall be deemed a “Loan Document” as defined in the Credit Agreement.</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54" w:name="page55"/>
    <w:bookmarkEnd w:id="54"/>
    <w:p>
      <w:pPr>
        <w:ind w:left="240"/>
        <w:spacing w:after="0"/>
        <w:rPr>
          <w:sz w:val="20"/>
          <w:szCs w:val="20"/>
          <w:color w:val="auto"/>
        </w:rPr>
      </w:pPr>
      <w:r>
        <w:rPr>
          <w:rFonts w:ascii="Arial" w:cs="Arial" w:eastAsia="Arial" w:hAnsi="Arial"/>
          <w:sz w:val="18"/>
          <w:szCs w:val="18"/>
          <w:color w:val="auto"/>
        </w:rPr>
        <w:t>If you are in agreement with the foregoing, please execute this letter is the space provided below.</w:t>
      </w:r>
    </w:p>
    <w:p>
      <w:pPr>
        <w:spacing w:after="0" w:line="200" w:lineRule="exact"/>
        <w:rPr>
          <w:sz w:val="20"/>
          <w:szCs w:val="20"/>
          <w:color w:val="auto"/>
        </w:rPr>
      </w:pPr>
    </w:p>
    <w:p>
      <w:pPr>
        <w:spacing w:after="0" w:line="34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UNION BANK, N.A.,</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as Administrative Agent and as a Lender</w:t>
      </w:r>
    </w:p>
    <w:p>
      <w:pPr>
        <w:spacing w:after="0" w:line="234" w:lineRule="exact"/>
        <w:rPr>
          <w:sz w:val="20"/>
          <w:szCs w:val="20"/>
          <w:color w:val="auto"/>
        </w:rPr>
      </w:pPr>
    </w:p>
    <w:p>
      <w:pPr>
        <w:ind w:left="6320"/>
        <w:spacing w:after="0"/>
        <w:tabs>
          <w:tab w:leader="none" w:pos="6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14605</wp:posOffset>
            </wp:positionV>
            <wp:extent cx="2383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Mark Adelman</w:t>
      </w:r>
    </w:p>
    <w:p>
      <w:pPr>
        <w:spacing w:after="0" w:line="23" w:lineRule="exact"/>
        <w:rPr>
          <w:sz w:val="20"/>
          <w:szCs w:val="20"/>
          <w:color w:val="auto"/>
        </w:rPr>
      </w:pPr>
    </w:p>
    <w:p>
      <w:pPr>
        <w:ind w:left="6320"/>
        <w:spacing w:after="0"/>
        <w:tabs>
          <w:tab w:leader="none" w:pos="6900" w:val="left"/>
        </w:tabs>
        <w:rPr>
          <w:sz w:val="20"/>
          <w:szCs w:val="20"/>
          <w:color w:val="auto"/>
        </w:rPr>
      </w:pPr>
      <w:r>
        <w:rPr>
          <w:rFonts w:ascii="Arial" w:cs="Arial" w:eastAsia="Arial" w:hAnsi="Arial"/>
          <w:sz w:val="18"/>
          <w:szCs w:val="18"/>
          <w:color w:val="auto"/>
        </w:rPr>
        <w:t>Title:</w:t>
        <w:tab/>
        <w:t>Vice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Agreed to as of the date first set forth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Keven K.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701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Keven K. Lippert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6"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Christopher D. Pannacciulli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27012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Name: Christopher D. Pannacciulli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BANK OF THE WEST,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7012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Ed 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California Bank &amp;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 DeLong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7012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Steve DeLong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Title: Senior Vice President &amp;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Steve D.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2701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Name: Steve D. Clear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JPMorgan Chase Bank, 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Anna C. Ruiz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7012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Anna C. Ruiz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Wells Fargo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S.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701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Donald S.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219"/>
          </w:cols>
          <w:pgMar w:left="240" w:top="1152"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January 1, 2010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40" w:firstLine="221"/>
        <w:spacing w:after="0" w:line="277" w:lineRule="auto"/>
        <w:tabs>
          <w:tab w:leader="none" w:pos="7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January 1, 2010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2019-12-10T06:00:36Z</dcterms:created>
  <dcterms:modified xsi:type="dcterms:W3CDTF">2019-12-10T06:00:36Z</dcterms:modified>
</cp:coreProperties>
</file>