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SCHEDULE 14A INFORMATION</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5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19" w:lineRule="exact"/>
        <w:rPr>
          <w:sz w:val="24"/>
          <w:szCs w:val="24"/>
          <w:color w:val="auto"/>
        </w:rPr>
      </w:pPr>
    </w:p>
    <w:p>
      <w:pPr>
        <w:spacing w:after="0" w:line="276"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24"/>
          <w:szCs w:val="24"/>
          <w:color w:val="auto"/>
        </w:rPr>
        <w:t>☒</w:t>
      </w:r>
    </w:p>
    <w:p>
      <w:pPr>
        <w:spacing w:after="0" w:line="79" w:lineRule="exact"/>
        <w:rPr>
          <w:sz w:val="24"/>
          <w:szCs w:val="24"/>
          <w:color w:val="auto"/>
        </w:rPr>
      </w:pPr>
    </w:p>
    <w:p>
      <w:pPr>
        <w:spacing w:after="0" w:line="276"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24"/>
          <w:szCs w:val="24"/>
          <w:color w:val="auto"/>
        </w:rPr>
        <w:t>☐</w:t>
      </w:r>
    </w:p>
    <w:p>
      <w:pPr>
        <w:spacing w:after="0" w:line="1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260"/>
          </w:cols>
          <w:pgMar w:left="240" w:top="230" w:right="399" w:bottom="1440" w:gutter="0" w:footer="0" w:header="0"/>
        </w:sectPr>
      </w:pPr>
    </w:p>
    <w:p>
      <w:pPr>
        <w:spacing w:after="0" w:line="15"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83"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77"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77"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77"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ectPr>
          <w:pgSz w:w="11900" w:h="16838" w:orient="portrait"/>
          <w:cols w:equalWidth="0" w:num="2">
            <w:col w:w="220" w:space="140"/>
            <w:col w:w="10900"/>
          </w:cols>
          <w:pgMar w:left="240" w:top="230" w:right="399" w:bottom="1440" w:gutter="0" w:footer="0" w:header="0"/>
          <w:type w:val="continuous"/>
        </w:sectPr>
      </w:pPr>
    </w:p>
    <w:p>
      <w:pPr>
        <w:spacing w:after="0" w:line="12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VIASAT, INC.</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1394460</wp:posOffset>
            </wp:positionH>
            <wp:positionV relativeFrom="paragraph">
              <wp:posOffset>370840</wp:posOffset>
            </wp:positionV>
            <wp:extent cx="46310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7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4"/>
          <w:szCs w:val="24"/>
          <w:color w:val="auto"/>
        </w:rPr>
      </w:pPr>
      <w:r>
        <w:rPr>
          <w:rFonts w:ascii="Arial" w:cs="Arial" w:eastAsia="Arial" w:hAnsi="Arial"/>
          <w:sz w:val="18"/>
          <w:szCs w:val="18"/>
          <w:color w:val="auto"/>
        </w:rPr>
        <w:t>No fee required.</w:t>
      </w:r>
    </w:p>
    <w:p>
      <w:pPr>
        <w:spacing w:after="0" w:line="26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24"/>
          <w:szCs w:val="24"/>
          <w:color w:val="auto"/>
        </w:rPr>
      </w:pPr>
      <w:r>
        <w:rPr>
          <w:rFonts w:ascii="Arial" w:cs="Arial" w:eastAsia="Arial" w:hAnsi="Arial"/>
          <w:sz w:val="18"/>
          <w:szCs w:val="18"/>
          <w:color w:val="auto"/>
        </w:rPr>
        <w:t>Fee computed on table below per Exchange Act Rules 14a-6(i)(1) and 0-11.</w:t>
      </w:r>
    </w:p>
    <w:p>
      <w:pPr>
        <w:spacing w:after="0" w:line="7" w:lineRule="exact"/>
        <w:rPr>
          <w:rFonts w:ascii="MS PGothic" w:cs="MS PGothic" w:eastAsia="MS PGothic" w:hAnsi="MS PGothic"/>
          <w:sz w:val="24"/>
          <w:szCs w:val="24"/>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820" w:hanging="461"/>
        <w:spacing w:after="0" w:line="250" w:lineRule="auto"/>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7"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MS PGothic" w:cs="MS PGothic" w:eastAsia="MS PGothic" w:hAnsi="MS PGothic"/>
          <w:sz w:val="24"/>
          <w:szCs w:val="24"/>
          <w:color w:val="auto"/>
        </w:rPr>
      </w:pPr>
      <w:r>
        <w:rPr>
          <w:rFonts w:ascii="Arial" w:cs="Arial" w:eastAsia="Arial" w:hAnsi="Arial"/>
          <w:sz w:val="18"/>
          <w:szCs w:val="18"/>
          <w:color w:val="auto"/>
        </w:rPr>
        <w:t>Fee paid previously with preliminary materials.</w:t>
      </w:r>
    </w:p>
    <w:p>
      <w:pPr>
        <w:spacing w:after="0" w:line="209" w:lineRule="exact"/>
        <w:rPr>
          <w:rFonts w:ascii="MS PGothic" w:cs="MS PGothic" w:eastAsia="MS PGothic" w:hAnsi="MS PGothic"/>
          <w:sz w:val="24"/>
          <w:szCs w:val="24"/>
          <w:color w:val="auto"/>
        </w:rPr>
      </w:pPr>
    </w:p>
    <w:p>
      <w:pPr>
        <w:ind w:left="360" w:right="640" w:hanging="352"/>
        <w:spacing w:after="0" w:line="180" w:lineRule="auto"/>
        <w:tabs>
          <w:tab w:leader="none" w:pos="36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60"/>
          </w:cols>
          <w:pgMar w:left="240" w:top="230" w:right="3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805815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205740</wp:posOffset>
            </wp:positionV>
            <wp:extent cx="181800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17, 2014</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8:30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187325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You are cordially invited to attend our 2014 annual meeting of stockholders, which will be held on September 17, 2014 at 8:30 a.m. Pacific Time at the corporate offices of ViaSat located at 6155 El Camino Real, Founders Hall, Carlsbad, California. We are holding the annual meeting for the following purposes:</w:t>
      </w:r>
    </w:p>
    <w:p>
      <w:pPr>
        <w:spacing w:after="0" w:line="4" w:lineRule="exact"/>
        <w:rPr>
          <w:sz w:val="20"/>
          <w:szCs w:val="20"/>
          <w:color w:val="auto"/>
        </w:rPr>
      </w:pPr>
    </w:p>
    <w:p>
      <w:pPr>
        <w:ind w:left="1480" w:right="460" w:hanging="567"/>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Mark Dankberg and Harvey White to serve as Class III Directors for a three-year term to expire at the 2017 annual meeting of stockholders.</w:t>
      </w:r>
    </w:p>
    <w:p>
      <w:pPr>
        <w:spacing w:after="0" w:line="50" w:lineRule="exact"/>
        <w:rPr>
          <w:rFonts w:ascii="Arial" w:cs="Arial" w:eastAsia="Arial" w:hAnsi="Arial"/>
          <w:sz w:val="18"/>
          <w:szCs w:val="18"/>
          <w:color w:val="auto"/>
        </w:rPr>
      </w:pPr>
    </w:p>
    <w:p>
      <w:pPr>
        <w:ind w:left="1480" w:right="420" w:hanging="567"/>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ViaSat’s independent registered public accounting firm for the fiscal year ending April 3, 2015.</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other business that may properly come before the annual meeting or any adjournments or postponements of the meeting.</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These items are fully described in the proxy statement, which is part of this notice. We have not received notice of other matters that may be properly presented at the annual meeting.</w:t>
      </w:r>
    </w:p>
    <w:p>
      <w:pPr>
        <w:spacing w:after="0" w:line="45"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 xml:space="preserve">All stockholders of record as of July 21, 2014, the record date, are entitled to vote at the annual meeting. </w:t>
      </w:r>
      <w:r>
        <w:rPr>
          <w:rFonts w:ascii="Arial" w:cs="Arial" w:eastAsia="Arial" w:hAnsi="Arial"/>
          <w:sz w:val="16"/>
          <w:szCs w:val="16"/>
          <w:b w:val="1"/>
          <w:bCs w:val="1"/>
          <w:color w:val="auto"/>
        </w:rPr>
        <w:t>Your vote is very important. Whether or not</w:t>
      </w:r>
      <w:r>
        <w:rPr>
          <w:rFonts w:ascii="Arial" w:cs="Arial" w:eastAsia="Arial" w:hAnsi="Arial"/>
          <w:sz w:val="16"/>
          <w:szCs w:val="16"/>
          <w:color w:val="auto"/>
        </w:rPr>
        <w:t xml:space="preserve"> </w:t>
      </w:r>
      <w:r>
        <w:rPr>
          <w:rFonts w:ascii="Arial" w:cs="Arial" w:eastAsia="Arial" w:hAnsi="Arial"/>
          <w:sz w:val="16"/>
          <w:szCs w:val="16"/>
          <w:b w:val="1"/>
          <w:bCs w:val="1"/>
          <w:color w:val="auto"/>
        </w:rPr>
        <w:t>you expect to attend the annual meeting in person, please sign, date and return the enclosed proxy card as soon as possible to ensure that your shares are represented at the annual meeting</w:t>
      </w:r>
      <w:r>
        <w:rPr>
          <w:rFonts w:ascii="Arial" w:cs="Arial" w:eastAsia="Arial" w:hAnsi="Arial"/>
          <w:sz w:val="16"/>
          <w:szCs w:val="16"/>
          <w:color w:val="auto"/>
        </w:rPr>
        <w:t>. If your shares are held in “street name,” which means your shares are held of record by a broker, bank or other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 you must provide your broker, bank or financial institution with instructions on how to vote your shares.</w:t>
      </w:r>
    </w:p>
    <w:p>
      <w:pPr>
        <w:spacing w:after="0" w:line="15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YOUR VOTE IS IMPORTANT.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WHETHER OR NOT YOU PLAN TO ATTEND THE ANNUAL MEETING IN PERSON,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SIGN, DATE AND RETURN THE ACCOMPANYING PROXY CARD.</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gridSpan w:val="4"/>
          </w:tcPr>
          <w:p>
            <w:pPr>
              <w:ind w:left="100"/>
              <w:spacing w:after="0"/>
              <w:rPr>
                <w:sz w:val="20"/>
                <w:szCs w:val="20"/>
                <w:color w:val="auto"/>
              </w:rPr>
            </w:pPr>
            <w:r>
              <w:rPr>
                <w:rFonts w:ascii="Arial" w:cs="Arial" w:eastAsia="Arial" w:hAnsi="Arial"/>
                <w:sz w:val="18"/>
                <w:szCs w:val="18"/>
                <w:b w:val="1"/>
                <w:bCs w:val="1"/>
                <w:color w:val="auto"/>
              </w:rPr>
              <w:t>TABLE OF CONTENTS</w:t>
            </w:r>
          </w:p>
        </w:tc>
        <w:tc>
          <w:tcPr>
            <w:tcW w:w="1900" w:type="dxa"/>
            <w:vAlign w:val="bottom"/>
          </w:tcPr>
          <w:p>
            <w:pPr>
              <w:spacing w:after="0"/>
              <w:rPr>
                <w:sz w:val="19"/>
                <w:szCs w:val="19"/>
                <w:color w:val="auto"/>
              </w:rPr>
            </w:pPr>
          </w:p>
        </w:tc>
      </w:tr>
      <w:tr>
        <w:trPr>
          <w:trHeight w:val="380"/>
        </w:trPr>
        <w:tc>
          <w:tcPr>
            <w:tcW w:w="9420" w:type="dxa"/>
            <w:vAlign w:val="bottom"/>
            <w:gridSpan w:val="3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GENERAL INFORMATION ABOUT THE ANNUAL MEETING AND VOTING</w:t>
              </w:r>
            </w:hyperlink>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5540" w:type="dxa"/>
            <w:vAlign w:val="bottom"/>
            <w:tcBorders>
              <w:top w:val="single" w:sz="8" w:color="0000EE"/>
              <w:bottom w:val="single" w:sz="8" w:color="0000EE"/>
            </w:tcBorders>
            <w:gridSpan w:val="36"/>
          </w:tcPr>
          <w:p>
            <w:pPr>
              <w:spacing w:after="0" w:line="196" w:lineRule="exact"/>
              <w:rPr>
                <w:rFonts w:ascii="Arial" w:cs="Arial" w:eastAsia="Arial" w:hAnsi="Arial"/>
                <w:sz w:val="18"/>
                <w:szCs w:val="18"/>
                <w:b w:val="1"/>
                <w:bCs w:val="1"/>
                <w:color w:val="0000EE"/>
                <w:w w:val="97"/>
              </w:rPr>
            </w:pPr>
            <w:hyperlink w:anchor="page8">
              <w:r>
                <w:rPr>
                  <w:rFonts w:ascii="Arial" w:cs="Arial" w:eastAsia="Arial" w:hAnsi="Arial"/>
                  <w:sz w:val="18"/>
                  <w:szCs w:val="18"/>
                  <w:b w:val="1"/>
                  <w:bCs w:val="1"/>
                  <w:color w:val="0000EE"/>
                  <w:w w:val="97"/>
                </w:rPr>
                <w:t>CORPORATE GOVERNANCE PRINCIPLES AND BOARD MATTERS</w:t>
              </w:r>
            </w:hyperlink>
          </w:p>
        </w:tc>
        <w:tc>
          <w:tcPr>
            <w:tcW w:w="620" w:type="dxa"/>
            <w:vAlign w:val="bottom"/>
            <w:tcBorders>
              <w:top w:val="single" w:sz="8" w:color="0000EE"/>
            </w:tcBorders>
          </w:tcPr>
          <w:p>
            <w:pPr>
              <w:spacing w:after="0"/>
              <w:rPr>
                <w:sz w:val="17"/>
                <w:szCs w:val="17"/>
                <w:color w:val="auto"/>
              </w:rPr>
            </w:pPr>
          </w:p>
        </w:tc>
        <w:tc>
          <w:tcPr>
            <w:tcW w:w="326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196"/>
        </w:trPr>
        <w:tc>
          <w:tcPr>
            <w:tcW w:w="22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Board Responsibilities</w:t>
              </w:r>
            </w:hyperlink>
          </w:p>
        </w:tc>
        <w:tc>
          <w:tcPr>
            <w:tcW w:w="7600" w:type="dxa"/>
            <w:vAlign w:val="bottom"/>
            <w:gridSpan w:val="3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258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Board Leadership and Independence</w:t>
              </w:r>
            </w:hyperlink>
          </w:p>
        </w:tc>
        <w:tc>
          <w:tcPr>
            <w:tcW w:w="6620" w:type="dxa"/>
            <w:vAlign w:val="bottom"/>
            <w:gridSpan w:val="2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32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Board Structure and Committee Composition</w:t>
              </w:r>
            </w:hyperlink>
          </w:p>
        </w:tc>
        <w:tc>
          <w:tcPr>
            <w:tcW w:w="6000" w:type="dxa"/>
            <w:vAlign w:val="bottom"/>
            <w:gridSpan w:val="1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2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Director Nomination Process</w:t>
              </w:r>
            </w:hyperlink>
          </w:p>
        </w:tc>
        <w:tc>
          <w:tcPr>
            <w:tcW w:w="7140" w:type="dxa"/>
            <w:vAlign w:val="bottom"/>
            <w:gridSpan w:val="2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23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Communications with the Board</w:t>
              </w:r>
            </w:hyperlink>
          </w:p>
        </w:tc>
        <w:tc>
          <w:tcPr>
            <w:tcW w:w="6900" w:type="dxa"/>
            <w:vAlign w:val="bottom"/>
            <w:gridSpan w:val="2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50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96"/>
              </w:rPr>
            </w:pPr>
            <w:hyperlink w:anchor="page12">
              <w:r>
                <w:rPr>
                  <w:rFonts w:ascii="Arial" w:cs="Arial" w:eastAsia="Arial" w:hAnsi="Arial"/>
                  <w:sz w:val="18"/>
                  <w:szCs w:val="18"/>
                  <w:b w:val="1"/>
                  <w:bCs w:val="1"/>
                  <w:color w:val="0000EE"/>
                  <w:w w:val="96"/>
                </w:rPr>
                <w:t>PROPOSAL 1: ELECTION OF DIRECTORS</w:t>
              </w:r>
            </w:hyperlink>
          </w:p>
        </w:tc>
        <w:tc>
          <w:tcPr>
            <w:tcW w:w="5920" w:type="dxa"/>
            <w:vAlign w:val="bottom"/>
            <w:gridSpan w:val="1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w:t>
            </w:r>
          </w:p>
        </w:tc>
      </w:tr>
      <w:tr>
        <w:trPr>
          <w:trHeight w:val="196"/>
        </w:trPr>
        <w:tc>
          <w:tcPr>
            <w:tcW w:w="2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Overview</w:t>
              </w:r>
            </w:hyperlink>
          </w:p>
        </w:tc>
        <w:tc>
          <w:tcPr>
            <w:tcW w:w="8500" w:type="dxa"/>
            <w:vAlign w:val="bottom"/>
            <w:gridSpan w:val="3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446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Class III Directors with Terms Expiring at this Annual Meeting</w:t>
              </w:r>
            </w:hyperlink>
          </w:p>
        </w:tc>
        <w:tc>
          <w:tcPr>
            <w:tcW w:w="4740" w:type="dxa"/>
            <w:vAlign w:val="bottom"/>
            <w:gridSpan w:val="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32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Class I Directors with Terms Expiring in 2015</w:t>
              </w:r>
            </w:hyperlink>
          </w:p>
        </w:tc>
        <w:tc>
          <w:tcPr>
            <w:tcW w:w="5940" w:type="dxa"/>
            <w:vAlign w:val="bottom"/>
            <w:gridSpan w:val="1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0" w:type="dxa"/>
            <w:vAlign w:val="bottom"/>
          </w:tcPr>
          <w:p>
            <w:pPr>
              <w:spacing w:after="0"/>
              <w:rPr>
                <w:sz w:val="17"/>
                <w:szCs w:val="17"/>
                <w:color w:val="auto"/>
              </w:rPr>
            </w:pPr>
          </w:p>
        </w:tc>
        <w:tc>
          <w:tcPr>
            <w:tcW w:w="332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Class II Directors with Terms Expiring in 2016</w:t>
              </w:r>
            </w:hyperlink>
          </w:p>
        </w:tc>
        <w:tc>
          <w:tcPr>
            <w:tcW w:w="5880" w:type="dxa"/>
            <w:vAlign w:val="bottom"/>
            <w:gridSpan w:val="11"/>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0" w:type="dxa"/>
            <w:vAlign w:val="bottom"/>
          </w:tcPr>
          <w:p>
            <w:pPr>
              <w:spacing w:after="0"/>
              <w:rPr>
                <w:sz w:val="17"/>
                <w:szCs w:val="17"/>
                <w:color w:val="auto"/>
              </w:rPr>
            </w:pPr>
          </w:p>
        </w:tc>
        <w:tc>
          <w:tcPr>
            <w:tcW w:w="9200" w:type="dxa"/>
            <w:vAlign w:val="bottom"/>
            <w:gridSpan w:val="3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Recommendation of the Board</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42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w w:val="98"/>
              </w:rPr>
            </w:pPr>
            <w:hyperlink w:anchor="page15">
              <w:r>
                <w:rPr>
                  <w:rFonts w:ascii="Arial" w:cs="Arial" w:eastAsia="Arial" w:hAnsi="Arial"/>
                  <w:sz w:val="18"/>
                  <w:szCs w:val="18"/>
                  <w:b w:val="1"/>
                  <w:bCs w:val="1"/>
                  <w:color w:val="0000EE"/>
                  <w:w w:val="98"/>
                </w:rPr>
                <w:t>PROPOSAL 2: RATIFICATION OF APPOINTMENT OF INDEPENDENT REGISTERED PUBLIC ACCOUNTING FIRM</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w:t>
            </w:r>
          </w:p>
        </w:tc>
      </w:tr>
      <w:tr>
        <w:trPr>
          <w:trHeight w:val="196"/>
        </w:trPr>
        <w:tc>
          <w:tcPr>
            <w:tcW w:w="2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Overview</w:t>
              </w:r>
            </w:hyperlink>
          </w:p>
        </w:tc>
        <w:tc>
          <w:tcPr>
            <w:tcW w:w="8500" w:type="dxa"/>
            <w:vAlign w:val="bottom"/>
            <w:gridSpan w:val="3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0" w:type="dxa"/>
            <w:vAlign w:val="bottom"/>
          </w:tcPr>
          <w:p>
            <w:pPr>
              <w:spacing w:after="0"/>
              <w:rPr>
                <w:sz w:val="17"/>
                <w:szCs w:val="17"/>
                <w:color w:val="auto"/>
              </w:rPr>
            </w:pPr>
          </w:p>
        </w:tc>
        <w:tc>
          <w:tcPr>
            <w:tcW w:w="280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Principal Accountant Fees and Services</w:t>
              </w:r>
            </w:hyperlink>
          </w:p>
        </w:tc>
        <w:tc>
          <w:tcPr>
            <w:tcW w:w="6400" w:type="dxa"/>
            <w:vAlign w:val="bottom"/>
            <w:gridSpan w:val="1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0" w:type="dxa"/>
            <w:vAlign w:val="bottom"/>
          </w:tcPr>
          <w:p>
            <w:pPr>
              <w:spacing w:after="0"/>
              <w:rPr>
                <w:sz w:val="17"/>
                <w:szCs w:val="17"/>
                <w:color w:val="auto"/>
              </w:rPr>
            </w:pPr>
          </w:p>
        </w:tc>
        <w:tc>
          <w:tcPr>
            <w:tcW w:w="9200" w:type="dxa"/>
            <w:vAlign w:val="bottom"/>
            <w:gridSpan w:val="3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Pre-Approval Policy of the Audit Committee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0" w:type="dxa"/>
            <w:vAlign w:val="bottom"/>
          </w:tcPr>
          <w:p>
            <w:pPr>
              <w:spacing w:after="0"/>
              <w:rPr>
                <w:sz w:val="17"/>
                <w:szCs w:val="17"/>
                <w:color w:val="auto"/>
              </w:rPr>
            </w:pPr>
          </w:p>
        </w:tc>
        <w:tc>
          <w:tcPr>
            <w:tcW w:w="31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Recommendation of the Board</w:t>
              </w:r>
            </w:hyperlink>
          </w:p>
        </w:tc>
        <w:tc>
          <w:tcPr>
            <w:tcW w:w="6040" w:type="dxa"/>
            <w:vAlign w:val="bottom"/>
            <w:gridSpan w:val="1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420" w:type="dxa"/>
            <w:vAlign w:val="bottom"/>
            <w:gridSpan w:val="38"/>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PROPOSAL 3: ADVISORY VOTE ON EXECUTIVE COMPENSATION</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22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Overview</w:t>
              </w:r>
            </w:hyperlink>
          </w:p>
        </w:tc>
        <w:tc>
          <w:tcPr>
            <w:tcW w:w="4620" w:type="dxa"/>
            <w:vAlign w:val="bottom"/>
            <w:tcBorders>
              <w:top w:val="single" w:sz="8" w:color="0000EE"/>
            </w:tcBorders>
            <w:gridSpan w:val="34"/>
          </w:tcPr>
          <w:p>
            <w:pPr>
              <w:spacing w:after="0"/>
              <w:rPr>
                <w:sz w:val="17"/>
                <w:szCs w:val="17"/>
                <w:color w:val="auto"/>
              </w:rPr>
            </w:pPr>
          </w:p>
        </w:tc>
        <w:tc>
          <w:tcPr>
            <w:tcW w:w="388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0" w:type="dxa"/>
            <w:vAlign w:val="bottom"/>
          </w:tcPr>
          <w:p>
            <w:pPr>
              <w:spacing w:after="0"/>
              <w:rPr>
                <w:sz w:val="17"/>
                <w:szCs w:val="17"/>
                <w:color w:val="auto"/>
              </w:rPr>
            </w:pPr>
          </w:p>
        </w:tc>
        <w:tc>
          <w:tcPr>
            <w:tcW w:w="9200" w:type="dxa"/>
            <w:vAlign w:val="bottom"/>
            <w:gridSpan w:val="3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Recommendation of the Board</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7"/>
              </w:rPr>
            </w:pPr>
            <w:hyperlink w:anchor="page18">
              <w:r>
                <w:rPr>
                  <w:rFonts w:ascii="Arial" w:cs="Arial" w:eastAsia="Arial" w:hAnsi="Arial"/>
                  <w:sz w:val="18"/>
                  <w:szCs w:val="18"/>
                  <w:b w:val="1"/>
                  <w:bCs w:val="1"/>
                  <w:color w:val="0000EE"/>
                  <w:w w:val="97"/>
                </w:rPr>
                <w:t>OWNERSHIP OF SECURITIES</w:t>
              </w:r>
            </w:hyperlink>
          </w:p>
        </w:tc>
        <w:tc>
          <w:tcPr>
            <w:tcW w:w="6920" w:type="dxa"/>
            <w:vAlign w:val="bottom"/>
            <w:gridSpan w:val="2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w:t>
            </w:r>
          </w:p>
        </w:tc>
      </w:tr>
      <w:tr>
        <w:trPr>
          <w:trHeight w:val="196"/>
        </w:trPr>
        <w:tc>
          <w:tcPr>
            <w:tcW w:w="220" w:type="dxa"/>
            <w:vAlign w:val="bottom"/>
          </w:tcPr>
          <w:p>
            <w:pPr>
              <w:spacing w:after="0"/>
              <w:rPr>
                <w:sz w:val="17"/>
                <w:szCs w:val="17"/>
                <w:color w:val="auto"/>
              </w:rPr>
            </w:pPr>
          </w:p>
        </w:tc>
        <w:tc>
          <w:tcPr>
            <w:tcW w:w="19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Beneficial Ownership Table</w:t>
              </w:r>
            </w:hyperlink>
          </w:p>
        </w:tc>
        <w:tc>
          <w:tcPr>
            <w:tcW w:w="7220" w:type="dxa"/>
            <w:vAlign w:val="bottom"/>
            <w:gridSpan w:val="30"/>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20" w:type="dxa"/>
            <w:vAlign w:val="bottom"/>
          </w:tcPr>
          <w:p>
            <w:pPr>
              <w:spacing w:after="0"/>
              <w:rPr>
                <w:sz w:val="17"/>
                <w:szCs w:val="17"/>
                <w:color w:val="auto"/>
              </w:rPr>
            </w:pPr>
          </w:p>
        </w:tc>
        <w:tc>
          <w:tcPr>
            <w:tcW w:w="9200" w:type="dxa"/>
            <w:vAlign w:val="bottom"/>
            <w:gridSpan w:val="3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Section 16(a) Beneficial Ownership Reporting Compliance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20" w:type="dxa"/>
            <w:vAlign w:val="bottom"/>
          </w:tcPr>
          <w:p>
            <w:pPr>
              <w:spacing w:after="0"/>
              <w:rPr>
                <w:sz w:val="17"/>
                <w:szCs w:val="17"/>
                <w:color w:val="auto"/>
              </w:rPr>
            </w:pPr>
          </w:p>
        </w:tc>
        <w:tc>
          <w:tcPr>
            <w:tcW w:w="41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Hedging, Short Sale and Pledging Policies</w:t>
              </w:r>
            </w:hyperlink>
          </w:p>
        </w:tc>
        <w:tc>
          <w:tcPr>
            <w:tcW w:w="5040" w:type="dxa"/>
            <w:vAlign w:val="bottom"/>
            <w:gridSpan w:val="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EXECUTIVE COMPENSATION</w:t>
              </w:r>
            </w:hyperlink>
          </w:p>
        </w:tc>
        <w:tc>
          <w:tcPr>
            <w:tcW w:w="6880" w:type="dxa"/>
            <w:vAlign w:val="bottom"/>
            <w:gridSpan w:val="2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w:t>
            </w:r>
          </w:p>
        </w:tc>
      </w:tr>
      <w:tr>
        <w:trPr>
          <w:trHeight w:val="196"/>
        </w:trPr>
        <w:tc>
          <w:tcPr>
            <w:tcW w:w="220" w:type="dxa"/>
            <w:vAlign w:val="bottom"/>
          </w:tcPr>
          <w:p>
            <w:pPr>
              <w:spacing w:after="0"/>
              <w:rPr>
                <w:sz w:val="17"/>
                <w:szCs w:val="17"/>
                <w:color w:val="auto"/>
              </w:rPr>
            </w:pPr>
          </w:p>
        </w:tc>
        <w:tc>
          <w:tcPr>
            <w:tcW w:w="9200" w:type="dxa"/>
            <w:vAlign w:val="bottom"/>
            <w:gridSpan w:val="3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Compensation Discussion and Analysis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20" w:type="dxa"/>
            <w:vAlign w:val="bottom"/>
          </w:tcPr>
          <w:p>
            <w:pPr>
              <w:spacing w:after="0"/>
              <w:rPr>
                <w:sz w:val="17"/>
                <w:szCs w:val="17"/>
                <w:color w:val="auto"/>
              </w:rPr>
            </w:pPr>
          </w:p>
        </w:tc>
        <w:tc>
          <w:tcPr>
            <w:tcW w:w="27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Compensation Committee Report</w:t>
              </w:r>
            </w:hyperlink>
          </w:p>
        </w:tc>
        <w:tc>
          <w:tcPr>
            <w:tcW w:w="6420" w:type="dxa"/>
            <w:vAlign w:val="bottom"/>
            <w:gridSpan w:val="1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Summary Compensation Table</w:t>
              </w:r>
            </w:hyperlink>
          </w:p>
        </w:tc>
        <w:tc>
          <w:tcPr>
            <w:tcW w:w="180" w:type="dxa"/>
            <w:vAlign w:val="bottom"/>
            <w:tcBorders>
              <w:top w:val="single" w:sz="8" w:color="0000EE"/>
            </w:tcBorders>
            <w:gridSpan w:val="4"/>
          </w:tcPr>
          <w:p>
            <w:pPr>
              <w:spacing w:after="0"/>
              <w:rPr>
                <w:sz w:val="17"/>
                <w:szCs w:val="17"/>
                <w:color w:val="auto"/>
              </w:rPr>
            </w:pPr>
          </w:p>
        </w:tc>
        <w:tc>
          <w:tcPr>
            <w:tcW w:w="6840" w:type="dxa"/>
            <w:vAlign w:val="bottom"/>
            <w:gridSpan w:val="2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20" w:type="dxa"/>
            <w:vAlign w:val="bottom"/>
          </w:tcPr>
          <w:p>
            <w:pPr>
              <w:spacing w:after="0"/>
              <w:rPr>
                <w:sz w:val="17"/>
                <w:szCs w:val="17"/>
                <w:color w:val="auto"/>
              </w:rPr>
            </w:pPr>
          </w:p>
        </w:tc>
        <w:tc>
          <w:tcPr>
            <w:tcW w:w="9200" w:type="dxa"/>
            <w:vAlign w:val="bottom"/>
            <w:gridSpan w:val="3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Grants of Plan-Based Awards in Fiscal Year 2014</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9"/>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8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Outstanding Equity Awards at 2014 Fiscal Year End</w:t>
              </w:r>
            </w:hyperlink>
          </w:p>
        </w:tc>
        <w:tc>
          <w:tcPr>
            <w:tcW w:w="5520" w:type="dxa"/>
            <w:vAlign w:val="bottom"/>
            <w:gridSpan w:val="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20" w:type="dxa"/>
            <w:vAlign w:val="bottom"/>
          </w:tcPr>
          <w:p>
            <w:pPr>
              <w:spacing w:after="0"/>
              <w:rPr>
                <w:sz w:val="17"/>
                <w:szCs w:val="17"/>
                <w:color w:val="auto"/>
              </w:rPr>
            </w:pPr>
          </w:p>
        </w:tc>
        <w:tc>
          <w:tcPr>
            <w:tcW w:w="9200" w:type="dxa"/>
            <w:vAlign w:val="bottom"/>
            <w:gridSpan w:val="3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Option Exercises and Stock Vested in Fiscal Year 2014</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20" w:type="dxa"/>
            <w:vAlign w:val="bottom"/>
          </w:tcPr>
          <w:p>
            <w:pPr>
              <w:spacing w:after="0"/>
              <w:rPr>
                <w:sz w:val="17"/>
                <w:szCs w:val="17"/>
                <w:color w:val="auto"/>
              </w:rPr>
            </w:pPr>
          </w:p>
        </w:tc>
        <w:tc>
          <w:tcPr>
            <w:tcW w:w="38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Equity Compensation Plan Information</w:t>
              </w:r>
            </w:hyperlink>
          </w:p>
        </w:tc>
        <w:tc>
          <w:tcPr>
            <w:tcW w:w="5340" w:type="dxa"/>
            <w:vAlign w:val="bottom"/>
            <w:gridSpan w:val="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20" w:type="dxa"/>
            <w:vAlign w:val="bottom"/>
          </w:tcPr>
          <w:p>
            <w:pPr>
              <w:spacing w:after="0"/>
              <w:rPr>
                <w:sz w:val="17"/>
                <w:szCs w:val="17"/>
                <w:color w:val="auto"/>
              </w:rPr>
            </w:pPr>
          </w:p>
        </w:tc>
        <w:tc>
          <w:tcPr>
            <w:tcW w:w="27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Pension Benefits</w:t>
              </w:r>
            </w:hyperlink>
          </w:p>
        </w:tc>
        <w:tc>
          <w:tcPr>
            <w:tcW w:w="6440" w:type="dxa"/>
            <w:vAlign w:val="bottom"/>
            <w:gridSpan w:val="1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11"/>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6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Nonqualified Deferred Compensation</w:t>
              </w:r>
            </w:hyperlink>
          </w:p>
        </w:tc>
        <w:tc>
          <w:tcPr>
            <w:tcW w:w="6540" w:type="dxa"/>
            <w:vAlign w:val="bottom"/>
            <w:gridSpan w:val="21"/>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20" w:type="dxa"/>
            <w:vAlign w:val="bottom"/>
          </w:tcPr>
          <w:p>
            <w:pPr>
              <w:spacing w:after="0"/>
              <w:rPr>
                <w:sz w:val="17"/>
                <w:szCs w:val="17"/>
                <w:color w:val="auto"/>
              </w:rPr>
            </w:pPr>
          </w:p>
        </w:tc>
        <w:tc>
          <w:tcPr>
            <w:tcW w:w="9200" w:type="dxa"/>
            <w:vAlign w:val="bottom"/>
            <w:gridSpan w:val="3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Potential Payments Upon Termination</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20" w:type="dxa"/>
            <w:vAlign w:val="bottom"/>
          </w:tcPr>
          <w:p>
            <w:pPr>
              <w:spacing w:after="0"/>
              <w:rPr>
                <w:sz w:val="17"/>
                <w:szCs w:val="17"/>
                <w:color w:val="auto"/>
              </w:rPr>
            </w:pPr>
          </w:p>
        </w:tc>
        <w:tc>
          <w:tcPr>
            <w:tcW w:w="26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Director Compensation</w:t>
              </w:r>
            </w:hyperlink>
          </w:p>
        </w:tc>
        <w:tc>
          <w:tcPr>
            <w:tcW w:w="6520" w:type="dxa"/>
            <w:vAlign w:val="bottom"/>
            <w:gridSpan w:val="20"/>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2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360" w:type="dxa"/>
            <w:vAlign w:val="bottom"/>
            <w:gridSpan w:val="16"/>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6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Compensation Committee Interlocks and Insider Participation</w:t>
              </w:r>
            </w:hyperlink>
          </w:p>
        </w:tc>
        <w:tc>
          <w:tcPr>
            <w:tcW w:w="4840" w:type="dxa"/>
            <w:vAlign w:val="bottom"/>
            <w:gridSpan w:val="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02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97"/>
              </w:rPr>
            </w:pPr>
            <w:hyperlink w:anchor="page38">
              <w:r>
                <w:rPr>
                  <w:rFonts w:ascii="Arial" w:cs="Arial" w:eastAsia="Arial" w:hAnsi="Arial"/>
                  <w:sz w:val="18"/>
                  <w:szCs w:val="18"/>
                  <w:b w:val="1"/>
                  <w:bCs w:val="1"/>
                  <w:color w:val="0000EE"/>
                  <w:w w:val="97"/>
                </w:rPr>
                <w:t>CERTAIN RELATIONSHIPS AND RELATED TRANSACTIONS</w:t>
              </w:r>
            </w:hyperlink>
          </w:p>
        </w:tc>
        <w:tc>
          <w:tcPr>
            <w:tcW w:w="4400" w:type="dxa"/>
            <w:vAlign w:val="bottom"/>
            <w:gridSpan w:val="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w:t>
            </w:r>
          </w:p>
        </w:tc>
      </w:tr>
      <w:tr>
        <w:trPr>
          <w:trHeight w:val="196"/>
        </w:trPr>
        <w:tc>
          <w:tcPr>
            <w:tcW w:w="220" w:type="dxa"/>
            <w:vAlign w:val="bottom"/>
          </w:tcPr>
          <w:p>
            <w:pPr>
              <w:spacing w:after="0"/>
              <w:rPr>
                <w:sz w:val="17"/>
                <w:szCs w:val="17"/>
                <w:color w:val="auto"/>
              </w:rPr>
            </w:pPr>
          </w:p>
        </w:tc>
        <w:tc>
          <w:tcPr>
            <w:tcW w:w="9200" w:type="dxa"/>
            <w:vAlign w:val="bottom"/>
            <w:gridSpan w:val="3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Review and Approval of Related Party Transactions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20" w:type="dxa"/>
            <w:vAlign w:val="bottom"/>
          </w:tcPr>
          <w:p>
            <w:pPr>
              <w:spacing w:after="0"/>
              <w:rPr>
                <w:sz w:val="17"/>
                <w:szCs w:val="17"/>
                <w:color w:val="auto"/>
              </w:rPr>
            </w:pPr>
          </w:p>
        </w:tc>
        <w:tc>
          <w:tcPr>
            <w:tcW w:w="36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Related Party Transactions</w:t>
              </w:r>
            </w:hyperlink>
          </w:p>
        </w:tc>
        <w:tc>
          <w:tcPr>
            <w:tcW w:w="5540" w:type="dxa"/>
            <w:vAlign w:val="bottom"/>
            <w:gridSpan w:val="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2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900" w:type="dxa"/>
            <w:vAlign w:val="bottom"/>
            <w:gridSpan w:val="2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AUDIT COMMITTEE REPORT</w:t>
              </w:r>
            </w:hyperlink>
          </w:p>
        </w:tc>
        <w:tc>
          <w:tcPr>
            <w:tcW w:w="6900" w:type="dxa"/>
            <w:vAlign w:val="bottom"/>
            <w:gridSpan w:val="2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36</w:t>
            </w:r>
          </w:p>
        </w:tc>
      </w:tr>
      <w:tr>
        <w:trPr>
          <w:trHeight w:val="196"/>
        </w:trPr>
        <w:tc>
          <w:tcPr>
            <w:tcW w:w="9420" w:type="dxa"/>
            <w:vAlign w:val="bottom"/>
            <w:gridSpan w:val="38"/>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OTHER MATTERS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w:t>
            </w:r>
          </w:p>
        </w:tc>
      </w:tr>
      <w:tr>
        <w:trPr>
          <w:trHeight w:val="20"/>
        </w:trPr>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205740</wp:posOffset>
            </wp:positionV>
            <wp:extent cx="1818005"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6155 El Camino Real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Carlsbad, California 92009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118745</wp:posOffset>
            </wp:positionV>
            <wp:extent cx="1311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114300</wp:posOffset>
            </wp:positionV>
            <wp:extent cx="1311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of ViaSat, Inc. is soliciting the enclosed proxy for use at the annual meeting of stockholders to be held on September 17, 2014 at</w:t>
      </w:r>
    </w:p>
    <w:p>
      <w:pPr>
        <w:spacing w:after="0" w:line="3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8:30 a.m. Pacific Time at the corporate offices of ViaSat located at 6155 El Camino Real, Founders Hall, Carlsbad, California, and at any adjournments or postponements of the meeting, for the purposes set forth in the Notice of Annual Meeting of Stockholders.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THE ANNUAL MEETING AND VOTING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this proxy statement?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sent you this proxy statement and the enclosed proxy card because ViaSat’s Board of Directors is soliciting your proxy to vote at the 2014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sign, date and return the enclosed proxy card.</w:t>
      </w:r>
    </w:p>
    <w:p>
      <w:pPr>
        <w:spacing w:after="0" w:line="14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We intend to begin mailing this proxy statement, the attached notice of annual meeting and the enclosed proxy card on or about July 25, 2014 to all stockholders of record entitled to vote at the annual meeting. Only stockholders who owned ViaSat common stock on the record date, July 21, 2014, are entitled to vote at the annual meeting. On this record date, there were approximately 46,705,298 shares of ViaSat common stock outstanding. Common stock is our only class of stock entitled to vote. We are also sending along with this proxy statement our fiscal year 2014 annual report, which includes our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items of business scheduled to be voted on at the annual meeting are:</w:t>
      </w:r>
    </w:p>
    <w:p>
      <w:pPr>
        <w:spacing w:after="0" w:line="90" w:lineRule="exact"/>
        <w:rPr>
          <w:sz w:val="20"/>
          <w:szCs w:val="20"/>
          <w:color w:val="auto"/>
        </w:rPr>
      </w:pPr>
    </w:p>
    <w:p>
      <w:pPr>
        <w:ind w:left="660" w:right="10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 The election of Mark Dankberg and Harvey White to serve as Class III Directors for a three-year term to expire at the 2017 annual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stockholders.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 The ratification of the appointment of PricewaterhouseCoopers as ViaSat’s independent registered public accounting firm for the 2015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Proposal 3</w:t>
      </w:r>
      <w:r>
        <w:rPr>
          <w:rFonts w:ascii="Arial" w:cs="Arial" w:eastAsia="Arial" w:hAnsi="Arial"/>
          <w:sz w:val="18"/>
          <w:szCs w:val="18"/>
          <w:color w:val="auto"/>
        </w:rPr>
        <w:t>: The advisory vote on executive compensation.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will consider any other business that properly comes before the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unanimously recommends that you vote:</w:t>
      </w:r>
    </w:p>
    <w:p>
      <w:pPr>
        <w:spacing w:after="0" w:line="84"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director nominees listed in this proxy statement (Proposal 1);</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PricewaterhouseCoopers as ViaSat’s independent registered public accounting firm (Proposal 2);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executive compensation (Proposal 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one vote for every share of ViaSat common stock that you own as of July 21,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by proxy?</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Your vote is important. Whether or not you plan to attend the annual meeting in person, we urge you to sign, date and return the enclosed proxy card as soon as possible to ensure that your vote is recorded promptly. Returning the proxy card will not affect your right to attend the annual meeting or vote your shares in person.</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If you complete and submit your proxy card, the persons named as proxies will vote your shares in accordance with your instructions. If you submit a proxy card but do not fill out the voting instructions on the proxy card, your shares will be voted as recommended by the Board of Directors.</w:t>
      </w:r>
    </w:p>
    <w:p>
      <w:pPr>
        <w:spacing w:after="0" w:line="8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other matters are properly presented for voting at the annual meeting, or any adjournments or postponements of the annual meeting, the proxy card will confer discretionary authority on the individuals named as proxies to vote your shares in accordance with their best judgment. As of the date of this proxy statement, we have not received notice of other matters that may properly be presented for voting at the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If you give us your proxy, you may revoke it at any time before your proxy is voted at the annual meeting. You may revoke your proxy in any of the following three ways:</w:t>
      </w:r>
    </w:p>
    <w:p>
      <w:pPr>
        <w:spacing w:after="0" w:line="51"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send in another signed proxy card bearing a later date;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deliver a written notice of revocation to ViaSat’s Corporate Secretary prior to the annual meeting;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notify ViaSat’s Corporate Secretary in writing before the annual meeting and vote in person at the meeting.</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your shares are held in “street name,” which means your shares are held of record by a broker, bank or other financial institution, you must contact your broker, bank or financial institution to revoke any prior instructions.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in person?</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If you plan to attend the annual meeting and wish to vote in person, we will give you a ballot when you arrive. Even if you plan to attend the annual meeting, we recommend that you also vote by proxy as described above so that your vote will be counted if you later decide not to attend the meeting.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my shares are held by a broker, bank or other financial institution?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annual meeting. However, since you are not the stockholder of record, you may not vote in person at the meeting unless you bring to the meeting a “legal proxy” from the record holder of the shares (your broker, bank or other financial institution). The legal proxy will give you the right to vote the shares at the meeting.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via the internet or by telephone?</w:t>
      </w:r>
    </w:p>
    <w:p>
      <w:pPr>
        <w:spacing w:after="0" w:line="9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If your shares are registered in the name of a broker, bank or other financial institution, you may be eligible to vote your shares electronically over the internet or by telephone. A large number of banks and brokerage firms offer internet and telephone voting. If the broker, bank or other financial institution holding your shares does not offer internet or telephone voting information, please complete and return your proxy card or voting instruction card in the self-addressed, postage-paid envelope provided.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You are entitled to attend the annual meeting only if you were a ViaSat stockholder or joint holder as of the record date, July 21, 2014, or you hold a valid proxy for the annual meeting. You should be prepared to present valid government issued photo identification for admittance. If you are a stockholder of record, your name will be verified against the list of stockholders of record on the record date prior to your admission to the annual meeting. If you are not a stockholder of record but hold shares in street name, you should provide proof of beneficial ownership by bringing either a copy of the voting instruction card provided by your broker or a copy of a brokerage statement showing your share ownership as of July 21, 2014. If you do not provide photo identification or comply with the other procedures outlined above, you will not be admitted to the annual meeting. The use of cell phones, smartphones, pagers, recording and photographic equipment and/or computers is not permitted at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quorum is present when at least a majority of the outstanding shares entitled to vote are represented at the annual meeting either in person or by proxy.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year, approximately 23,352,650 shares must be represented to constitute a quorum at the meeting and permit us to conduct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9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In the election of directors, the two nominees for director who receive the highest number of affirmative votes will be elected as directors. All other proposals require the affirmative vote of a majority of the votes cast on that proposal. Voting results will be tabulated and certified by our transfer agent, Computershare.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happen if I abstain from voting or fail to vote?</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Shares held by persons attending the annual meeting but not voting, and shares represented by proxies that reflect abstentions as to a particular proposal will be counted as present for purposes of determining the presence of a quorum.</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 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2015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tabulating the voting results for each proposal, neither abstentions nor shares that constitute broker non-votes are considered votes cast on that proposal.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Thus, abstentions and broker non-votes will not affect the outcome of any matter being voted on at the meeting, assuming that a quorum is obtained.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 share an address with another stockholder, but we received only one paper copy of the proxy materials. How may I obtain an additional copy of the proxy materials?</w:t>
      </w:r>
    </w:p>
    <w:p>
      <w:pPr>
        <w:spacing w:after="0" w:line="4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this practice for future mailings, and receive separate annual reports and proxy statements for each stockholder sharing the same address,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cs="Arial" w:eastAsia="Arial" w:hAnsi="Arial"/>
          <w:sz w:val="16"/>
          <w:szCs w:val="16"/>
          <w:i w:val="1"/>
          <w:iCs w:val="1"/>
          <w:color w:val="auto"/>
        </w:rPr>
        <w:t>ir@viasat.com</w:t>
      </w:r>
      <w:r>
        <w:rPr>
          <w:rFonts w:ascii="Arial" w:cs="Arial" w:eastAsia="Arial" w:hAnsi="Arial"/>
          <w:sz w:val="16"/>
          <w:szCs w:val="16"/>
          <w:color w:val="auto"/>
        </w:rPr>
        <w:t xml:space="preserve"> or by telephone at (760) 476-2633. We will promptly send additional copies of the annual report or proxy statement upon receipt of such request.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ViaSat annual meeting of stockholders to be held on September 17, 2014.</w:t>
      </w:r>
    </w:p>
    <w:p>
      <w:pPr>
        <w:spacing w:after="0" w:line="11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Under rules adopted by the SEC, we are also furnishing proxy materials to our stockholders via the internet. This process is designed to expedite stockholders’ receipt of proxy materials, lower the cost of the annual meeting and help conserve natural resources. </w:t>
      </w:r>
      <w:r>
        <w:rPr>
          <w:rFonts w:ascii="Arial" w:cs="Arial" w:eastAsia="Arial" w:hAnsi="Arial"/>
          <w:sz w:val="16"/>
          <w:szCs w:val="16"/>
          <w:b w:val="1"/>
          <w:bCs w:val="1"/>
          <w:color w:val="auto"/>
        </w:rPr>
        <w:t>This proxy statement and our annual report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stockholders are available on the Investor Relations section of our website at </w:t>
      </w:r>
      <w:r>
        <w:rPr>
          <w:rFonts w:ascii="Arial" w:cs="Arial" w:eastAsia="Arial" w:hAnsi="Arial"/>
          <w:sz w:val="16"/>
          <w:szCs w:val="16"/>
          <w:b w:val="1"/>
          <w:bCs w:val="1"/>
          <w:i w:val="1"/>
          <w:iCs w:val="1"/>
          <w:color w:val="auto"/>
        </w:rPr>
        <w:t>investors.viasat.com</w:t>
      </w:r>
      <w:r>
        <w:rPr>
          <w:rFonts w:ascii="Arial" w:cs="Arial" w:eastAsia="Arial" w:hAnsi="Arial"/>
          <w:sz w:val="16"/>
          <w:szCs w:val="16"/>
          <w:b w:val="1"/>
          <w:bCs w:val="1"/>
          <w:color w:val="auto"/>
        </w:rPr>
        <w:t xml:space="preserve">. </w:t>
      </w:r>
      <w:r>
        <w:rPr>
          <w:rFonts w:ascii="Arial" w:cs="Arial" w:eastAsia="Arial" w:hAnsi="Arial"/>
          <w:sz w:val="16"/>
          <w:szCs w:val="16"/>
          <w:color w:val="auto"/>
        </w:rPr>
        <w:t>If you are a stockholder of record, you can elect to</w:t>
      </w:r>
      <w:r>
        <w:rPr>
          <w:rFonts w:ascii="Arial" w:cs="Arial" w:eastAsia="Arial" w:hAnsi="Arial"/>
          <w:sz w:val="16"/>
          <w:szCs w:val="16"/>
          <w:b w:val="1"/>
          <w:bCs w:val="1"/>
          <w:color w:val="auto"/>
        </w:rPr>
        <w:t xml:space="preserve"> </w:t>
      </w:r>
      <w:r>
        <w:rPr>
          <w:rFonts w:ascii="Arial" w:cs="Arial" w:eastAsia="Arial" w:hAnsi="Arial"/>
          <w:sz w:val="16"/>
          <w:szCs w:val="16"/>
          <w:color w:val="auto"/>
        </w:rPr>
        <w:t>access future proxy 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PRINCIPLES AND BOARD MATTERS</w:t>
      </w:r>
    </w:p>
    <w:p>
      <w:pPr>
        <w:spacing w:after="0" w:line="17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 xml:space="preserve">We are dedicated to maintaining the highest standards of business integrity. It is our belief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Responsibilities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Primary Responsibilities. </w:t>
      </w:r>
      <w:r>
        <w:rPr>
          <w:rFonts w:ascii="Arial" w:cs="Arial" w:eastAsia="Arial" w:hAnsi="Arial"/>
          <w:sz w:val="16"/>
          <w:szCs w:val="16"/>
          <w:color w:val="auto"/>
        </w:rPr>
        <w:t>The Board of Directors is the company’s governing body, responsible for overseeing ViaSat’s Chief Executive Officer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management in the competent and ethical operation of the company on a day-to-day basis and assuring that the long-term interests of the stockholders are being served. To satisfy its duties, directors are expected to take a proactive, focused approach to their position, and set standards to ensure that the company is committed to business success through the maintenance of high standards of responsibility and ethics.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Risk Oversight. </w:t>
      </w:r>
      <w:r>
        <w:rPr>
          <w:rFonts w:ascii="Arial" w:cs="Arial" w:eastAsia="Arial" w:hAnsi="Arial"/>
          <w:sz w:val="16"/>
          <w:szCs w:val="16"/>
          <w:color w:val="auto"/>
        </w:rPr>
        <w:t>We take a comprehensive approach to risk management which is reflected in the reporting processes by which our management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timely and comprehensive information to the Board to support the Board’s role in oversight, approval and decision-making. Our senior management is responsible for assessing and managing the company’s various exposures to risk on a day-to-day basis, including the creation of appropriate risk management programs and policies. The Board is responsible for overseeing management in the execution of its responsibilities and for assessing the company’s approach to risk management. The Board exercises these responsibilities periodically as part of its meetings and also through the Board’s committees, each of which examines various components of enterprise risk as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and Independence</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Mark Dankberg, our Chief Executive Officer, serves as the Chairman of the Board. Currently, the Board believes this leadership structure provides the most efficient and effective leadership model for ViaSat by enhancing the Chairman and Chief Executive Officer’s ability to provide clear insight and direction of business strategies and plans to both the Board and management. The Board regularly evaluates its leadership structure and currently believes ViaSat can most effectively execute its business strategies and plans if the Chairman is also a member of the management team. A single person, acting in the capacities of Chairman and Chief Executive Officer, promotes unity of vision and leadership, which allows for a single, clear focus for management to execute the company’s business strategies and plans. While we have not currently designated a lead independent director, we believe that ViaSat’s unitary leadership structure is appropriately balanced by sound corporate governance principles, the effective oversight of management by non-employee directors and the strength of ViaSat’s independent directors.</w:t>
      </w:r>
    </w:p>
    <w:p>
      <w:pPr>
        <w:spacing w:after="0" w:line="14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criteria established by The Nasdaq Stock Market, or Nasdaq, for director independence include various objective standards and a subjective test. The subjective test requires that each independent director not have a relationship which, in the opinion of the Board, would interfere with the exercise of independent judgment in carrying out the responsibilities of a director. A member of the Board of Directors is not considered independent under the objective standards if, for example, he or she is (1) an employee of ViaSat, or (2) a partner in, or a controlling shareholder or an executive officer of, an entity to which ViaSat made, or from which ViaSat received, payments in the current or any of the past three fiscal years that exceed 5% of the recipient’s consolidated gross revenues for that year.</w:t>
      </w:r>
    </w:p>
    <w:p>
      <w:pPr>
        <w:spacing w:after="0" w:line="144"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None of the directors were disqualified from independent status under the objective standards, other than Mr. Dankberg, who does not qualify as independent because he is a ViaSat employee. The subjective evaluation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of director independence by the Board of Directors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 In conducting this evaluation, the Board considered the following relationship that did not contravene the Nasdaq objective standards but was identified by the Nomination, Evaluation and Corporate Governance Committee for further consideration by the Board under the subjective standard: Mr. Stenbit is a non-employee director of Loral Space &amp; Communications Inc., a company which is adverse to us in legal proceedings. For a discussion of patent infringement litigation involving Loral Space &amp; Communications Inc., please see the Legal Proceedings section in Item 3 of our annual report on Form 10-K and in Part II, Item 1 of our quarterly reports on Form 10-Q. Based on all of the foregoing, the Board made a subjective determination that Mr. Stenbit maintains the ability to exercise independent judgment in carrying out the responsibilities of a director.</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a result, the Board of Directors affirmatively determined that each member of the Board other than Mr. Dankberg is independent under the criteria established by Nasdaq for director independence. In addition to the Board level standards for director independence, all members of the Audit Committee, Compensation and Human Resources Committee, and Nomination, Evaluation and Corporate Governance Committee qualify as independent directors as defined by Nasdaq.</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Committee Composition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date of this proxy statement, our Board of Directors has seven directors and the following four standing committees: (1) Audit Committee,</w:t>
      </w:r>
    </w:p>
    <w:p>
      <w:pPr>
        <w:spacing w:after="0" w:line="38" w:lineRule="exact"/>
        <w:rPr>
          <w:sz w:val="20"/>
          <w:szCs w:val="20"/>
          <w:color w:val="auto"/>
        </w:rPr>
      </w:pPr>
    </w:p>
    <w:p>
      <w:pPr>
        <w:ind w:firstLine="8"/>
        <w:spacing w:after="0" w:line="310" w:lineRule="auto"/>
        <w:tabs>
          <w:tab w:leader="none" w:pos="249"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Compensation and Human Resources Committee, (3) Nomination, Evaluation and Corporate Governance Committee, and (4) Banking and Finance Committee. The membership during the last year and the function of each of the committees are described below. Each of the committees operates under a written charter which can be found on the Investor Relations section of our website at </w:t>
      </w:r>
      <w:r>
        <w:rPr>
          <w:rFonts w:ascii="Arial" w:cs="Arial" w:eastAsia="Arial" w:hAnsi="Arial"/>
          <w:sz w:val="15"/>
          <w:szCs w:val="15"/>
          <w:i w:val="1"/>
          <w:iCs w:val="1"/>
          <w:color w:val="auto"/>
        </w:rPr>
        <w:t>investors.viasat.com</w:t>
      </w:r>
      <w:r>
        <w:rPr>
          <w:rFonts w:ascii="Arial" w:cs="Arial" w:eastAsia="Arial" w:hAnsi="Arial"/>
          <w:sz w:val="15"/>
          <w:szCs w:val="15"/>
          <w:color w:val="auto"/>
        </w:rPr>
        <w:t>. During our fiscal year ended April 4, 2014, the Board held seven meetings, including telephonic meetings. During this period, all of the directors attended or participated in at least 75% of the aggregate of the total number of meetings of the Board and the total number of meetings held by all committees of the Board on which each such director served. Although we do not have a formal policy regarding attendance by members of our Board at our annual meeting of stockholders, we encourage the attendance of our directors and director nominees at our annual meeting, and historically more than a majority have done so. Six of our directors attended last year’s annual meeting of stockholders.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Nomination,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Evaluation and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and Human</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Corporate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Banking and</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6140" w:type="dxa"/>
            <w:vAlign w:val="bottom"/>
            <w:vMerge w:val="restart"/>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Audit</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Resources</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Governance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Finance</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6140" w:type="dxa"/>
            <w:vAlign w:val="bottom"/>
            <w:vMerge w:val="continue"/>
          </w:tcPr>
          <w:p>
            <w:pPr>
              <w:spacing w:after="0"/>
              <w:rPr>
                <w:sz w:val="14"/>
                <w:szCs w:val="14"/>
                <w:color w:val="auto"/>
              </w:rPr>
            </w:pPr>
          </w:p>
        </w:tc>
        <w:tc>
          <w:tcPr>
            <w:tcW w:w="12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4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4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Committee</w:t>
            </w: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Committee</w:t>
            </w:r>
          </w:p>
        </w:tc>
        <w:tc>
          <w:tcPr>
            <w:tcW w:w="0" w:type="dxa"/>
            <w:vAlign w:val="bottom"/>
          </w:tcPr>
          <w:p>
            <w:pPr>
              <w:spacing w:after="0"/>
              <w:rPr>
                <w:sz w:val="1"/>
                <w:szCs w:val="1"/>
                <w:color w:val="auto"/>
              </w:rPr>
            </w:pPr>
          </w:p>
        </w:tc>
      </w:tr>
      <w:tr>
        <w:trPr>
          <w:trHeight w:val="203"/>
        </w:trPr>
        <w:tc>
          <w:tcPr>
            <w:tcW w:w="6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Robert Bowman (1)</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Johnson</w:t>
            </w:r>
          </w:p>
        </w:tc>
        <w:tc>
          <w:tcPr>
            <w:tcW w:w="12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2"/>
              </w:rPr>
              <w:t>Chair</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B. Allen Lay</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Chair</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Nash</w:t>
            </w:r>
          </w:p>
        </w:tc>
        <w:tc>
          <w:tcPr>
            <w:tcW w:w="12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14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2"/>
              </w:rPr>
              <w:t>Chair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Harvey White</w:t>
            </w:r>
          </w:p>
        </w:tc>
        <w:tc>
          <w:tcPr>
            <w:tcW w:w="12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2"/>
              </w:rPr>
              <w:t>Chair</w:t>
            </w:r>
          </w:p>
        </w:tc>
        <w:tc>
          <w:tcPr>
            <w:tcW w:w="14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Number of Meetings in Fiscal Year 2014</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5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5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943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8" w:lineRule="exact"/>
        <w:rPr>
          <w:sz w:val="20"/>
          <w:szCs w:val="20"/>
          <w:color w:val="auto"/>
        </w:rPr>
      </w:pPr>
    </w:p>
    <w:p>
      <w:pPr>
        <w:ind w:left="340" w:right="220" w:hanging="332"/>
        <w:spacing w:after="0" w:line="26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Bowman was appointed as a director and member of the Nomination, Evaluation and Corporate Governance and Banking and Finance Committees on April 26, 2013.</w:t>
      </w:r>
    </w:p>
    <w:p>
      <w:pPr>
        <w:spacing w:after="0" w:line="132"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reviews the professional services provided by our independent registered public accounting firm,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independence of such independent registered public accounting firm from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management, and our annual and quarterly financial statements. The Audit Committee also reviews such other matters with respect to our accounting, auditing and financial reporting practices and procedures as it may find appropriate or may be brought to its attention. The Board of Directors has determined that each of the four members of our Audit Committee is an “audit committee financial expert” as defined by the rules of the SEC. The responsibilities and activities of the Audit Committee are described in greater detail in the Audit Committee Report.</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Compensation and Human Resources Committee</w:t>
      </w:r>
      <w:r>
        <w:rPr>
          <w:rFonts w:ascii="Arial" w:cs="Arial" w:eastAsia="Arial" w:hAnsi="Arial"/>
          <w:sz w:val="16"/>
          <w:szCs w:val="16"/>
          <w:color w:val="auto"/>
        </w:rPr>
        <w:t>. The Compensation and Human Resources Committee is responsible for establishing and monitoring</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governing the compensation of executive officers. In carrying out these responsibilities, the Compensation and Human Resources Committee is responsible for advising and consulting with the officers regarding managerial personnel and development, and for reviewing and, as appropriate, recommending to the Board of Directors, policies, practices and procedures relating to the compensation of directors,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Compensation and Human Resources Committee, see the Compensation Discussion and Analysis section of this proxy statement.</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Nomination, Evaluation and Corporate Governance Committee</w:t>
      </w:r>
      <w:r>
        <w:rPr>
          <w:rFonts w:ascii="Arial" w:cs="Arial" w:eastAsia="Arial" w:hAnsi="Arial"/>
          <w:sz w:val="16"/>
          <w:szCs w:val="16"/>
          <w:color w:val="auto"/>
        </w:rPr>
        <w:t>. The Nomination, Evaluation and Corporate Governance Committee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and recommendation to the Board of a set of corporate governance guidelines and principles, provides oversight of the process for the self-assessment by the Board and each of its committees, reviews and recommends nominees for election as directors and committee members, conducts the evaluation of our Chief Executive Officer, and advises the Board with respect to Board and committee composition.</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Banking and Finance Committee</w:t>
      </w:r>
      <w:r>
        <w:rPr>
          <w:rFonts w:ascii="Arial" w:cs="Arial" w:eastAsia="Arial" w:hAnsi="Arial"/>
          <w:sz w:val="18"/>
          <w:szCs w:val="18"/>
          <w:color w:val="auto"/>
        </w:rPr>
        <w:t>. The Banking and Finance Committee oversees certain aspects of corporate finance for the company, and reviews and</w:t>
      </w:r>
      <w:r>
        <w:rPr>
          <w:rFonts w:ascii="Arial" w:cs="Arial" w:eastAsia="Arial" w:hAnsi="Arial"/>
          <w:sz w:val="18"/>
          <w:szCs w:val="18"/>
          <w:i w:val="1"/>
          <w:iCs w:val="1"/>
          <w:color w:val="auto"/>
        </w:rPr>
        <w:t xml:space="preserve"> </w:t>
      </w:r>
      <w:r>
        <w:rPr>
          <w:rFonts w:ascii="Arial" w:cs="Arial" w:eastAsia="Arial" w:hAnsi="Arial"/>
          <w:sz w:val="18"/>
          <w:szCs w:val="18"/>
          <w:color w:val="auto"/>
        </w:rPr>
        <w:t>makes recommendations to the Board about the company’s financial affairs and policies, including short and long-term financing plans, objectives and principles, borrowings or the issuance of debt and equity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Nomination, Evaluation and Corporate Governance Committee is responsible for reviewing and assessing the appropriate skills and characteristics required of Board members in the context of the current size and membership of the Board. This assessment includes a consideration of personal and professional integrity, experience in corporate management, experience in our industry, experience as a board member of other publicly-held companies, diversity of expertise and experience, practical and mature business judgment, and with respect to current directors, performance on the ViaSat Board. These factors, and any other qualifications considered useful by the Nomination, Evaluation and Corporate Governance Committee, are reviewed in the context of an assessment of the perceived needs of the Board at a particular point in time. As a result, the priorities and emphasis of the Nomination, Evaluation and Corporate Governance Committee with regard to these factors may change from time to time to take into account changes in our business and other trends, as well as the portfolio of skills and experience of current and prospective Board members.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recommending candidates for election to the Board of Directors, the Nomination, Evaluation and Corporate Governance Committee considers nominees recommended by directors, management and stockholders using the same criteria to evaluate all candidates. The Nomination, Evaluation and Corporate Governance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Nomination, Evaluation and Corporate Governance Committee would recommend the candidate for consideration by the full Board of Directors. The Nomination, Evaluation and Corporate Governance Committee may engage consultants or third party search firms to assist in identifying and evaluating potential nominees.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The Nomination, Evaluation and Corporate Governance Committee will consider candidates recommended by any stockholder who has held our common stock for at least one year and who holds a minimum of 1% of our 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 behalf the nomination is proposed, (2) a detailed resumé of the nominee, and the signed consent of the nominee to serve if elected, (3) the stockholder’s reason for making the nomination, including an explanation of why the stockholder believes the nominee is qualified for service on our Board, (4) proof of the number of shares of our common 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 nomination is proposed, and (7) information regarding the nominee that would be required to be included in our proxy statement by the rules of the SEC, including the nominee’s age, business experience, directorships, and involvement in legal proceedings during the past ten years.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wishing to communicate with any of our directors regarding corporate matters may write to the director, c/o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(subject to the remaining directors concurring with such opinion).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authorized number of directors is presently seven. In accordance with our certificate of incorporation, we divide our Board of Directors into three classes, with Class I and Class III consisting of two members, and Class II consisting of three members. We elect one class of directors to serve a three-year term at each annual meeting of stockholders. At this year’s annual meeting of stockholders, we will elect two Class III Directors to hold office until the 2017 annual meeting. At next year’s annual meeting of stockholders, we will elect two Class I directors to hold office until the 2018 annual meeting, and the following year, we will elect three Class II Directors to hold office until the 2019 annual meeting. Thereafter, elections will continue in a similar manner at subsequent annual meetings. Each elected director will continue to serve until his successor is duly elected or appointed.</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Board of Directors unanimously nominated Mark Dankberg and Harvey White as Class III nominees for election to the Board. Unless proxy cards are otherwise marked, the persons named as proxies will vote all proxies received “</w:t>
      </w:r>
      <w:r>
        <w:rPr>
          <w:rFonts w:ascii="Arial" w:cs="Arial" w:eastAsia="Arial" w:hAnsi="Arial"/>
          <w:sz w:val="16"/>
          <w:szCs w:val="16"/>
          <w:b w:val="1"/>
          <w:bCs w:val="1"/>
          <w:color w:val="auto"/>
        </w:rPr>
        <w:t>FOR</w:t>
      </w:r>
      <w:r>
        <w:rPr>
          <w:rFonts w:ascii="Arial" w:cs="Arial" w:eastAsia="Arial" w:hAnsi="Arial"/>
          <w:sz w:val="16"/>
          <w:szCs w:val="16"/>
          <w:color w:val="auto"/>
        </w:rPr>
        <w:t>” the election of Mr. Dankberg and Mr. White.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table sets forth for each nominee to be elected at the annual meeting and for each director whose term of office will extend beyond the annual meeting, the age of each nominee or director, the positions currently held by each nominee or director with ViaSat, the year in which each nominee’s or director’s current term will expire, and the class of director of each nominee or director.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760" w:type="dxa"/>
            <w:vAlign w:val="bottom"/>
          </w:tcPr>
          <w:p>
            <w:pPr>
              <w:spacing w:after="0"/>
              <w:rPr>
                <w:sz w:val="15"/>
                <w:szCs w:val="15"/>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5"/>
                <w:szCs w:val="15"/>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Position with ViaSat</w:t>
            </w:r>
          </w:p>
        </w:tc>
        <w:tc>
          <w:tcPr>
            <w:tcW w:w="234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Term Expires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0"/>
              </w:rPr>
              <w:t>Class</w:t>
            </w:r>
          </w:p>
        </w:tc>
      </w:tr>
      <w:tr>
        <w:trPr>
          <w:trHeight w:val="203"/>
        </w:trPr>
        <w:tc>
          <w:tcPr>
            <w:tcW w:w="5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w:t>
            </w:r>
          </w:p>
        </w:tc>
        <w:tc>
          <w:tcPr>
            <w:tcW w:w="340" w:type="dxa"/>
            <w:vAlign w:val="bottom"/>
            <w:tcBorders>
              <w:top w:val="single" w:sz="8" w:color="CCEEFF"/>
            </w:tcBorders>
            <w:shd w:val="clear" w:color="auto" w:fill="CCEEFF"/>
          </w:tcPr>
          <w:p>
            <w:pPr>
              <w:spacing w:after="0"/>
              <w:rPr>
                <w:sz w:val="17"/>
                <w:szCs w:val="17"/>
                <w:color w:val="auto"/>
              </w:rPr>
            </w:pPr>
          </w:p>
        </w:tc>
        <w:tc>
          <w:tcPr>
            <w:tcW w:w="3900" w:type="dxa"/>
            <w:vAlign w:val="bottom"/>
            <w:tcBorders>
              <w:top w:val="single" w:sz="8" w:color="CCEEFF"/>
            </w:tcBorders>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Chairman and Chief Executive Officer</w:t>
            </w: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2014</w:t>
            </w:r>
          </w:p>
        </w:tc>
        <w:tc>
          <w:tcPr>
            <w:tcW w:w="5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III</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Robert Bowman</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5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Johnson</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w:t>
            </w:r>
          </w:p>
        </w:tc>
        <w:tc>
          <w:tcPr>
            <w:tcW w:w="3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B. Allen Lay</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79</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5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Nash</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3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5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Harvey White</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3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with Terms Expiring at this Annual Meeting</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Mark Dankberg </w:t>
      </w:r>
      <w:r>
        <w:rPr>
          <w:rFonts w:ascii="Arial" w:cs="Arial" w:eastAsia="Arial" w:hAnsi="Arial"/>
          <w:sz w:val="16"/>
          <w:szCs w:val="16"/>
          <w:color w:val="auto"/>
        </w:rPr>
        <w:t>is a founder of ViaSat and has served as Chairman of the Board and Chief Executive Officer of ViaSat since its inception in May 1986.</w:t>
      </w:r>
      <w:r>
        <w:rPr>
          <w:rFonts w:ascii="Arial" w:cs="Arial" w:eastAsia="Arial" w:hAnsi="Arial"/>
          <w:sz w:val="16"/>
          <w:szCs w:val="16"/>
          <w:i w:val="1"/>
          <w:iCs w:val="1"/>
          <w:color w:val="auto"/>
        </w:rPr>
        <w:t xml:space="preserve"> </w:t>
      </w:r>
      <w:r>
        <w:rPr>
          <w:rFonts w:ascii="Arial" w:cs="Arial" w:eastAsia="Arial" w:hAnsi="Arial"/>
          <w:sz w:val="16"/>
          <w:szCs w:val="16"/>
          <w:color w:val="auto"/>
        </w:rPr>
        <w:t>Mr. Dankberg provides our Board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serves as a director of TrellisWare Technologies, Inc., a majority-owned subsidiary of ViaSat that develops advanced signal processing technologies for communication applications, and was a director of REMEC, Inc. In addition, Mr. Dankberg serves on the board of Minnetronix, Inc., a privately-held medical device and design company, and was elected to the Rice University Board of Trustees in 2013.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 xml:space="preserve">Harvey White </w:t>
      </w:r>
      <w:r>
        <w:rPr>
          <w:rFonts w:ascii="Arial" w:cs="Arial" w:eastAsia="Arial" w:hAnsi="Arial"/>
          <w:sz w:val="16"/>
          <w:szCs w:val="16"/>
          <w:color w:val="auto"/>
        </w:rPr>
        <w:t>has been a director of ViaSat since May 2005. Mr. White provides our Board with significant operational, management and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expertise as an executive of large complex organizations in various industries, including wireless communications. Since June 2004, Mr. White has served as Chairman of (SHW)2 Enterprises, a business development and consulting firm. From September 1998 through June 2004, Mr. White served as Chairman and Chief Executive Officer of Leap Wireless International, Inc. Leap Wireless filed a voluntary petition for relief under Chapter 11 of the U.S. Bankruptcy Code in April 2003, and completed its financial restructuring and emerged from bankruptcy in August 2004. Prior to Leap Wireless, Mr. White was a co-founder of QUALCOMM Incorporated (Nasdaq: QCOM) where he held various positions including director, President and Chief Operating Officer. Mr. White also has significant expertise and perspective as a member of the boards of directors of private and public companies in various industries. Mr. White formerly served on the board of directors of Applied Micro Circuits Corporation (Nasdaq: AMCC) and Motive, Inc. Mr. White attended West Virginia Wesleyan College and Marshall University where he earned a B.A. degree in Economics.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with Terms Expiring in 2015</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Dr. Robert Johnson </w:t>
      </w:r>
      <w:r>
        <w:rPr>
          <w:rFonts w:ascii="Arial" w:cs="Arial" w:eastAsia="Arial" w:hAnsi="Arial"/>
          <w:sz w:val="16"/>
          <w:szCs w:val="16"/>
          <w:color w:val="auto"/>
        </w:rPr>
        <w:t>has been a director of ViaSat since 1986. Dr. Johnson brings significant business and corporate finance expertise to our Board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his role as an investor in companies in various industries. Dr. Johnson has worked in the venture capital industry since 1980, and has acted as an independent investor and served on the board of directors of a number of entrepreneurial companies since 1983. Dr. Johnson earned B.S. and M.S. degrees in Electrical Engineering from Stanford University and M.B.A. and D.B.A. degrees from the Harvard Business School.</w:t>
      </w:r>
    </w:p>
    <w:p>
      <w:pPr>
        <w:spacing w:after="0" w:line="113"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i w:val="1"/>
          <w:iCs w:val="1"/>
          <w:color w:val="auto"/>
        </w:rPr>
        <w:t xml:space="preserve">John Stenbit </w:t>
      </w:r>
      <w:r>
        <w:rPr>
          <w:rFonts w:ascii="Arial" w:cs="Arial" w:eastAsia="Arial" w:hAnsi="Arial"/>
          <w:sz w:val="16"/>
          <w:szCs w:val="16"/>
          <w:color w:val="auto"/>
        </w:rPr>
        <w:t>has been a director of ViaSat since August 2004, and is a consultant for various government and commercial clients. Mr. Stenbit provides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with significant technological, defense and national security expertise as a result of his distinguished career of government service focused on the communications, aerospace and satellite fields. From 2001 to his retirement in March 2004, Mr. Stenbit served as the Assistant Secretary of Defense for Command, Control, Communications, and Intelligence (C3I) and later as Assistant Secretary of Defense of Networks and Information Integration / Department of Defense Chief Information Officer, the C3I successor organization. From 1977 to 2001, Mr. Stenbit worked for TRW, retiring as Executive Vice President.</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Mr. Stenbit was a Fulbright Fellow and Aerospace Corporation Fellow at the Technische Hogeschool, Einhoven, Netherlands. Mr. Stenbit has chaired the Science Advisory Panel to the Director of the Central Intelligence Agency and for the Administrator of the Federal Aviation Administration. He also has significant expertise and perspective as a member of the boards of directors of private and public companies in various industries. Mr. Stenbit currently serves on the board of directors of Loral Space &amp; Communications Inc. (Nasdaq: LORL) and Defense Group Inc., a private corporation. He also serves on the board of trustees of The Mitre Corp., a not-for-profit corporation, and as a member of the Advisory Boards of the National Security Agency, the Missile Defense Agency and the Science Advisory Group of the U.S. Strategic Command. Mr. Stenbit previously served as a director of Cogent, Inc., SM&amp;A Corporation and SI International, Inc.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with Terms Expiring in 2016</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Robert Bowman </w:t>
      </w:r>
      <w:r>
        <w:rPr>
          <w:rFonts w:ascii="Arial" w:cs="Arial" w:eastAsia="Arial" w:hAnsi="Arial"/>
          <w:sz w:val="16"/>
          <w:szCs w:val="16"/>
          <w:color w:val="auto"/>
        </w:rPr>
        <w:t>has served as a director of ViaSat since April 2013. Mr. Bowman provides valuable insights to our Board as a result of his experience as a</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various media companies, his knowledge of digital media, and his extensive financial experience in both the public and private sectors. Mr. Bowman serves as President and Chief Executive Officer of Major League Baseball Advanced Media, L.P., which manages the interactive and internet rights for Major League Baseball, a position he has held since its inception in 2000. Prior to joining MLB Advanced Media, he was President and Chief Operations Officer of ITT Corporation from 1995 to 2000, where he previously served as Chief Financial Officer from 1991 to 1995. Mr. Bowman served as Treasurer of the State of Michigan from 1983 to 1990, overseeing its tax policy and collection and the state’s pension fund. He currently serves as President of the Michigan Education Trust and as a member of the board of directors of Take-Two Interactive Software, Inc. and Vince Holding Corp. Mr. Bowman also formerly served on the board of directors of Blockbuster Inc., The Warnaco Group, Inc. and World Wrestling Entertainment, Inc.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B. Allen Lay </w:t>
      </w:r>
      <w:r>
        <w:rPr>
          <w:rFonts w:ascii="Arial" w:cs="Arial" w:eastAsia="Arial" w:hAnsi="Arial"/>
          <w:sz w:val="16"/>
          <w:szCs w:val="16"/>
          <w:color w:val="auto"/>
        </w:rPr>
        <w:t>has been a director of ViaSat since 1996. Mr. Lay brings significant business and financial expertise to our Board due to his background as 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 in companies in various fields. From 1983 to 2001, he was a General Partner of Southern California Ventures, a venture capital company. From 2001 to the present, he has acted as a consultant to the venture capital industry. Mr. Lay also has significant expertise and perspective as a member of the boards of directors of companies in various industries, including software and hardware. Mr. Lay formerly served as the President and Chief Operating Officer of CADO Systems, and Chief Executive Officer of Meridian Data Inc. and Westbrae Natural Inc. He has served on a number of boards of directors of companies both private and public, and currently serves on the board of directors of Carley Lamps, LLC and NPI, LLC.</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Dr. Jeffrey Nash </w:t>
      </w:r>
      <w:r>
        <w:rPr>
          <w:rFonts w:ascii="Arial" w:cs="Arial" w:eastAsia="Arial" w:hAnsi="Arial"/>
          <w:sz w:val="16"/>
          <w:szCs w:val="16"/>
          <w:color w:val="auto"/>
        </w:rPr>
        <w:t>has been a director of ViaSat since 1987. Dr. Nash provides our Board with significant operational and financial expertise due to his</w:t>
      </w:r>
      <w:r>
        <w:rPr>
          <w:rFonts w:ascii="Arial" w:cs="Arial" w:eastAsia="Arial" w:hAnsi="Arial"/>
          <w:sz w:val="16"/>
          <w:szCs w:val="16"/>
          <w:i w:val="1"/>
          <w:iCs w:val="1"/>
          <w:color w:val="auto"/>
        </w:rPr>
        <w:t xml:space="preserve"> </w:t>
      </w:r>
      <w:r>
        <w:rPr>
          <w:rFonts w:ascii="Arial" w:cs="Arial" w:eastAsia="Arial" w:hAnsi="Arial"/>
          <w:sz w:val="16"/>
          <w:szCs w:val="16"/>
          <w:color w:val="auto"/>
        </w:rPr>
        <w:t>background as an executive of, investor in, and consultant to technology companies in various fields, including communications, aerospace and defense. From 2003 to 2009, Dr. Nash was President and Chairman of Inclined Plane Inc., a privately-held consulting and intellectual property development company serving the defense, communications and media industries. Dr. Nash also brings significant expertise and perspective through his service as a member of the boards of directors of private and public companies in various industries, including defense. Dr. Nash previously served as a director of REMEC, Inc., a former manufacturer of microwave products for defense, commercial communications and related applications, and Pepperball Technologies, Inc., a former manufacturer of non-lethal personal defense equipment for law enforcement, security and personal defense applications.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Mr. Dankberg and Mr. White.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Audit Committee has selected PricewaterhouseCoopers LLP as ViaSat’s independent registered public accounting firm for our fiscal year ending April 3, 2015.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fees billed by PricewaterhouseCoopers for professional services rendered for the fiscal years ended April 4, 2014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29, 2013:</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FY</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FY</w:t>
            </w: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 Category</w:t>
            </w: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2014 Fees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2013 Fees</w:t>
            </w:r>
          </w:p>
        </w:tc>
        <w:tc>
          <w:tcPr>
            <w:tcW w:w="0" w:type="dxa"/>
            <w:vAlign w:val="bottom"/>
          </w:tcPr>
          <w:p>
            <w:pPr>
              <w:spacing w:after="0"/>
              <w:rPr>
                <w:sz w:val="1"/>
                <w:szCs w:val="1"/>
                <w:color w:val="auto"/>
              </w:rPr>
            </w:pPr>
          </w:p>
        </w:tc>
      </w:tr>
      <w:tr>
        <w:trPr>
          <w:trHeight w:val="168"/>
        </w:trPr>
        <w:tc>
          <w:tcPr>
            <w:tcW w:w="8480" w:type="dxa"/>
            <w:vAlign w:val="bottom"/>
            <w:gridSpan w:val="3"/>
            <w:vMerge w:val="continue"/>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Audit Fees</w:t>
            </w:r>
          </w:p>
        </w:tc>
        <w:tc>
          <w:tcPr>
            <w:tcW w:w="7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1,979,025</w:t>
            </w: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1,971,494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81,340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67,600</w:t>
            </w:r>
          </w:p>
        </w:tc>
        <w:tc>
          <w:tcPr>
            <w:tcW w:w="760" w:type="dxa"/>
            <w:vAlign w:val="bottom"/>
          </w:tcPr>
          <w:p>
            <w:pPr>
              <w:jc w:val="right"/>
              <w:spacing w:after="0"/>
              <w:rPr>
                <w:sz w:val="20"/>
                <w:szCs w:val="20"/>
                <w:color w:val="auto"/>
              </w:rPr>
            </w:pPr>
            <w:r>
              <w:rPr>
                <w:rFonts w:ascii="Arial" w:cs="Arial" w:eastAsia="Arial" w:hAnsi="Arial"/>
                <w:sz w:val="18"/>
                <w:szCs w:val="18"/>
                <w:color w:val="auto"/>
              </w:rPr>
              <w:t>110,435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2,217,965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2,258,228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This category includes the audit of our annual consolidated financial statements and the audit of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financial statements included in our Form 10-Q quarterly reports, and services that are normally provided by the independent registered public accounting firm in connection with statutory and regulatory filings or engagements.</w:t>
      </w:r>
    </w:p>
    <w:p>
      <w:pPr>
        <w:spacing w:after="0" w:line="14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This category consists of assurance and related services provided by PricewaterhouseCoopers that are reasonably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audit or review of our consolidated financial statements, and are not reported above as Audit Fees. These services include accounting consultations in connection with acquisitions, and consultations concerning financial accounting and reporting standards.</w:t>
      </w:r>
    </w:p>
    <w:p>
      <w:pPr>
        <w:spacing w:after="0" w:line="10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This category consists of professional services rendered by PricewaterhouseCoopers, primarily in connection with tax compliance, tax</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and tax advice activities. These services include assistance with the preparation of tax returns, claims for refunds, value added tax compliance, and consultations on state, local and international tax matters.</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This category consists of fees for products and services other than the services reported above, including fees for subscription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PricewaterhouseCoopers’ on-line research tool.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the Audit Committee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year 2014, the fees paid to PricewaterhouseCoopers shown in the table above were pre-approved in accordance with this policy.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 xml:space="preserve">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PricewaterhouseCoopers as ViaSat’s independent registered public accounting firm.</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are providing ViaSat stockholders with an opportunity to cast an advisory vote to endorse or not endorse the compensation of our Named Executive Officers (defined below) as disclosed in this proxy statement in accordance with the SEC’s compensation disclosure rules.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At our last annual meeting of stockholders held in September 2013, an overwhelming majority of the votes cast on the say-on-pay proposal were voted in favor of the proposal. We were gratified that, at our last annual meeting, approximately 91% of the votes cast by our stockholders supported our executive compensation program. Our Board of Directors believes this affirms stockholders’ support of ViaSat’s approach to executive compensation.</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Consistent with ViaSat’s compensation philosophy described more fully in the Compensation Discussion and Analysis section of this proxy statement, our executive compensation program has been designed to encourage high performance, promote accountability and align the interests of our executives with the interests of our stockholders by linking a substantial portion of compensation to the company’s performance. The program is designed to reward superior performance and provide financial consequences for underperformance. The program is also designed to attract, retain and motivate a talented team of executives with superior ability, experience and leadership to grow the company’s business and build stockholder value. We urge stockholders to read the Compensation Discussion and Analysis section of this proxy statement, which describes in more detail how our compensation policies and procedures operate and are designed to achieve our compensation objectives, as well as the Summary Compensation Table and other related compensation tables and disclosure,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request stockholder approval, on an advisory basis, of the compensation of ViaSat’s Named Executive Officers, as disclosed in ViaSat’s proxy statement for the 2014 annual meeting of stockholders pursuant to the compensation disclosure rules of the SEC, including the Compensation Discussion and Analysis, the Summary Compensation Table and the other related compensation tables and disclosure.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While this advisory vote is non-binding, our Board of Directors values the opinions that our stockholders express in their votes and will, as a matter of good corporate practice, take into account the outcome of the vote when considering future compensation decisions.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Consistent with the preference of our stockholders as reflected in our prior non-binding advisory vote on the frequency of future say-on-pay votes, this say-on-pay advisory vote will be presented on an annual basis unless otherwise disclosed. Following this year’s advisory vote, the next scheduled say-on-pay advisory vote will take place at our 2015 annual meeting of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 xml:space="preserve">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compensation of the Named Executive Officers as disclosed in this proxy statement.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OWNERSHIP OF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Table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information known to us regarding the ownership of ViaSat common stock as of July 1, 2014 by (1) each director, (2) each of the Named Executive Officers identified in the Summary Compensation Table, (3) all directors and executive officers of ViaSat as a group, and (4) all other stockholders known by us to be beneficial owners of more than 5% of ViaSat common stock.</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Beneficial Owner (1)</w:t>
            </w:r>
          </w:p>
        </w:tc>
        <w:tc>
          <w:tcPr>
            <w:tcW w:w="4440" w:type="dxa"/>
            <w:vAlign w:val="bottom"/>
            <w:vMerge w:val="restart"/>
          </w:tcPr>
          <w:p>
            <w:pPr>
              <w:spacing w:after="0"/>
              <w:rPr>
                <w:sz w:val="14"/>
                <w:szCs w:val="14"/>
                <w:color w:val="auto"/>
              </w:rPr>
            </w:pPr>
          </w:p>
        </w:tc>
        <w:tc>
          <w:tcPr>
            <w:tcW w:w="3040" w:type="dxa"/>
            <w:vAlign w:val="bottom"/>
            <w:gridSpan w:val="2"/>
          </w:tcPr>
          <w:p>
            <w:pPr>
              <w:jc w:val="right"/>
              <w:ind w:right="1660"/>
              <w:spacing w:after="0"/>
              <w:rPr>
                <w:sz w:val="20"/>
                <w:szCs w:val="20"/>
                <w:color w:val="auto"/>
              </w:rPr>
            </w:pPr>
            <w:r>
              <w:rPr>
                <w:rFonts w:ascii="Arial" w:cs="Arial" w:eastAsia="Arial" w:hAnsi="Arial"/>
                <w:sz w:val="14"/>
                <w:szCs w:val="14"/>
                <w:b w:val="1"/>
                <w:bCs w:val="1"/>
                <w:color w:val="auto"/>
                <w:w w:val="92"/>
              </w:rPr>
              <w:t>Amount and Nature of</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Percent Beneficial</w:t>
            </w:r>
          </w:p>
        </w:tc>
        <w:tc>
          <w:tcPr>
            <w:tcW w:w="0" w:type="dxa"/>
            <w:vAlign w:val="bottom"/>
          </w:tcPr>
          <w:p>
            <w:pPr>
              <w:spacing w:after="0"/>
              <w:rPr>
                <w:sz w:val="1"/>
                <w:szCs w:val="1"/>
                <w:color w:val="auto"/>
              </w:rPr>
            </w:pPr>
          </w:p>
        </w:tc>
      </w:tr>
      <w:tr>
        <w:trPr>
          <w:trHeight w:val="168"/>
        </w:trPr>
        <w:tc>
          <w:tcPr>
            <w:tcW w:w="184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3040" w:type="dxa"/>
            <w:vAlign w:val="bottom"/>
            <w:gridSpan w:val="2"/>
          </w:tcPr>
          <w:p>
            <w:pPr>
              <w:jc w:val="right"/>
              <w:ind w:right="1600"/>
              <w:spacing w:after="0" w:line="148" w:lineRule="exact"/>
              <w:rPr>
                <w:sz w:val="20"/>
                <w:szCs w:val="20"/>
                <w:color w:val="auto"/>
              </w:rPr>
            </w:pPr>
            <w:r>
              <w:rPr>
                <w:rFonts w:ascii="Arial" w:cs="Arial" w:eastAsia="Arial" w:hAnsi="Arial"/>
                <w:sz w:val="14"/>
                <w:szCs w:val="14"/>
                <w:b w:val="1"/>
                <w:bCs w:val="1"/>
                <w:color w:val="auto"/>
                <w:w w:val="86"/>
              </w:rPr>
              <w:t>Beneficial Ownership (2)</w:t>
            </w:r>
          </w:p>
        </w:tc>
        <w:tc>
          <w:tcPr>
            <w:tcW w:w="11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7"/>
              </w:rPr>
              <w:t>Ownership (%) (3)</w:t>
            </w:r>
          </w:p>
        </w:tc>
        <w:tc>
          <w:tcPr>
            <w:tcW w:w="0" w:type="dxa"/>
            <w:vAlign w:val="bottom"/>
          </w:tcPr>
          <w:p>
            <w:pPr>
              <w:spacing w:after="0"/>
              <w:rPr>
                <w:sz w:val="1"/>
                <w:szCs w:val="1"/>
                <w:color w:val="auto"/>
              </w:rPr>
            </w:pPr>
          </w:p>
        </w:tc>
      </w:tr>
      <w:tr>
        <w:trPr>
          <w:trHeight w:val="190"/>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Officers:</w:t>
            </w:r>
          </w:p>
        </w:tc>
        <w:tc>
          <w:tcPr>
            <w:tcW w:w="146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Mark Dankberg</w:t>
            </w:r>
          </w:p>
        </w:tc>
        <w:tc>
          <w:tcPr>
            <w:tcW w:w="3040" w:type="dxa"/>
            <w:vAlign w:val="bottom"/>
            <w:gridSpan w:val="2"/>
          </w:tcPr>
          <w:p>
            <w:pPr>
              <w:jc w:val="right"/>
              <w:ind w:right="1380"/>
              <w:spacing w:after="0"/>
              <w:rPr>
                <w:sz w:val="20"/>
                <w:szCs w:val="20"/>
                <w:color w:val="auto"/>
              </w:rPr>
            </w:pPr>
            <w:r>
              <w:rPr>
                <w:rFonts w:ascii="Arial" w:cs="Arial" w:eastAsia="Arial" w:hAnsi="Arial"/>
                <w:sz w:val="18"/>
                <w:szCs w:val="18"/>
                <w:color w:val="auto"/>
              </w:rPr>
              <w:t>1,955,441(4)</w:t>
            </w: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Johnson</w:t>
            </w:r>
          </w:p>
        </w:tc>
        <w:tc>
          <w:tcPr>
            <w:tcW w:w="304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678,896(5)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B. Allen Lay</w:t>
            </w:r>
          </w:p>
        </w:tc>
        <w:tc>
          <w:tcPr>
            <w:tcW w:w="3040" w:type="dxa"/>
            <w:vAlign w:val="bottom"/>
            <w:gridSpan w:val="2"/>
          </w:tcPr>
          <w:p>
            <w:pPr>
              <w:jc w:val="right"/>
              <w:ind w:right="1380"/>
              <w:spacing w:after="0"/>
              <w:rPr>
                <w:sz w:val="20"/>
                <w:szCs w:val="20"/>
                <w:color w:val="auto"/>
              </w:rPr>
            </w:pPr>
            <w:r>
              <w:rPr>
                <w:rFonts w:ascii="Arial" w:cs="Arial" w:eastAsia="Arial" w:hAnsi="Arial"/>
                <w:sz w:val="18"/>
                <w:szCs w:val="18"/>
                <w:color w:val="auto"/>
              </w:rPr>
              <w:t>385,613(6)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Nash</w:t>
            </w:r>
          </w:p>
        </w:tc>
        <w:tc>
          <w:tcPr>
            <w:tcW w:w="304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373,165(7)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3040" w:type="dxa"/>
            <w:vAlign w:val="bottom"/>
            <w:gridSpan w:val="2"/>
          </w:tcPr>
          <w:p>
            <w:pPr>
              <w:jc w:val="right"/>
              <w:ind w:right="1380"/>
              <w:spacing w:after="0"/>
              <w:rPr>
                <w:sz w:val="20"/>
                <w:szCs w:val="20"/>
                <w:color w:val="auto"/>
              </w:rPr>
            </w:pPr>
            <w:r>
              <w:rPr>
                <w:rFonts w:ascii="Arial" w:cs="Arial" w:eastAsia="Arial" w:hAnsi="Arial"/>
                <w:sz w:val="18"/>
                <w:szCs w:val="18"/>
                <w:color w:val="auto"/>
              </w:rPr>
              <w:t>332,201(8)</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Harvey White</w:t>
            </w:r>
          </w:p>
        </w:tc>
        <w:tc>
          <w:tcPr>
            <w:tcW w:w="304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73,700(9)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3040" w:type="dxa"/>
            <w:vAlign w:val="bottom"/>
            <w:gridSpan w:val="2"/>
          </w:tcPr>
          <w:p>
            <w:pPr>
              <w:jc w:val="right"/>
              <w:ind w:right="1300"/>
              <w:spacing w:after="0"/>
              <w:rPr>
                <w:sz w:val="20"/>
                <w:szCs w:val="20"/>
                <w:color w:val="auto"/>
              </w:rPr>
            </w:pPr>
            <w:r>
              <w:rPr>
                <w:rFonts w:ascii="Arial" w:cs="Arial" w:eastAsia="Arial" w:hAnsi="Arial"/>
                <w:sz w:val="18"/>
                <w:szCs w:val="18"/>
                <w:color w:val="auto"/>
              </w:rPr>
              <w:t>45,300(10)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30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31,803(11)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Bruce Dirks</w:t>
            </w:r>
          </w:p>
        </w:tc>
        <w:tc>
          <w:tcPr>
            <w:tcW w:w="3040" w:type="dxa"/>
            <w:vAlign w:val="bottom"/>
            <w:gridSpan w:val="2"/>
          </w:tcPr>
          <w:p>
            <w:pPr>
              <w:jc w:val="right"/>
              <w:ind w:right="1300"/>
              <w:spacing w:after="0"/>
              <w:rPr>
                <w:sz w:val="20"/>
                <w:szCs w:val="20"/>
                <w:color w:val="auto"/>
              </w:rPr>
            </w:pPr>
            <w:r>
              <w:rPr>
                <w:rFonts w:ascii="Arial" w:cs="Arial" w:eastAsia="Arial" w:hAnsi="Arial"/>
                <w:sz w:val="18"/>
                <w:szCs w:val="18"/>
                <w:color w:val="auto"/>
              </w:rPr>
              <w:t>14,858(12)</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3040" w:type="dxa"/>
            <w:vAlign w:val="bottom"/>
            <w:gridSpan w:val="2"/>
          </w:tcPr>
          <w:p>
            <w:pPr>
              <w:jc w:val="right"/>
              <w:ind w:right="1300"/>
              <w:spacing w:after="0"/>
              <w:rPr>
                <w:sz w:val="20"/>
                <w:szCs w:val="20"/>
                <w:color w:val="auto"/>
              </w:rPr>
            </w:pPr>
            <w:r>
              <w:rPr>
                <w:rFonts w:ascii="Arial" w:cs="Arial" w:eastAsia="Arial" w:hAnsi="Arial"/>
                <w:sz w:val="18"/>
                <w:szCs w:val="18"/>
                <w:color w:val="auto"/>
              </w:rPr>
              <w:t>5,704(13)</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Bowman</w:t>
            </w:r>
          </w:p>
        </w:tc>
        <w:tc>
          <w:tcPr>
            <w:tcW w:w="30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4,000(14)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(17 persons)</w:t>
            </w:r>
          </w:p>
        </w:tc>
        <w:tc>
          <w:tcPr>
            <w:tcW w:w="1460" w:type="dxa"/>
            <w:vAlign w:val="bottom"/>
          </w:tcPr>
          <w:p>
            <w:pPr>
              <w:jc w:val="right"/>
              <w:spacing w:after="0"/>
              <w:rPr>
                <w:sz w:val="20"/>
                <w:szCs w:val="20"/>
                <w:color w:val="auto"/>
              </w:rPr>
            </w:pPr>
            <w:r>
              <w:rPr>
                <w:rFonts w:ascii="Arial" w:cs="Arial" w:eastAsia="Arial" w:hAnsi="Arial"/>
                <w:sz w:val="18"/>
                <w:szCs w:val="18"/>
                <w:color w:val="auto"/>
              </w:rPr>
              <w:t>4,886,085</w:t>
            </w:r>
          </w:p>
        </w:tc>
        <w:tc>
          <w:tcPr>
            <w:tcW w:w="1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5% Stockholders:</w:t>
            </w:r>
          </w:p>
        </w:tc>
        <w:tc>
          <w:tcPr>
            <w:tcW w:w="1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The Baupost Group, L.L.C.</w:t>
            </w:r>
          </w:p>
        </w:tc>
        <w:tc>
          <w:tcPr>
            <w:tcW w:w="3040" w:type="dxa"/>
            <w:vAlign w:val="bottom"/>
            <w:gridSpan w:val="2"/>
          </w:tcPr>
          <w:p>
            <w:pPr>
              <w:jc w:val="right"/>
              <w:ind w:right="1300"/>
              <w:spacing w:after="0"/>
              <w:rPr>
                <w:sz w:val="20"/>
                <w:szCs w:val="20"/>
                <w:color w:val="auto"/>
              </w:rPr>
            </w:pPr>
            <w:r>
              <w:rPr>
                <w:rFonts w:ascii="Arial" w:cs="Arial" w:eastAsia="Arial" w:hAnsi="Arial"/>
                <w:sz w:val="18"/>
                <w:szCs w:val="18"/>
                <w:color w:val="auto"/>
              </w:rPr>
              <w:t>11,129,200(15)</w:t>
            </w: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FPR Partners, LLC</w:t>
            </w:r>
          </w:p>
        </w:tc>
        <w:tc>
          <w:tcPr>
            <w:tcW w:w="30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4,814,005(16)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3040" w:type="dxa"/>
            <w:vAlign w:val="bottom"/>
            <w:gridSpan w:val="2"/>
          </w:tcPr>
          <w:p>
            <w:pPr>
              <w:jc w:val="right"/>
              <w:ind w:right="1300"/>
              <w:spacing w:after="0"/>
              <w:rPr>
                <w:sz w:val="20"/>
                <w:szCs w:val="20"/>
                <w:color w:val="auto"/>
              </w:rPr>
            </w:pPr>
            <w:r>
              <w:rPr>
                <w:rFonts w:ascii="Arial" w:cs="Arial" w:eastAsia="Arial" w:hAnsi="Arial"/>
                <w:sz w:val="18"/>
                <w:szCs w:val="18"/>
                <w:color w:val="auto"/>
              </w:rPr>
              <w:t>3,699,691(17)</w:t>
            </w: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30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2,669,622(18)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FMR LLC</w:t>
            </w:r>
          </w:p>
        </w:tc>
        <w:tc>
          <w:tcPr>
            <w:tcW w:w="3040" w:type="dxa"/>
            <w:vAlign w:val="bottom"/>
            <w:gridSpan w:val="2"/>
          </w:tcPr>
          <w:p>
            <w:pPr>
              <w:jc w:val="right"/>
              <w:ind w:right="1300"/>
              <w:spacing w:after="0"/>
              <w:rPr>
                <w:sz w:val="20"/>
                <w:szCs w:val="20"/>
                <w:color w:val="auto"/>
              </w:rPr>
            </w:pPr>
            <w:r>
              <w:rPr>
                <w:rFonts w:ascii="Arial" w:cs="Arial" w:eastAsia="Arial" w:hAnsi="Arial"/>
                <w:sz w:val="18"/>
                <w:szCs w:val="18"/>
                <w:color w:val="auto"/>
              </w:rPr>
              <w:t>2,443,537(19)</w:t>
            </w: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276"/>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0" w:hanging="364"/>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w:t>
      </w:r>
    </w:p>
    <w:p>
      <w:pPr>
        <w:spacing w:after="0" w:line="1" w:lineRule="exact"/>
        <w:rPr>
          <w:rFonts w:ascii="Arial" w:cs="Arial" w:eastAsia="Arial" w:hAnsi="Arial"/>
          <w:sz w:val="18"/>
          <w:szCs w:val="18"/>
          <w:color w:val="auto"/>
        </w:rPr>
      </w:pPr>
    </w:p>
    <w:p>
      <w:pPr>
        <w:ind w:left="460" w:hanging="364"/>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computing the number of shares beneficially owned by a person named in the table and the percentage ownership of that person, shares of common stock that such person had the right to acquire within 60 days after July 1, 2014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July 1, 2014 and references to restricted stock units in the footnotes of the table include only restricted stock units that are scheduled to vest within 60 days after July 1, 2014.</w:t>
      </w:r>
    </w:p>
    <w:p>
      <w:pPr>
        <w:spacing w:after="0" w:line="2" w:lineRule="exact"/>
        <w:rPr>
          <w:rFonts w:ascii="Arial" w:cs="Arial" w:eastAsia="Arial" w:hAnsi="Arial"/>
          <w:sz w:val="18"/>
          <w:szCs w:val="18"/>
          <w:color w:val="auto"/>
        </w:rPr>
      </w:pPr>
    </w:p>
    <w:p>
      <w:pPr>
        <w:ind w:left="460" w:right="180" w:hanging="364"/>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each person included in the table, percentage ownership is calculated by dividing the number of shares beneficially owned by such person by the sum of (a) 46,696,258 shares of common stock outstanding on July 1, 2014 plus (b) the number of shares of common stock that such person had the right to acquire within 60 days after July 1, 2014.</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364"/>
        <w:spacing w:after="0" w:line="28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(a) 395,500 shares subject to options exercisable by Mr. Dankberg within 60 days after July 1, 2014, (b) 32,515 shares held by the Dankberg Family Foundation, (c) 1,526,095 shares held by the Dankberg Family Trust, and (d) 587,049 shares pledged as collateral in a brokerage margin account.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margin account arrangement constituted only 1.3% of the total outstanding shares of ViaSat common stock as of July 1, 2014, (iii) the maximum aggregate principal amount of advances secured by Mr. Dankberg’s pledged shares is $9.5 million, which, based on the closing price of ViaSat common stock on July 1, 2014, would be equivalent to only approximately 165,300 shares of ViaSat common stock, and (iv) Mr. Dankberg has advised us that he has the financial capacity to meet a margin call or repay any advance under his margin agreement without resort to the pledged shares.</w:t>
      </w:r>
    </w:p>
    <w:p>
      <w:pPr>
        <w:spacing w:after="0" w:line="5" w:lineRule="exact"/>
        <w:rPr>
          <w:rFonts w:ascii="Arial" w:cs="Arial" w:eastAsia="Arial" w:hAnsi="Arial"/>
          <w:sz w:val="16"/>
          <w:szCs w:val="16"/>
          <w:color w:val="auto"/>
        </w:rPr>
      </w:pPr>
    </w:p>
    <w:p>
      <w:pPr>
        <w:ind w:left="460" w:right="280" w:hanging="364"/>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50,000 shares subject to options exercisable by Dr. Johnson within 60 days after July 1, 2014, and (b) 628,896 shares held by the Robert W. Johnson Revocable Trust dated 8/13/1992.</w:t>
      </w:r>
    </w:p>
    <w:p>
      <w:pPr>
        <w:ind w:left="460" w:right="360" w:hanging="364"/>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35,000 shares subject to options exercisable by Lay Ventures L.P. within 60 days after July 1, 2014, (b) 15,000 shares subject to options exercisable by Mr. Lay within 60 days after July 1, 2014, and (c) 186,026 shares, 119,187 shares and 30,400 shares held by Lay Ventures, L.P., the Lay Living Trust and the Lay Charitable Remainder Trust, respectively.</w:t>
      </w:r>
    </w:p>
    <w:p>
      <w:pPr>
        <w:spacing w:after="0" w:line="1" w:lineRule="exact"/>
        <w:rPr>
          <w:rFonts w:ascii="Arial" w:cs="Arial" w:eastAsia="Arial" w:hAnsi="Arial"/>
          <w:sz w:val="18"/>
          <w:szCs w:val="18"/>
          <w:color w:val="auto"/>
        </w:rPr>
      </w:pPr>
    </w:p>
    <w:p>
      <w:pPr>
        <w:ind w:left="460" w:right="320" w:hanging="364"/>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30,000 shares subject to options exercisable by Dr. Nash within 60 days after July 1, 2014, and (b) 343,165 shares held by the Nash Family Trust n/d/t 3/18/1980.</w:t>
      </w:r>
    </w:p>
    <w:p>
      <w:pPr>
        <w:ind w:left="460" w:right="220" w:hanging="364"/>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216,175 shares subject to options exercisable by Mr. Baldridge within 60 days after July 1, 2014, and (b) 114,309 shares held by the Richard and Donna Baldridge Family Trust.</w:t>
      </w:r>
    </w:p>
    <w:p>
      <w:pPr>
        <w:ind w:left="460" w:right="20" w:hanging="364"/>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25,000 shares subject to options exercisable by Mr. White within 60 days after July 1, 2014, (b) 44,900 shares held by the Harvey P. and Sheryl L. White Trust, and (c) 3,800 shares held by The Sheryl &amp; Harvey White Foundation.</w:t>
      </w:r>
    </w:p>
    <w:p>
      <w:pPr>
        <w:ind w:left="460" w:right="1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35,500 shares subject to options exercisable by Mr. Stenbit within 60 days after July 1, 2014, and (b) 6,600 shares held by THE PIETJE 2012 GIFT TRUST.</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30,939 shares subject to options exercisable by Mr. Lippert within 60 days after July 1,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6,250 shares subject to options exercisable by Mr. Dirks within 60 days after July 1,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4,250 shares subject to options exercisable by Mr. Peterman within 60 days after July 1,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3,000 shares subject to options exercisable by Mr. Bowman within 60 days after July 1, 2014.</w:t>
      </w:r>
    </w:p>
    <w:p>
      <w:pPr>
        <w:spacing w:after="0" w:line="9" w:lineRule="exact"/>
        <w:rPr>
          <w:rFonts w:ascii="Arial" w:cs="Arial" w:eastAsia="Arial" w:hAnsi="Arial"/>
          <w:sz w:val="18"/>
          <w:szCs w:val="18"/>
          <w:color w:val="auto"/>
        </w:rPr>
      </w:pPr>
    </w:p>
    <w:p>
      <w:pPr>
        <w:ind w:left="460" w:right="54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 jointly filed with the SEC on February 13, 2014 by The Baupost Group, L.L.C. (Baupost), Baupost Value Partners, L.P.—IV, SAK Corporation and Seth A. Klarman. The Schedule 13G reports that each of Baupost, SAK Corporation and</w:t>
      </w:r>
    </w:p>
    <w:p>
      <w:pPr>
        <w:spacing w:after="0" w:line="1" w:lineRule="exact"/>
        <w:rPr>
          <w:rFonts w:ascii="Arial" w:cs="Arial" w:eastAsia="Arial" w:hAnsi="Arial"/>
          <w:sz w:val="16"/>
          <w:szCs w:val="16"/>
          <w:color w:val="auto"/>
        </w:rPr>
      </w:pP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Mr. Klarman has shared voting power and shared dispositive power with respect to 11,129,200 shares. Baupost Value Partners, L.P.—IV has shared voting power and shared dispositive power with respect to 3,988,587 shares. Baupost is a registered investment adviser and acts as an investment adviser to certain private investment limited partnerships, including Baupost Value Partners, L.P.—IV. SAK Corporation is the manager of Baupost. Mr. Klarman is the sole director and sole officer of SAK Corporation and a controlling person of Baupost. The address of Baupost, Baupost Value Partners, L.P.—IV, SAK Corporation and Mr. Klarman is 10 St. James Avenue, Suite 1700, Boston, Massachusetts 02116.</w:t>
      </w:r>
    </w:p>
    <w:p>
      <w:pPr>
        <w:spacing w:after="0" w:line="3"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 jointly filed with the SEC on March 7, 2014 by FPR Partners, LLC, Andrew Raab and Bob Peck. Mr. Raab and Mr. Peck are the managing directors and managing members of FPR Partners, LLC. The address of FPR Partners, LLC, Mr. Raab and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Peck is 199 Fremont Street, Suite 2500, San Francisco, California 94105.</w:t>
      </w:r>
    </w:p>
    <w:p>
      <w:pPr>
        <w:spacing w:after="0" w:line="9"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 on January 31, 2014 by BlackRock, Inc. The address of BlackRock, Inc. is 40 East 52nd Street, New York, New York 10022.</w:t>
      </w:r>
    </w:p>
    <w:p>
      <w:pPr>
        <w:ind w:left="460" w:right="1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 on February 12, 2014 by The Vanguard Group. The address of The Vanguard Group is 100 Vanguard Boulevard, Malvern, Pennsylvania 19355.</w:t>
      </w:r>
    </w:p>
    <w:p>
      <w:pPr>
        <w:ind w:left="460" w:right="62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 on February 14, 2014 by FMR LLC. The address of FMR LLC is 245 Summer Street, Boston, Massachusetts 02210.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16(a) of the Securities Exchange Act of 1934 requires our directors, executive officers and holders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10% stockholders complied with the Section 16(a) filing requirements during the fiscal year ended April 4, 2014.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Short Sale and Pledging Policies</w:t>
      </w:r>
    </w:p>
    <w:p>
      <w:pPr>
        <w:spacing w:after="0" w:line="9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ViaSat’s policies prohibit all of our directors and officers from trading in put and call options and engaging in short sales with respect to shares of ViaSat common stock. ViaSat also strongly discourages any pledges of ViaSat common stock that could have any adverse impact on the company. Our policies require all pledges of ViaSat common stock by our directors and officers, including the establishment of a margin account containing ViaSat common stock, to be pre-cleared by our General Counsel.</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Compensation Discussion and Analysis provides information regarding the compensation program in place for our executive officers, including the Named Executive Officers identified in the Summary Compensation Table, during our 2014 fiscal year. In particular, this Compensation Discussion and Analysis provides information related to each of the following aspects of our executive compensation program:</w:t>
      </w:r>
    </w:p>
    <w:p>
      <w:pPr>
        <w:spacing w:after="0" w:line="26"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overview and objectives of our executive compensation program,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explanation of our executive compensation processes and criteria,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description of the components of our compensation program,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discussion of how each component fits into our overall compensation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Objectives of Executive Compensation Program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components of our executive compensation program include:</w:t>
      </w:r>
    </w:p>
    <w:p>
      <w:pPr>
        <w:spacing w:after="0" w:line="90"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short-term or annual awards in the form of cash bonuses,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long-term equity awards,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benefits generally available to all of our employees.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executive compensation program incorporates these components because our Compensation and Human Resources Committee considers a blend of these components to be necessary and effective in order to provide a competitive total compensation package to our executive officers while meeting the principal objectives of our executive compensation program. In addition, the Compensation and Human Resources Committee believes that our use of base salary, annual cash bonuses and long-term equity awards as the primary components of our executive compensation program is consistent with the executive compensation programs employed by technology companies of similar size and stage of growth.</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overall compensation objectives are premised on the following three fundamental principles, each of which is discussed below: (1) a significant portion of executive compensation should be performance-based, linking the achievement of company financial objectives and individual objectives; (2) the financial interests of our executive management and our stockholders should be aligned; and (3) the executive compensation program should be structured so that we can compete in the marketplace in hiring and retaining top level executives in our industry with compensation that is competitive and fair. Because our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w:t>
      </w:r>
    </w:p>
    <w:p>
      <w:pPr>
        <w:spacing w:after="0" w:line="11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i w:val="1"/>
          <w:iCs w:val="1"/>
          <w:color w:val="auto"/>
        </w:rPr>
        <w:t>Performance-Based Compensation</w:t>
      </w:r>
      <w:r>
        <w:rPr>
          <w:rFonts w:ascii="Arial" w:cs="Arial" w:eastAsia="Arial" w:hAnsi="Arial"/>
          <w:sz w:val="15"/>
          <w:szCs w:val="15"/>
          <w:color w:val="auto"/>
        </w:rPr>
        <w:t>. We strongly believe that a significant amount of executive compensation should be performance-based. In other</w:t>
      </w:r>
      <w:r>
        <w:rPr>
          <w:rFonts w:ascii="Arial" w:cs="Arial" w:eastAsia="Arial" w:hAnsi="Arial"/>
          <w:sz w:val="15"/>
          <w:szCs w:val="15"/>
          <w:i w:val="1"/>
          <w:iCs w:val="1"/>
          <w:color w:val="auto"/>
        </w:rPr>
        <w:t xml:space="preserve"> </w:t>
      </w:r>
      <w:r>
        <w:rPr>
          <w:rFonts w:ascii="Arial" w:cs="Arial" w:eastAsia="Arial" w:hAnsi="Arial"/>
          <w:sz w:val="15"/>
          <w:szCs w:val="15"/>
          <w:color w:val="auto"/>
        </w:rPr>
        <w:t>words, our compensation program is designed to reward superior performance, and we believe that our executive officers should feel accountable for the overall performance of our business and their individual performance. In order to achieve this objective, we have structured our compensation program so that executive compensation is tied, in large part, directly to both company-wide and individual performance. For example, and as discussed specifically below, annual cash bonuses are based on, among other things, pre-determined corporate financial performance metrics and operational targets and individual performance.</w:t>
      </w:r>
    </w:p>
    <w:p>
      <w:pPr>
        <w:spacing w:after="0" w:line="10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Alignment with Stockholder Interests</w:t>
      </w:r>
      <w:r>
        <w:rPr>
          <w:rFonts w:ascii="Arial" w:cs="Arial" w:eastAsia="Arial" w:hAnsi="Arial"/>
          <w:sz w:val="18"/>
          <w:szCs w:val="18"/>
          <w:color w:val="auto"/>
        </w:rPr>
        <w:t>. We believe that executive compensation and stockholder interests should be linked, and our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is designed so that the financial interests of our executive officers are aligned with the interests of our stockholders. We accomplish this objective in a couple of ways.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First, as noted above, payments of annual cash bonuses are based on, among other things, pre-determined corporate financial performance metrics and operational targets that, if achieved, we believe enhance the value of our common stock.</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Second, a significant portion of the total compensation paid to our executive officers is paid in the form of equity to further align the interests of executives with stockholders and to provide each executive with an incentive to manage ViaSat from the perspective of an owner with an equity stake in the business. Because vesting is based on continued employment, our equity-based incentives also facilitate the retention of executives through the term of the awards. We use a combination of restricted stock units and stock option awards as the primary incentive vehicles for long-term compensation to create a meaningful opportunity for reward predicated on the creation of long-term stockholder value. We believe that restricted stock units are an effective tool for meeting our compensation goal of increasing long-term stockholder value by tying the value of the restricted stock units to our future performance. In addition, because employees are able to profit from stock options only if our stock price increases in value over the stock option’s exercise price, we believe the options provide effective incentives to executives to achieve increases in the value of our stock.</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Structure Allows Competitive and Fair Compensation Packages</w:t>
      </w:r>
      <w:r>
        <w:rPr>
          <w:rFonts w:ascii="Arial" w:cs="Arial" w:eastAsia="Arial" w:hAnsi="Arial"/>
          <w:sz w:val="18"/>
          <w:szCs w:val="18"/>
          <w:color w:val="auto"/>
        </w:rPr>
        <w:t>. We provide innovative satellite and other wireless communications and networking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systems and services for commercial, military and civil government customers. We believe that our industry is highly specialized and competitive. Stockholders are best served when we can attract and retain talented executives with compensation packages that are competitive and fair. Therefore, we strive to create a compensation package for executive officers that delivers compensation that is comparable to the total compensation delivered by the companies with which we compete for executive talent.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Processes and Criteria</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The Compensation and Human Resources Committee is responsible for determining our overall executive compensation philosophy, and for evaluating and recommending all components of executive officer compensation to our Board of Directors for approval. The Compensation and Human Resources Committee acts under a written charter adopted and approved by our Board and may, in its discretion, obtain the assistance of outside advisors, including compensation consultants, legal counsel and accounting and other advisors. Three outside directors currently serve on the Compensation and Human Resources Committee. Each member qualifies as an “outside director” within the meaning of Section 162(m) of the Internal Revenue Code, a “non-employee director” within the meaning of Rule 16b-3 of the Securities Exchange Act of 1934, and as independent within the meaning of the corporate governance standards of Nasdaq. A copy of the Compensation and Human Resources Committee charter can be found on the Investor Relations section of our website at </w:t>
      </w:r>
      <w:r>
        <w:rPr>
          <w:rFonts w:ascii="Arial" w:cs="Arial" w:eastAsia="Arial" w:hAnsi="Arial"/>
          <w:sz w:val="15"/>
          <w:szCs w:val="15"/>
          <w:i w:val="1"/>
          <w:iCs w:val="1"/>
          <w:color w:val="auto"/>
        </w:rPr>
        <w:t>investors.viasat.com</w:t>
      </w:r>
      <w:r>
        <w:rPr>
          <w:rFonts w:ascii="Arial" w:cs="Arial" w:eastAsia="Arial" w:hAnsi="Arial"/>
          <w:sz w:val="15"/>
          <w:szCs w:val="15"/>
          <w:color w:val="auto"/>
        </w:rPr>
        <w:t>.</w:t>
      </w:r>
    </w:p>
    <w:p>
      <w:pPr>
        <w:spacing w:after="0" w:line="10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Because our executive compensation program relies on the use of three relatively straightforward components (base salary, annual cash bonuses and long-term equity awards), the process for determining each component of executive compensation remains fairly consistent across each component. The Compensation and Human Resources Committee determines compensation in a manner consistent with our primary objectives for executive compensation discussed above. In determining each component of executive compensation, the Compensation and Human Resources Committee generally considers each of the following factors:</w:t>
      </w:r>
    </w:p>
    <w:p>
      <w:pPr>
        <w:spacing w:after="0" w:line="17"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compensation data,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individual performance and contributions,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company financial and operational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company strategic positioning,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affordability of cash compensation based on ViaSat’s financial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the most recent say-on-pay vote,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and affordability of shares for equity awards.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Industry Compensation Data</w:t>
      </w:r>
      <w:r>
        <w:rPr>
          <w:rFonts w:ascii="Arial" w:cs="Arial" w:eastAsia="Arial" w:hAnsi="Arial"/>
          <w:sz w:val="16"/>
          <w:szCs w:val="16"/>
          <w:color w:val="auto"/>
        </w:rPr>
        <w:t>. The Compensation and Human Resources Committee reviews the executive compensation data of comparable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and other companies which are otherwise relevant as part of the process of determining executive compensation. In fiscal year 2014, the Compensation and Human Resources Committee again engaged Compensia, independent compensation consultant to the Compensation and Human Resources Committee, to provide insight and advice on matters regarding trends in executive officer compensation and benefits practices. After conducting an evaluation using the factors established by the SEC and Nasdaq, the Compensation and Human Resources Committee determined that Compensia is independent and that there is no conflict of interest resulting from the engagement of Compensia during fiscal year 2014.</w:t>
      </w:r>
    </w:p>
    <w:p>
      <w:pPr>
        <w:spacing w:after="0" w:line="12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With the assistance of Compensia, the Compensation and Human Resources Committee reviewed the compensation practices of a peer group consisting of a broad range of companies in the high technology industry. For fiscal year 2014 compensation decisions, this peer group consisted of the following companies: Adtran, Arris Group, Avid Technology, Brocade Communications Systems, Cubic, FLIR Systems, Heico Corp, Orbital Sciences, Polycom, RF Micro Devices, Skyworks Solutions, Teledyne Technologies, Tellabs and Trimble Navigation. The peer group was selected based on industry, net income, revenues, earnings per share and market capitalization. The Compensation and Human Resources Committee believes that this group of companies provides an appropriate peer group because they consist of similar organizations against whom we compete to obtain and retain top quality talent. In addition to peer group data, the Compensation and Human Resources Committee also reviewed information from the Radford Global Technology Survey, a nationally recognized compensation survey containing market information of companies in the high technology industry. This survey was not compiled specifically for ViaSat but rather represents a database containing comparative compensation data and information for hundreds of other high technology companies, thereby permitting the Compensation and Human Resources Committee to review pooled compensation data for positions similar to those held by each executive officer. The survey information provided to the Compensation and Human Resources Committee does not include the particular names of those companies whose pay practices are surveyed with respect to any particular position being reviewed. Unlike peer group compensation data, which is limited to publicly available information and does not provide precise comparisons by position, the more comprehensive survey data can be used to provide pooled compensation data for positions closely akin to those held by each executive officer. In addition, the pool of senior executive talent from which we draw and against which we compare ourselves extends beyond the limited community of ViaSat’s immediate peer group and includes a wide range of other organizations in the technology sector outside ViaSat’s traditional competitors, which range is represented by such surveys. As a result, the Compensation and Human Resources Committee relies on a combination of industry survey data and peer group compensation data in evaluating our executive compensation. In December 2013, the Compensation and Human Resources Committee approved an update to the peer group to be used for the fiscal year 2015 analysis.</w:t>
      </w:r>
    </w:p>
    <w:p>
      <w:pPr>
        <w:spacing w:after="0" w:line="133"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i w:val="1"/>
          <w:iCs w:val="1"/>
          <w:color w:val="auto"/>
        </w:rPr>
        <w:t>Individual Performance</w:t>
      </w:r>
      <w:r>
        <w:rPr>
          <w:rFonts w:ascii="Arial" w:cs="Arial" w:eastAsia="Arial" w:hAnsi="Arial"/>
          <w:sz w:val="15"/>
          <w:szCs w:val="15"/>
          <w:color w:val="auto"/>
        </w:rPr>
        <w:t>. The Compensation and Human Resources Committee makes an assessment of individual executive performance and</w:t>
      </w:r>
      <w:r>
        <w:rPr>
          <w:rFonts w:ascii="Arial" w:cs="Arial" w:eastAsia="Arial" w:hAnsi="Arial"/>
          <w:sz w:val="15"/>
          <w:szCs w:val="15"/>
          <w:i w:val="1"/>
          <w:iCs w:val="1"/>
          <w:color w:val="auto"/>
        </w:rPr>
        <w:t xml:space="preserve"> </w:t>
      </w:r>
      <w:r>
        <w:rPr>
          <w:rFonts w:ascii="Arial" w:cs="Arial" w:eastAsia="Arial" w:hAnsi="Arial"/>
          <w:sz w:val="15"/>
          <w:szCs w:val="15"/>
          <w:color w:val="auto"/>
        </w:rPr>
        <w:t>contributions. The individual performance assessments made by the Compensation and Human Resources Committee are based in part on input from executive management. As part of our executive compensation process, our Chief Executive Officer and President provide input to the Compensation and Human Resources Committee on the individual performance and contributions of executives other than themselves. With respect to assessing the individual performance of our Chief Executive Officer, the Compensation and Human Resources Committee relies on an annual assessment completed by our Nomination, Evaluation and Corporate Governance Committee. In evaluating the performance of our President, the Nomination, Evaluation and Corporate Governance Committee relies on input from our Chief Executive Officer. While the Compensation and Human Resources Committee believes input from management and outside advisors is valuable, the Compensation and Human Resources Committee makes its recommendations and decisions based on its independent analysis and assessment.</w:t>
      </w:r>
    </w:p>
    <w:p>
      <w:pPr>
        <w:spacing w:after="0" w:line="10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Company Financial and Operational Performance</w:t>
      </w:r>
      <w:r>
        <w:rPr>
          <w:rFonts w:ascii="Arial" w:cs="Arial" w:eastAsia="Arial" w:hAnsi="Arial"/>
          <w:sz w:val="18"/>
          <w:szCs w:val="18"/>
          <w:color w:val="auto"/>
        </w:rPr>
        <w:t>. As previously discussed, a major component of our executive compensation program is the belief that</w:t>
      </w:r>
      <w:r>
        <w:rPr>
          <w:rFonts w:ascii="Arial" w:cs="Arial" w:eastAsia="Arial" w:hAnsi="Arial"/>
          <w:sz w:val="18"/>
          <w:szCs w:val="18"/>
          <w:i w:val="1"/>
          <w:iCs w:val="1"/>
          <w:color w:val="auto"/>
        </w:rPr>
        <w:t xml:space="preserve"> </w:t>
      </w:r>
      <w:r>
        <w:rPr>
          <w:rFonts w:ascii="Arial" w:cs="Arial" w:eastAsia="Arial" w:hAnsi="Arial"/>
          <w:sz w:val="18"/>
          <w:szCs w:val="18"/>
          <w:color w:val="auto"/>
        </w:rPr>
        <w:t>a significant amount of executive compensation should be based on performance, including company financial and operational performance. These financial and operational performance metrics are important factors considered by the Compensation and Human Resources Committee in determining base salary, cash bonuses and equity awards.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Company Strategic Positioning</w:t>
      </w:r>
      <w:r>
        <w:rPr>
          <w:rFonts w:ascii="Arial" w:cs="Arial" w:eastAsia="Arial" w:hAnsi="Arial"/>
          <w:sz w:val="16"/>
          <w:szCs w:val="16"/>
          <w:color w:val="auto"/>
        </w:rPr>
        <w:t>. Given the importance of the long-term performance of the company, the current strategic positioning of 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also a significant factor in the assessment and determination of our executive compensation program. The Compensation and Human Resources Committee takes into account the strategic positioning of the company as a basis for determining annual cash bonus compensation and other executive compensation.</w:t>
      </w:r>
    </w:p>
    <w:p>
      <w:pPr>
        <w:spacing w:after="0" w:line="107"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i w:val="1"/>
          <w:iCs w:val="1"/>
          <w:color w:val="auto"/>
        </w:rPr>
        <w:t>Total Executive Compensation</w:t>
      </w:r>
      <w:r>
        <w:rPr>
          <w:rFonts w:ascii="Arial" w:cs="Arial" w:eastAsia="Arial" w:hAnsi="Arial"/>
          <w:sz w:val="16"/>
          <w:szCs w:val="16"/>
          <w:color w:val="auto"/>
        </w:rPr>
        <w:t>. As part of reviewing each component of executive officer compensation, the Compensation and Human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also considers the total compensation of the executive. This review of total compensation is completed to assure that each executive’s total compensation remains appropriately competitive and continues to meet the compensation objectives described above.</w:t>
      </w:r>
    </w:p>
    <w:p>
      <w:pPr>
        <w:spacing w:after="0" w:line="107"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i w:val="1"/>
          <w:iCs w:val="1"/>
          <w:color w:val="auto"/>
        </w:rPr>
        <w:t>Affordability</w:t>
      </w:r>
      <w:r>
        <w:rPr>
          <w:rFonts w:ascii="Arial" w:cs="Arial" w:eastAsia="Arial" w:hAnsi="Arial"/>
          <w:sz w:val="16"/>
          <w:szCs w:val="16"/>
          <w:color w:val="auto"/>
        </w:rPr>
        <w:t>. Prior to completing the executive cash compensation (base salary and annual cash bonuses) process, the Compensation and Human</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Committee confirms that the proposed cash compensation is affordable under and consistent with ViaSat’s financial results. With respect to equity compensation, the Compensation and Human Resources Committee confirms the availability and affordability of shares prior to granting the equity awards to executives. To the extent the Compensation and Human Resources Committee determines that a component of executive compensation is not affordable, appropriate adjustments to that compensation component are made prior to final approval by the Compensation and Human Resources Committee and any subsequent recommendation to the Board.</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The Role of Stockholder Say-on-Pay Votes</w:t>
      </w:r>
      <w:r>
        <w:rPr>
          <w:rFonts w:ascii="Arial" w:cs="Arial" w:eastAsia="Arial" w:hAnsi="Arial"/>
          <w:sz w:val="16"/>
          <w:szCs w:val="16"/>
          <w:color w:val="auto"/>
        </w:rPr>
        <w:t>. At our most recent annual meeting of stockholders, we conducted a non-binding advisory vote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of our Named Executive Officers, commonly referred to as a “say-on-pay” vote. Our stockholders overwhelmingly approved the compensation of our Named Executive Officers, with approximately 91% of stockholder votes cast in favor of our executive compensation program. As the Compensation and Human Resources Committee evaluated our executive compensation policies and practices throughout 2014, they were mindful of the strong support our stockholders expressed for our compensation philosophy and objectives. As a result, the Compensation and Human Resources Committee decided to retain our general approach to executive compensation, with an emphasis on incentive compensation that rewards our most senior executives when they deliver value for our stockholders and, as a result, made no significant changes to our executive compensation program. The Compensation and Human Resources Committee will continue to consider the outcome of say-on-pay advisory votes when making future compensation decisions for the Named Executive Officers.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Determination of Compensation</w:t>
      </w:r>
      <w:r>
        <w:rPr>
          <w:rFonts w:ascii="Arial" w:cs="Arial" w:eastAsia="Arial" w:hAnsi="Arial"/>
          <w:sz w:val="16"/>
          <w:szCs w:val="16"/>
          <w:color w:val="auto"/>
        </w:rPr>
        <w:t>. The Compensation and Human Resources Committee and the Board hold several meetings each year for the review,</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and determination of executive compensation. After considering the factors for executive compensation described above, the Compensation and Human Resources Committee determines (or makes a recommendation to the Board) regarding the appropriate compensation for each individual executive officer. However, we do not believe that it is appropriate to establish compensation levels solely by benchmarking. We rely upon the judgment of our Compensation and Human Resources Committee members in making compensation decisions, after reviewing the performance of the company and carefully evaluating an executive officer’s performance during the year against established goals, leadership qualities, individual contributions, operational results, business responsibilities, experience, career with the company, current compensation arrangements and long-term potential to enhance stockholder value. While competitive market compensation paid by other companies is one of the many factors that we consider in assessing the reasonableness of compensation, we do not attempt to maintain a certain target percentile within a peer group or otherwise rely entirely on that data to determine executive officer compensation. Instead, we incorporate flexibility into our compensation programs and in the assessment process to respond to and adjust for the evolving business environment.</w:t>
      </w:r>
    </w:p>
    <w:p>
      <w:pPr>
        <w:spacing w:after="0" w:line="12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strive to achieve an appropriate mix between equity incentive awards and cash payments in order to meet our objectives. Any apportionment goal is not applied rigidly and does not control our compensation decisions. Our mix of compensation elements is designed to reward recent results, align compensation with stockholder interests and fairly compensate executives through a combination of cash and equity incentive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awards. We believe the most important indicator of whether our compensation objectives are being met is our ability to motivate our executive officers to deliver superior performance and retain them to continue their careers with ViaSat on a cost-effective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Compensation Program</w:t>
      </w:r>
    </w:p>
    <w:p>
      <w:pPr>
        <w:spacing w:after="0" w:line="90"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As discussed above, the components of our compensation program are the following: base salary, annual cash bonuses, long-term equity-based compensation and certain other benefits that are generally available to all of our employees.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In determining base salary, the Compensation and Human Resources Committee primarily considers (1) executive compensation survey</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from Radford, which generally reports a compensation range for each position, (2) compensation data of our peer group companies prepared and analyzed by our independent compensation consultants, and (3) individual performance and contributions. In evaluating individual executive performance and contributions, the Compensation and Human Resources Committee also considers to what extent the executive:</w:t>
      </w:r>
    </w:p>
    <w:p>
      <w:pPr>
        <w:spacing w:after="0" w:line="32"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sustains a high level of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demonstrates leadership and success in contributing toward ViaSat’s achievement of key business and financial objectives,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contributes significantly to the development and execution of ViaSat’s long-term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has a proven ability to help create stockholder value,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possesses highly developed skills and abilities critical to ViaSat’s success.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assessing individual executive performance and contributions during fiscal year 2014 for fiscal year 2015 base salary determination purposes, the Compensation and Human Resources Committee considered the individual contributions to the attainment by the company of key strategic objectives, such as the consistent growth of the subscriber base for our Exede</w:t>
      </w:r>
      <w:r>
        <w:rPr>
          <w:rFonts w:ascii="Arial" w:cs="Arial" w:eastAsia="Arial" w:hAnsi="Arial"/>
          <w:sz w:val="10"/>
          <w:szCs w:val="10"/>
          <w:color w:val="auto"/>
        </w:rPr>
        <w:t>®</w:t>
      </w:r>
      <w:r>
        <w:rPr>
          <w:rFonts w:ascii="Arial" w:cs="Arial" w:eastAsia="Arial" w:hAnsi="Arial"/>
          <w:sz w:val="16"/>
          <w:szCs w:val="16"/>
          <w:color w:val="auto"/>
        </w:rPr>
        <w:t xml:space="preserve"> broadband services, strong positioning of the company’s global mobile broadband business, successful launch of in-flight Wi-Fi services, key awards, and execution of the contract for the construction of ViaSat-2, our second high-capacity Ka-band satellite. In determining fiscal year 2015 base salaries for executive officers, the Compensation and Human Resources Committee also took into account other factors, including total executive compensation, ViaSat’s recent corporate performance, industry awards and other recognition for the ViaSat-1 satellite and Exede broadband services, and confirmation of affordability under ViaSat’s financial plan. In light of the foregoing, the Compensation and Human Resources Committee set new base salaries for each of the executive officers. The following table describes the base salaries for fiscal years 2014 and 2015 for each of our Named Executive Officers.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2014 and Fiscal Year 2015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 Salary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Executive</w:t>
            </w:r>
          </w:p>
        </w:tc>
        <w:tc>
          <w:tcPr>
            <w:tcW w:w="6300" w:type="dxa"/>
            <w:vAlign w:val="bottom"/>
            <w:vMerge w:val="restart"/>
          </w:tcPr>
          <w:p>
            <w:pPr>
              <w:spacing w:after="0"/>
              <w:rPr>
                <w:sz w:val="14"/>
                <w:szCs w:val="14"/>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4"/>
              </w:rPr>
              <w:t>Fiscal Year 2014</w:t>
            </w:r>
          </w:p>
        </w:tc>
        <w:tc>
          <w:tcPr>
            <w:tcW w:w="18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4"/>
              </w:rPr>
              <w:t>Fiscal Year 2015</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6300" w:type="dxa"/>
            <w:vAlign w:val="bottom"/>
            <w:vMerge w:val="continue"/>
          </w:tcPr>
          <w:p>
            <w:pPr>
              <w:spacing w:after="0"/>
              <w:rPr>
                <w:sz w:val="14"/>
                <w:szCs w:val="14"/>
                <w:color w:val="auto"/>
              </w:rPr>
            </w:pPr>
          </w:p>
        </w:tc>
        <w:tc>
          <w:tcPr>
            <w:tcW w:w="18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8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6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Increase (%)</w:t>
            </w:r>
          </w:p>
        </w:tc>
        <w:tc>
          <w:tcPr>
            <w:tcW w:w="0" w:type="dxa"/>
            <w:vAlign w:val="bottom"/>
          </w:tcPr>
          <w:p>
            <w:pPr>
              <w:spacing w:after="0"/>
              <w:rPr>
                <w:sz w:val="1"/>
                <w:szCs w:val="1"/>
                <w:color w:val="auto"/>
              </w:rPr>
            </w:pPr>
          </w:p>
        </w:tc>
      </w:tr>
      <w:tr>
        <w:trPr>
          <w:trHeight w:val="203"/>
        </w:trPr>
        <w:tc>
          <w:tcPr>
            <w:tcW w:w="6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915,000</w:t>
            </w:r>
          </w:p>
        </w:tc>
        <w:tc>
          <w:tcPr>
            <w:tcW w:w="9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965,000</w:t>
            </w:r>
          </w:p>
        </w:tc>
        <w:tc>
          <w:tcPr>
            <w:tcW w:w="8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940" w:type="dxa"/>
            <w:vAlign w:val="bottom"/>
          </w:tcPr>
          <w:p>
            <w:pPr>
              <w:jc w:val="right"/>
              <w:spacing w:after="0"/>
              <w:rPr>
                <w:sz w:val="20"/>
                <w:szCs w:val="20"/>
                <w:color w:val="auto"/>
              </w:rPr>
            </w:pPr>
            <w:r>
              <w:rPr>
                <w:rFonts w:ascii="Arial" w:cs="Arial" w:eastAsia="Arial" w:hAnsi="Arial"/>
                <w:sz w:val="18"/>
                <w:szCs w:val="18"/>
                <w:color w:val="auto"/>
              </w:rPr>
              <w:t>690,000</w:t>
            </w:r>
          </w:p>
        </w:tc>
        <w:tc>
          <w:tcPr>
            <w:tcW w:w="900" w:type="dxa"/>
            <w:vAlign w:val="bottom"/>
          </w:tcPr>
          <w:p>
            <w:pPr>
              <w:spacing w:after="0"/>
              <w:rPr>
                <w:sz w:val="18"/>
                <w:szCs w:val="18"/>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800,000</w:t>
            </w:r>
          </w:p>
        </w:tc>
        <w:tc>
          <w:tcPr>
            <w:tcW w:w="7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Dirks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9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420,000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940" w:type="dxa"/>
            <w:vAlign w:val="bottom"/>
          </w:tcPr>
          <w:p>
            <w:pPr>
              <w:jc w:val="right"/>
              <w:spacing w:after="0"/>
              <w:rPr>
                <w:sz w:val="20"/>
                <w:szCs w:val="20"/>
                <w:color w:val="auto"/>
              </w:rPr>
            </w:pPr>
            <w:r>
              <w:rPr>
                <w:rFonts w:ascii="Arial" w:cs="Arial" w:eastAsia="Arial" w:hAnsi="Arial"/>
                <w:sz w:val="18"/>
                <w:szCs w:val="18"/>
                <w:color w:val="auto"/>
              </w:rPr>
              <w:t>325,000</w:t>
            </w:r>
          </w:p>
        </w:tc>
        <w:tc>
          <w:tcPr>
            <w:tcW w:w="900" w:type="dxa"/>
            <w:vAlign w:val="bottom"/>
          </w:tcPr>
          <w:p>
            <w:pPr>
              <w:spacing w:after="0"/>
              <w:rPr>
                <w:sz w:val="18"/>
                <w:szCs w:val="18"/>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400,000</w:t>
            </w:r>
          </w:p>
        </w:tc>
        <w:tc>
          <w:tcPr>
            <w:tcW w:w="7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9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450,000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940" w:type="dxa"/>
            <w:vAlign w:val="bottom"/>
          </w:tcPr>
          <w:p>
            <w:pPr>
              <w:jc w:val="right"/>
              <w:spacing w:after="0"/>
              <w:rPr>
                <w:sz w:val="20"/>
                <w:szCs w:val="20"/>
                <w:color w:val="auto"/>
              </w:rPr>
            </w:pPr>
            <w:r>
              <w:rPr>
                <w:rFonts w:ascii="Arial" w:cs="Arial" w:eastAsia="Arial" w:hAnsi="Arial"/>
                <w:sz w:val="18"/>
                <w:szCs w:val="18"/>
                <w:color w:val="auto"/>
              </w:rPr>
              <w:t>325,000</w:t>
            </w:r>
          </w:p>
        </w:tc>
        <w:tc>
          <w:tcPr>
            <w:tcW w:w="900" w:type="dxa"/>
            <w:vAlign w:val="bottom"/>
          </w:tcPr>
          <w:p>
            <w:pPr>
              <w:spacing w:after="0"/>
              <w:rPr>
                <w:sz w:val="19"/>
                <w:szCs w:val="19"/>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375,000</w:t>
            </w: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Annual Cash Bonuses</w:t>
      </w:r>
      <w:r>
        <w:rPr>
          <w:rFonts w:ascii="Arial" w:cs="Arial" w:eastAsia="Arial" w:hAnsi="Arial"/>
          <w:sz w:val="18"/>
          <w:szCs w:val="18"/>
          <w:color w:val="auto"/>
        </w:rPr>
        <w:t>. Consistent with our overall compensation objectives of linking compensation to performance, aligning executive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stockholder interests, and attracting and retaining top level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executive officers in our industry, our Compensation and Human Resources Committee approved annual cash bonuses for fiscal year 2014. Under our executive compensation program, targets for cash bonuses are established as a percentage of base salary and actual award amounts are determined primarily based on the achievement of certain company and individual performance objectives. For fiscal year 2014, the target amount for annual cash bonuses was determined by the Compensation and Human Resources Committee primarily based on industry compensation surveys and validated with compensation data from peer group companies. The range for target bonuses, as a percentage of base salary, was unchanged for the executive officers from fiscal year 2013 levels. In determining the target bonus amounts, the Compensation and Human Resources Committee also considered the expected individual contributions of each executive toward the overall success of the company.</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For fiscal year 2014, the metrics for determining annual cash bonuses for our Named Executive Officers, other than our Chief Executive Officer, placed equal emphasis on ViaSat’s annual financial performance and individual performance. The financial objectives were set at the beginning of fiscal year 2014 and were based on the year’s internally-developed financial plan, which was approved by our Board. The individual performance objectives for the executive officers (excluding the Chief Executive Officer and President) were determined by the Compensation and Human Resources Committee, with the objectives for the executive officers (other than our Chief Executive Officer and President) based on input and recommendations from our Chief Executive Officer and President. These individual performance objectives are qualitative in nature and not quantifiable. Each individual executive officer’s attainment of individual performance objectives, while made in the context of such pre-established objectives, is based upon a subjective evaluation of individual performance by the Compensation and Human Resources Committee. The annual performance metrics for determining annual cash bonuses, both financial and individual, are intended to be challenging but achievable. The table below describes the company financial and individual objectives and weighting of each objective used for determining annual cash bonuses for our executive officers (other than our Chief Executive Officer and President) for fiscal year 2014.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2014 Cash Bonus Objectives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4"/>
              </w:rPr>
              <w:t>Performance Metric</w:t>
            </w:r>
          </w:p>
        </w:tc>
        <w:tc>
          <w:tcPr>
            <w:tcW w:w="6080" w:type="dxa"/>
            <w:vAlign w:val="bottom"/>
            <w:vMerge w:val="restart"/>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Approximate</w:t>
            </w:r>
          </w:p>
        </w:tc>
        <w:tc>
          <w:tcPr>
            <w:tcW w:w="1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FY 2014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FY 2014</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6080" w:type="dxa"/>
            <w:vAlign w:val="bottom"/>
            <w:vMerge w:val="continue"/>
          </w:tcPr>
          <w:p>
            <w:pPr>
              <w:spacing w:after="0"/>
              <w:rPr>
                <w:sz w:val="14"/>
                <w:szCs w:val="14"/>
                <w:color w:val="auto"/>
              </w:rPr>
            </w:pPr>
          </w:p>
        </w:tc>
        <w:tc>
          <w:tcPr>
            <w:tcW w:w="12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2"/>
              </w:rPr>
              <w:t>Weighting (%)</w:t>
            </w:r>
          </w:p>
        </w:tc>
        <w:tc>
          <w:tcPr>
            <w:tcW w:w="100" w:type="dxa"/>
            <w:vAlign w:val="bottom"/>
          </w:tcPr>
          <w:p>
            <w:pPr>
              <w:spacing w:after="0"/>
              <w:rPr>
                <w:sz w:val="14"/>
                <w:szCs w:val="14"/>
                <w:color w:val="auto"/>
              </w:rPr>
            </w:pPr>
          </w:p>
        </w:tc>
        <w:tc>
          <w:tcPr>
            <w:tcW w:w="13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5"/>
              </w:rPr>
              <w:t>Objective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2"/>
              </w:rPr>
              <w:t>Actual Results</w:t>
            </w:r>
          </w:p>
        </w:tc>
        <w:tc>
          <w:tcPr>
            <w:tcW w:w="0" w:type="dxa"/>
            <w:vAlign w:val="bottom"/>
          </w:tcPr>
          <w:p>
            <w:pPr>
              <w:spacing w:after="0"/>
              <w:rPr>
                <w:sz w:val="1"/>
                <w:szCs w:val="1"/>
                <w:color w:val="auto"/>
              </w:rPr>
            </w:pPr>
          </w:p>
        </w:tc>
      </w:tr>
      <w:tr>
        <w:trPr>
          <w:trHeight w:val="181"/>
        </w:trPr>
        <w:tc>
          <w:tcPr>
            <w:tcW w:w="73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Financial — Non-GAAP Diluted Net Income Per Share Attributable to ViaSat, Inc. Common</w:t>
            </w: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 (1)</w:t>
            </w: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Financial — Adjusted EBITDA (2)</w:t>
            </w:r>
          </w:p>
        </w:tc>
        <w:tc>
          <w:tcPr>
            <w:tcW w:w="860" w:type="dxa"/>
            <w:vAlign w:val="bottom"/>
          </w:tcPr>
          <w:p>
            <w:pPr>
              <w:jc w:val="right"/>
              <w:ind w:right="197"/>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235.9 million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221.2 million</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New Contract Awards</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1,141.3 million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1,425.9 million</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Financial — Total Revenues</w:t>
            </w:r>
          </w:p>
        </w:tc>
        <w:tc>
          <w:tcPr>
            <w:tcW w:w="860" w:type="dxa"/>
            <w:vAlign w:val="bottom"/>
          </w:tcPr>
          <w:p>
            <w:pPr>
              <w:jc w:val="right"/>
              <w:ind w:right="197"/>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1,328.0 million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1,351.5 million</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Net Operating Asset Turnover</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Individual — Contribution Toward Achievement of Company Financial Targets</w:t>
            </w:r>
          </w:p>
        </w:tc>
        <w:tc>
          <w:tcPr>
            <w:tcW w:w="860" w:type="dxa"/>
            <w:vAlign w:val="bottom"/>
          </w:tcPr>
          <w:p>
            <w:pPr>
              <w:jc w:val="right"/>
              <w:ind w:right="177"/>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 Achievement of Individual Goals</w:t>
            </w: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itemized reconciliation between net income (loss) per share attributable to ViaSat, Inc. on a GAAP and non-GAAP basis for fiscal year 2014 is set forth below:</w:t>
      </w:r>
    </w:p>
    <w:p>
      <w:pPr>
        <w:spacing w:after="0" w:line="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1"/>
              </w:rPr>
              <w:t>Twelve months ended</w:t>
            </w:r>
          </w:p>
        </w:tc>
        <w:tc>
          <w:tcPr>
            <w:tcW w:w="0" w:type="dxa"/>
            <w:vAlign w:val="bottom"/>
          </w:tcPr>
          <w:p>
            <w:pPr>
              <w:spacing w:after="0"/>
              <w:rPr>
                <w:sz w:val="1"/>
                <w:szCs w:val="1"/>
                <w:color w:val="auto"/>
              </w:rPr>
            </w:pPr>
          </w:p>
        </w:tc>
      </w:tr>
      <w:tr>
        <w:trPr>
          <w:trHeight w:val="16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April 4, 2014</w:t>
            </w:r>
          </w:p>
        </w:tc>
        <w:tc>
          <w:tcPr>
            <w:tcW w:w="0" w:type="dxa"/>
            <w:vAlign w:val="bottom"/>
          </w:tcPr>
          <w:p>
            <w:pPr>
              <w:spacing w:after="0"/>
              <w:rPr>
                <w:sz w:val="1"/>
                <w:szCs w:val="1"/>
                <w:color w:val="auto"/>
              </w:rPr>
            </w:pPr>
          </w:p>
        </w:tc>
      </w:tr>
      <w:tr>
        <w:trPr>
          <w:trHeight w:val="142"/>
        </w:trPr>
        <w:tc>
          <w:tcPr>
            <w:tcW w:w="4480" w:type="dxa"/>
            <w:vAlign w:val="bottom"/>
            <w:vMerge w:val="continue"/>
          </w:tcPr>
          <w:p>
            <w:pPr>
              <w:spacing w:after="0"/>
              <w:rPr>
                <w:sz w:val="12"/>
                <w:szCs w:val="12"/>
                <w:color w:val="auto"/>
              </w:rPr>
            </w:pPr>
          </w:p>
        </w:tc>
        <w:tc>
          <w:tcPr>
            <w:tcW w:w="3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GAAP net loss attributable to ViaSat, Inc.</w:t>
            </w:r>
          </w:p>
        </w:tc>
        <w:tc>
          <w:tcPr>
            <w:tcW w:w="390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14,614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tax effect</w:t>
            </w: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(18,530)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attributable to ViaSat, Inc.</w:t>
            </w:r>
          </w:p>
        </w:tc>
        <w:tc>
          <w:tcPr>
            <w:tcW w:w="390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20,277</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w w:val="94"/>
              </w:rPr>
              <w:t>Non-GAAP net income per share attributable to ViaSat, Inc.</w:t>
            </w:r>
          </w:p>
        </w:tc>
        <w:tc>
          <w:tcPr>
            <w:tcW w:w="3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vMerge w:val="continue"/>
          </w:tcPr>
          <w:p>
            <w:pPr>
              <w:spacing w:after="0"/>
              <w:rPr>
                <w:sz w:val="18"/>
                <w:szCs w:val="18"/>
                <w:color w:val="auto"/>
              </w:rPr>
            </w:pPr>
          </w:p>
        </w:tc>
        <w:tc>
          <w:tcPr>
            <w:tcW w:w="3900" w:type="dxa"/>
            <w:vAlign w:val="bottom"/>
            <w:gridSpan w:val="2"/>
          </w:tcPr>
          <w:p>
            <w:pPr>
              <w:ind w:left="37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equivalent shares</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45,744</w:t>
            </w:r>
          </w:p>
        </w:tc>
        <w:tc>
          <w:tcPr>
            <w:tcW w:w="0" w:type="dxa"/>
            <w:vAlign w:val="bottom"/>
          </w:tcPr>
          <w:p>
            <w:pPr>
              <w:spacing w:after="0"/>
              <w:rPr>
                <w:sz w:val="1"/>
                <w:szCs w:val="1"/>
                <w:color w:val="auto"/>
              </w:rPr>
            </w:pPr>
          </w:p>
        </w:tc>
      </w:tr>
      <w:tr>
        <w:trPr>
          <w:trHeight w:val="363"/>
        </w:trPr>
        <w:tc>
          <w:tcPr>
            <w:tcW w:w="4480" w:type="dxa"/>
            <w:vAlign w:val="bottom"/>
          </w:tcPr>
          <w:p>
            <w:pPr>
              <w:spacing w:after="0"/>
              <w:rPr>
                <w:sz w:val="24"/>
                <w:szCs w:val="24"/>
                <w:color w:val="auto"/>
              </w:rPr>
            </w:pPr>
          </w:p>
        </w:tc>
        <w:tc>
          <w:tcPr>
            <w:tcW w:w="3740" w:type="dxa"/>
            <w:vAlign w:val="bottom"/>
          </w:tcPr>
          <w:p>
            <w:pPr>
              <w:jc w:val="right"/>
              <w:ind w:right="3252"/>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use Adjusted EBITDA to evaluate our operating performance, to allocate resources and capital, to measure performance for incentive compensation programs and to evaluate future growth opportunities. An itemized reconciliation between net income (loss) attributable to ViaSat, Inc. and Adjusted EBITDA for fiscal year 2014 is set forth below:</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color w:val="auto"/>
        </w:rPr>
        <w:t>GAAP net income (loss) attributable to ViaSat, Inc.</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Benefit from income taxes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Stock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998"/>
        <w:spacing w:after="0"/>
        <w:rPr>
          <w:sz w:val="20"/>
          <w:szCs w:val="20"/>
          <w:color w:val="auto"/>
        </w:rPr>
      </w:pPr>
      <w:r>
        <w:rPr>
          <w:rFonts w:ascii="Arial" w:cs="Arial" w:eastAsia="Arial" w:hAnsi="Arial"/>
          <w:sz w:val="12"/>
          <w:szCs w:val="12"/>
          <w:b w:val="1"/>
          <w:bCs w:val="1"/>
          <w:color w:val="auto"/>
        </w:rPr>
        <w:t>Twelve months ended</w:t>
      </w:r>
    </w:p>
    <w:p>
      <w:pPr>
        <w:spacing w:after="0" w:line="24" w:lineRule="exact"/>
        <w:rPr>
          <w:sz w:val="20"/>
          <w:szCs w:val="20"/>
          <w:color w:val="auto"/>
        </w:rPr>
      </w:pPr>
    </w:p>
    <w:p>
      <w:pPr>
        <w:jc w:val="center"/>
        <w:ind w:right="998"/>
        <w:spacing w:after="0"/>
        <w:rPr>
          <w:sz w:val="20"/>
          <w:szCs w:val="20"/>
          <w:color w:val="auto"/>
        </w:rPr>
      </w:pPr>
      <w:r>
        <w:rPr>
          <w:rFonts w:ascii="Arial" w:cs="Arial" w:eastAsia="Arial" w:hAnsi="Arial"/>
          <w:sz w:val="14"/>
          <w:szCs w:val="14"/>
          <w:b w:val="1"/>
          <w:bCs w:val="1"/>
          <w:color w:val="auto"/>
        </w:rPr>
        <w:t>April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975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1" w:lineRule="exact"/>
        <w:rPr>
          <w:sz w:val="20"/>
          <w:szCs w:val="20"/>
          <w:color w:val="auto"/>
        </w:rPr>
      </w:pPr>
    </w:p>
    <w:p>
      <w:pPr>
        <w:ind w:left="802" w:hanging="802"/>
        <w:spacing w:after="0"/>
        <w:tabs>
          <w:tab w:leader="none" w:pos="802" w:val="left"/>
        </w:tabs>
        <w:numPr>
          <w:ilvl w:val="0"/>
          <w:numId w:val="18"/>
        </w:numPr>
        <w:rPr>
          <w:rFonts w:ascii="Arial" w:cs="Arial" w:eastAsia="Arial" w:hAnsi="Arial"/>
          <w:sz w:val="16"/>
          <w:szCs w:val="16"/>
          <w:color w:val="auto"/>
        </w:rPr>
      </w:pPr>
      <w:r>
        <w:rPr>
          <w:rFonts w:ascii="Arial" w:cs="Arial" w:eastAsia="Arial" w:hAnsi="Arial"/>
          <w:sz w:val="16"/>
          <w:szCs w:val="16"/>
          <w:color w:val="auto"/>
        </w:rPr>
        <w:t>(9,446)</w:t>
      </w:r>
    </w:p>
    <w:p>
      <w:pPr>
        <w:spacing w:after="0" w:line="38" w:lineRule="exact"/>
        <w:rPr>
          <w:rFonts w:ascii="Arial" w:cs="Arial" w:eastAsia="Arial" w:hAnsi="Arial"/>
          <w:sz w:val="16"/>
          <w:szCs w:val="16"/>
          <w:color w:val="auto"/>
        </w:rPr>
      </w:pPr>
    </w:p>
    <w:p>
      <w:pPr>
        <w:ind w:left="722"/>
        <w:spacing w:after="0"/>
        <w:rPr>
          <w:rFonts w:ascii="Arial" w:cs="Arial" w:eastAsia="Arial" w:hAnsi="Arial"/>
          <w:sz w:val="16"/>
          <w:szCs w:val="16"/>
          <w:color w:val="auto"/>
        </w:rPr>
      </w:pPr>
      <w:r>
        <w:rPr>
          <w:rFonts w:ascii="Arial" w:cs="Arial" w:eastAsia="Arial" w:hAnsi="Arial"/>
          <w:sz w:val="16"/>
          <w:szCs w:val="16"/>
          <w:color w:val="auto"/>
        </w:rPr>
        <w:t>(25,947)</w:t>
      </w:r>
    </w:p>
    <w:p>
      <w:pPr>
        <w:spacing w:after="0" w:line="32" w:lineRule="exact"/>
        <w:rPr>
          <w:rFonts w:ascii="Arial" w:cs="Arial" w:eastAsia="Arial" w:hAnsi="Arial"/>
          <w:sz w:val="16"/>
          <w:szCs w:val="16"/>
          <w:color w:val="auto"/>
        </w:rPr>
      </w:pPr>
    </w:p>
    <w:p>
      <w:pPr>
        <w:ind w:left="782"/>
        <w:spacing w:after="0"/>
        <w:rPr>
          <w:rFonts w:ascii="Arial" w:cs="Arial" w:eastAsia="Arial" w:hAnsi="Arial"/>
          <w:sz w:val="16"/>
          <w:szCs w:val="16"/>
          <w:color w:val="auto"/>
        </w:rPr>
      </w:pPr>
      <w:r>
        <w:rPr>
          <w:rFonts w:ascii="Arial" w:cs="Arial" w:eastAsia="Arial" w:hAnsi="Arial"/>
          <w:sz w:val="16"/>
          <w:szCs w:val="16"/>
          <w:color w:val="auto"/>
        </w:rPr>
        <w:t>37.903</w:t>
      </w:r>
    </w:p>
    <w:p>
      <w:pPr>
        <w:spacing w:after="0" w:line="32" w:lineRule="exact"/>
        <w:rPr>
          <w:rFonts w:ascii="Arial" w:cs="Arial" w:eastAsia="Arial" w:hAnsi="Arial"/>
          <w:sz w:val="16"/>
          <w:szCs w:val="16"/>
          <w:color w:val="auto"/>
        </w:rPr>
      </w:pPr>
    </w:p>
    <w:p>
      <w:pPr>
        <w:ind w:left="682"/>
        <w:spacing w:after="0"/>
        <w:rPr>
          <w:rFonts w:ascii="Arial" w:cs="Arial" w:eastAsia="Arial" w:hAnsi="Arial"/>
          <w:sz w:val="16"/>
          <w:szCs w:val="16"/>
          <w:color w:val="auto"/>
        </w:rPr>
      </w:pPr>
      <w:r>
        <w:rPr>
          <w:rFonts w:ascii="Arial" w:cs="Arial" w:eastAsia="Arial" w:hAnsi="Arial"/>
          <w:sz w:val="16"/>
          <w:szCs w:val="16"/>
          <w:color w:val="auto"/>
        </w:rPr>
        <w:t>185,064</w:t>
      </w:r>
    </w:p>
    <w:p>
      <w:pPr>
        <w:spacing w:after="0" w:line="32" w:lineRule="exact"/>
        <w:rPr>
          <w:rFonts w:ascii="Arial" w:cs="Arial" w:eastAsia="Arial" w:hAnsi="Arial"/>
          <w:sz w:val="16"/>
          <w:szCs w:val="16"/>
          <w:color w:val="auto"/>
        </w:rPr>
      </w:pPr>
    </w:p>
    <w:p>
      <w:pPr>
        <w:ind w:left="782"/>
        <w:spacing w:after="0"/>
        <w:rPr>
          <w:rFonts w:ascii="Arial" w:cs="Arial" w:eastAsia="Arial" w:hAnsi="Arial"/>
          <w:sz w:val="16"/>
          <w:szCs w:val="16"/>
          <w:color w:val="auto"/>
        </w:rPr>
      </w:pPr>
      <w:r>
        <w:rPr>
          <w:rFonts w:ascii="Arial" w:cs="Arial" w:eastAsia="Arial" w:hAnsi="Arial"/>
          <w:sz w:val="16"/>
          <w:szCs w:val="16"/>
          <w:color w:val="auto"/>
        </w:rPr>
        <w:t>33,639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975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3" w:lineRule="exact"/>
        <w:rPr>
          <w:sz w:val="20"/>
          <w:szCs w:val="20"/>
          <w:color w:val="auto"/>
        </w:rPr>
      </w:pPr>
    </w:p>
    <w:p>
      <w:pPr>
        <w:ind w:left="682" w:hanging="682"/>
        <w:spacing w:after="0"/>
        <w:tabs>
          <w:tab w:leader="none" w:pos="6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221,213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975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7975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418" w:space="720"/>
            <w:col w:w="2262"/>
          </w:cols>
          <w:pgMar w:left="240" w:top="459" w:right="259" w:bottom="1440" w:gutter="0" w:footer="0" w:header="0"/>
          <w:type w:val="continuous"/>
        </w:sectPr>
      </w:pPr>
    </w:p>
    <w:p>
      <w:pPr>
        <w:spacing w:after="0" w:line="2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purposes of determining the annual cash bonus for our Chief Executive Officer in fiscal year 2014, the Compensation and Human Resources Committee relied on an assessment of our Chief Executive Officer completed by the Nomination, Evaluation and Corporate Governance Committee. The criteria used by the Nomination, Evaluation and Corporate Governance Committee for our Chief Executive Officer’s fiscal year 2014 evaluation included the following, with approximately equal weighting applied to each of the three main categories:</w:t>
      </w:r>
    </w:p>
    <w:p>
      <w:pPr>
        <w:spacing w:after="0" w:line="62" w:lineRule="exact"/>
        <w:rPr>
          <w:sz w:val="20"/>
          <w:szCs w:val="20"/>
          <w:color w:val="auto"/>
        </w:rPr>
      </w:pPr>
    </w:p>
    <w:p>
      <w:pPr>
        <w:ind w:left="660" w:right="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Company Financial Performance</w:t>
      </w:r>
      <w:r>
        <w:rPr>
          <w:rFonts w:ascii="Arial" w:cs="Arial" w:eastAsia="Arial" w:hAnsi="Arial"/>
          <w:sz w:val="18"/>
          <w:szCs w:val="18"/>
          <w:color w:val="auto"/>
        </w:rPr>
        <w:t>. Non-GAAP diluted net income per share attributable to ViaSat, Inc. common stockholders, Adjusted EBITDA, new</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awards, total revenues and net operating asset turnover (at the same levels as set forth in the table above).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Leadership</w:t>
      </w:r>
      <w:r>
        <w:rPr>
          <w:rFonts w:ascii="Arial" w:cs="Arial" w:eastAsia="Arial" w:hAnsi="Arial"/>
          <w:sz w:val="16"/>
          <w:szCs w:val="16"/>
          <w:color w:val="auto"/>
        </w:rPr>
        <w:t>.  Defining, managing and attaining corporate goals, exemplifying and promoting ethics and integrity throughout the company.</w:t>
      </w:r>
    </w:p>
    <w:p>
      <w:pPr>
        <w:spacing w:after="0" w:line="113" w:lineRule="exact"/>
        <w:rPr>
          <w:rFonts w:ascii="Arial" w:cs="Arial" w:eastAsia="Arial" w:hAnsi="Arial"/>
          <w:sz w:val="16"/>
          <w:szCs w:val="16"/>
          <w:color w:val="auto"/>
        </w:rPr>
      </w:pPr>
    </w:p>
    <w:p>
      <w:pPr>
        <w:ind w:left="660" w:right="64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Strategic</w:t>
      </w:r>
      <w:r>
        <w:rPr>
          <w:rFonts w:ascii="Arial" w:cs="Arial" w:eastAsia="Arial" w:hAnsi="Arial"/>
          <w:sz w:val="18"/>
          <w:szCs w:val="18"/>
          <w:color w:val="auto"/>
        </w:rPr>
        <w:t>. Industry positioning, short-term and long-term strategies, measurable progress in key business areas and effective pursuit of growth</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strategies.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performance metrics for determining the annual cash bonuses for our Chief Executive Officer consist of both objective and subjective criteria. Under the objective performance factors, the company must achieve quantifiable financial performance metrics, as described above. As is the case with our other executive officers, the attainment of our Chief Executive Officer’s leadership and strategic individual performance factors while made in the context of the objective criteria, is based upon a subjective evaluation of his individual performance by the Compensation and Human Resources Committee with input from the Nomination, Evaluation and Corporate Governance Committee. With respect to leadership performance, the Nomination, Evaluation and Corporate Governance Committee determined that Mr. Dankberg achieved, among other things:</w:t>
      </w:r>
    </w:p>
    <w:p>
      <w:pPr>
        <w:spacing w:after="0" w:line="39"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industry recognition of ViaSat’s transformational business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improvements in our organization’s internal strategic and business area reviews,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progress towards next generation broadband satellites,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continued focus on a culture of ethical leadership.</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terms of strategic objectives, the Nomination, Evaluation and Corporate Governance Committee determined that Mr. Dankberg achieved, among other things:</w:t>
      </w:r>
    </w:p>
    <w:p>
      <w:pPr>
        <w:spacing w:after="0" w:line="51"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positive industry reviews of our Exede broadband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consistent growth in subscriber additions for our Exede broadband services,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launch and widespread industry recognition of in-flight Wi-Fi service,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execution of the contract for the construction of ViaSat-2,</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growth in our government systems segment despite a challenging Department of Defense budget environment,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strong positioning of our government global mobile service business.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coming to its determination, the Compensation and Human Resources Committee does not follow any guidelines nor are there any such standing guidelines regarding the exercise of such discretion.</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executive bonus program does not have any pre-established minimum or maximum payout. At the beginning of each fiscal year, the Board approves ViaSat’s financial plan for the upcoming fiscal year and the Compensation and Human Resources Committee approves the target bonus pool (executives and employees) for the upcoming fiscal year. The Board and the Compensation and Human Resources Committee also retain the discretion to take additional factors into account (such as market conditions, key awards, total executive compensation, strategic positioning, additional company financial metrics or extraordinary individual contributions) and make adjustments to executive bonus compensation to the extent appropriate.</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Based upon ViaSat’s financial results for fiscal year 2014 relative to the pre-established financial objectives described above and the Compensation and Human Resources Committee’s subjective evaluation of ViaSat’s other corporate achievements during fiscal year 2014 and individual executive performance, the Compensation and Human Resources Committee, acting under delegation of authority from the Board, approved the cash bonuses in the table below for our Named Executive Officers for fiscal year 2014 (paid in fiscal year 2015). The Compensation and Human Resources Committee determined that the company’s achievement relative to the pre-established financial objectives described above was 111%. In making its overall determinations relative to the individual component of each executive’s bonus, the Compensation and Human Resources Committee placed special emphasis on the strong leadership provided by the executive team in the achievement of critical non-financial, operational and strategic business objectives during fiscal year 2014, specifically including each executive’s contributions during the fiscal year to the level of subscriber additions for our ViaSat-1 based Exede broadband services, execution of the contract for the construction of ViaSat-2, continued growth in the company’s global mobile broadband service business, and strong strategic positioning, resulting in the bonus awards reflected in the following table.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2014 Cash Bonuses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5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6"/>
              </w:rPr>
              <w:t>Target Cash</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Actual Cash</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1"/>
              </w:rPr>
              <w:t>Bonuses As</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Bonuses As</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Executive</w:t>
            </w:r>
          </w:p>
        </w:tc>
        <w:tc>
          <w:tcPr>
            <w:tcW w:w="6060" w:type="dxa"/>
            <w:vAlign w:val="bottom"/>
            <w:vMerge w:val="restart"/>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of Base</w:t>
            </w:r>
          </w:p>
        </w:tc>
        <w:tc>
          <w:tcPr>
            <w:tcW w:w="15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6"/>
              </w:rPr>
              <w:t>Actual Cash</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of Base</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6060" w:type="dxa"/>
            <w:vAlign w:val="bottom"/>
            <w:vMerge w:val="continue"/>
          </w:tcPr>
          <w:p>
            <w:pPr>
              <w:spacing w:after="0"/>
              <w:rPr>
                <w:sz w:val="14"/>
                <w:szCs w:val="14"/>
                <w:color w:val="auto"/>
              </w:rPr>
            </w:pPr>
          </w:p>
        </w:tc>
        <w:tc>
          <w:tcPr>
            <w:tcW w:w="150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91"/>
              </w:rPr>
              <w:t>Salary (%)</w:t>
            </w:r>
          </w:p>
        </w:tc>
        <w:tc>
          <w:tcPr>
            <w:tcW w:w="1540" w:type="dxa"/>
            <w:vAlign w:val="bottom"/>
            <w:gridSpan w:val="2"/>
          </w:tcPr>
          <w:p>
            <w:pPr>
              <w:jc w:val="right"/>
              <w:ind w:right="840"/>
              <w:spacing w:after="0" w:line="148" w:lineRule="exact"/>
              <w:rPr>
                <w:sz w:val="20"/>
                <w:szCs w:val="20"/>
                <w:color w:val="auto"/>
              </w:rPr>
            </w:pPr>
            <w:r>
              <w:rPr>
                <w:rFonts w:ascii="Arial" w:cs="Arial" w:eastAsia="Arial" w:hAnsi="Arial"/>
                <w:sz w:val="14"/>
                <w:szCs w:val="14"/>
                <w:b w:val="1"/>
                <w:bCs w:val="1"/>
                <w:color w:val="auto"/>
                <w:w w:val="84"/>
              </w:rPr>
              <w:t xml:space="preserve">Bonuses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w:t>
            </w:r>
          </w:p>
        </w:tc>
        <w:tc>
          <w:tcPr>
            <w:tcW w:w="8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1"/>
              </w:rPr>
              <w:t>Salary (%)</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100-120</w:t>
            </w:r>
          </w:p>
        </w:tc>
        <w:tc>
          <w:tcPr>
            <w:tcW w:w="8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1,100,000</w:t>
            </w:r>
          </w:p>
        </w:tc>
        <w:tc>
          <w:tcPr>
            <w:tcW w:w="8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100-120</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825,000</w:t>
            </w: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Dirks</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50-75</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175,000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50-75</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375,000</w:t>
            </w: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50-75</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425,000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50-75</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250,000</w:t>
            </w: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Equity-Based Compensation</w:t>
      </w:r>
      <w:r>
        <w:rPr>
          <w:rFonts w:ascii="Arial" w:cs="Arial" w:eastAsia="Arial" w:hAnsi="Arial"/>
          <w:sz w:val="15"/>
          <w:szCs w:val="15"/>
          <w:color w:val="auto"/>
        </w:rPr>
        <w:t>. Consistent with our belief that equity-based compensation is a key component of an effective executive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at growth-oriented technology companies, our Board approved (upon recommendation of our Compensation and Human Resources Committee) long-term equity awards to our executive officers in fiscal year 2014. Our Compensation and Human Resources Committee determined equity award levels for fiscal year 2014 in a manner consistent with the determination of base salary and annual cash bonuses. The Compensation and Human Resources Committee considered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the industry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compensation data described above, (2) individual performance and contributions, (3) total executive compensation, and (4) the availability and affordability of shares for equity grants in determining equity compensation for executives. For fiscal year 2014 equity compensation awards, the Compensation and Human Resources Committee engaged Compensia to assist the Compensation and Human Resources Committee in providing market data and recommendations related to equity compensation grants for our executive officers. In addition, the Compensation and Human Resources Committee relied on the equity compensation survey data from Radford, which reports an equity compensation range for comparable positions using various metrics. In determining the availability and affordability of shares for equity grants, the Compensation and Human Resources Committee considered the:</w:t>
      </w:r>
    </w:p>
    <w:p>
      <w:pPr>
        <w:spacing w:after="0" w:line="39"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available for issuance under our equity plan,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budgeted for non-executive equity grants,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future retention and new hire grants to executives and non-executives,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dilution (burn) rate associated with the grant of equity awards,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ViaSat’s equity overhang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estimated accounting expense of potential equity grants,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consequences associated with the grant of equity awards.</w:t>
      </w:r>
    </w:p>
    <w:p>
      <w:pPr>
        <w:spacing w:after="0" w:line="17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Based on the factors discussed above, our Board (upon recommendation from the Compensation and Human Resources Committee) approved equity incentive awards for our Named Executive Officers in November 2013. While the values of these equity awards were generally between the 40</w:t>
      </w:r>
      <w:r>
        <w:rPr>
          <w:rFonts w:ascii="Arial" w:cs="Arial" w:eastAsia="Arial" w:hAnsi="Arial"/>
          <w:sz w:val="10"/>
          <w:szCs w:val="10"/>
          <w:color w:val="auto"/>
        </w:rPr>
        <w:t>th</w:t>
      </w:r>
      <w:r>
        <w:rPr>
          <w:rFonts w:ascii="Arial" w:cs="Arial" w:eastAsia="Arial" w:hAnsi="Arial"/>
          <w:sz w:val="16"/>
          <w:szCs w:val="16"/>
          <w:color w:val="auto"/>
        </w:rPr>
        <w:t xml:space="preserve"> and 75</w:t>
      </w:r>
      <w:r>
        <w:rPr>
          <w:rFonts w:ascii="Arial" w:cs="Arial" w:eastAsia="Arial" w:hAnsi="Arial"/>
          <w:sz w:val="10"/>
          <w:szCs w:val="10"/>
          <w:color w:val="auto"/>
        </w:rPr>
        <w:t>th</w:t>
      </w:r>
      <w:r>
        <w:rPr>
          <w:rFonts w:ascii="Arial" w:cs="Arial" w:eastAsia="Arial" w:hAnsi="Arial"/>
          <w:sz w:val="16"/>
          <w:szCs w:val="16"/>
          <w:color w:val="auto"/>
        </w:rPr>
        <w:t xml:space="preserve"> percentiles based on the peer group and industry survey data described above, the size of the equity awards were not determined based on this data. For more information on these equity awards, see the Grants of Plan-Based Awards in Fiscal Year 2014 table below.</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Other Benefits</w:t>
      </w:r>
      <w:r>
        <w:rPr>
          <w:rFonts w:ascii="Arial" w:cs="Arial" w:eastAsia="Arial" w:hAnsi="Arial"/>
          <w:sz w:val="16"/>
          <w:szCs w:val="16"/>
          <w:color w:val="auto"/>
        </w:rPr>
        <w:t>. We provide a comprehensive benefits package to all of our employees, including our executive officers, which includes medical, dental,</w:t>
      </w:r>
      <w:r>
        <w:rPr>
          <w:rFonts w:ascii="Arial" w:cs="Arial" w:eastAsia="Arial" w:hAnsi="Arial"/>
          <w:sz w:val="16"/>
          <w:szCs w:val="16"/>
          <w:i w:val="1"/>
          <w:iCs w:val="1"/>
          <w:color w:val="auto"/>
        </w:rPr>
        <w:t xml:space="preserve"> </w:t>
      </w:r>
      <w:r>
        <w:rPr>
          <w:rFonts w:ascii="Arial" w:cs="Arial" w:eastAsia="Arial" w:hAnsi="Arial"/>
          <w:sz w:val="16"/>
          <w:szCs w:val="16"/>
          <w:color w:val="auto"/>
        </w:rPr>
        <w:t>vision care, disability insurance, life insurance benefits, flexible spending plan, 401(k) savings plan, educational reimbursement program, employee assistance program, employee stock purchase plan, holidays and personal time off which includes vacation and sick days. Certain executives also receive access to our sports and golf club memberships. We do not currently offer defined benefit pension or supplemental executive retirement plans to any of our employees.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 Process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Stock options and restricted stock units are part of the equity compensation program for many of our employees. Equity awards are granted in approximately 12 month cycles. Grant approval for executive officers occurs at meetings of the Board. Because of the more extensive process for determining executive equity grants, executive equity grants are not always made at the same time as grants to all other eligible employees. The timing of grants is not coordinated with the release of material non-public information. Stock option awards are priced at fair market value on the date of grant (as defined under our equity plan) and awards of restricted stock units are also made in accordance with the terms of our equity plan.</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grants made as part of our annual equity grant process for our current employees, stock option and restricted stock unit grants may also be made during the year to newly-hired employees as part of the in-hire package, as well as to existing employees for purposes of retention or in recognition of special achievements. In order to address the need to grant options at multiple times during the year, the Compensation and Human Resources Committee has delegated authority to our Chief Executive Officer, President and Vice President of Human Resources to make grants to employees other than executive officers, subject to certain guidelines and an overall share limitation. These senior executives are each authorized to identify the award recipient and the number of shares subject to the option grant; the Compensation and Human Resources Committee sets all other terms of the awards. Grants made by these senior executives under delegation of authority from the Compensation and Human Resources Committee are generally made once per quarter. We do not grant “re-load” options, make loans to executives for any purpose, including to exercise stock options, nor do we grant stock options at a discount.</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To enhance our overall corporate governance practices and executive compensation program, our Board has adopted stock ownership guidelines for our executive officers. These guidelines are designed to align our executive officers’ interests with our stockholders’ long-term interests by promoting long-term ownership of ViaSat common stock, which reduces the incentive for excessive short-term risk taking. These guidelines provide that, within five years of the later of the adoption of the guidelines or his or her first date of employment, our executive officers should attain an investment position in shares of ViaSat common stock having a value not less than the amounts specified below: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8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86"/>
              </w:rPr>
              <w:t>Stock Ownership Guideline</w:t>
            </w:r>
          </w:p>
        </w:tc>
      </w:tr>
      <w:tr>
        <w:trPr>
          <w:trHeight w:val="168"/>
        </w:trPr>
        <w:tc>
          <w:tcPr>
            <w:tcW w:w="2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Executive Officer</w:t>
            </w:r>
          </w:p>
        </w:tc>
        <w:tc>
          <w:tcPr>
            <w:tcW w:w="400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a multiple of base salary)</w:t>
            </w:r>
          </w:p>
        </w:tc>
        <w:tc>
          <w:tcPr>
            <w:tcW w:w="1540" w:type="dxa"/>
            <w:vAlign w:val="bottom"/>
          </w:tcPr>
          <w:p>
            <w:pPr>
              <w:spacing w:after="0"/>
              <w:rPr>
                <w:sz w:val="14"/>
                <w:szCs w:val="14"/>
                <w:color w:val="auto"/>
              </w:rPr>
            </w:pPr>
          </w:p>
        </w:tc>
      </w:tr>
      <w:tr>
        <w:trPr>
          <w:trHeight w:val="216"/>
        </w:trPr>
        <w:tc>
          <w:tcPr>
            <w:tcW w:w="7220" w:type="dxa"/>
            <w:vAlign w:val="bottom"/>
            <w:gridSpan w:val="3"/>
            <w:shd w:val="clear" w:color="auto" w:fill="CCEEFF"/>
          </w:tcPr>
          <w:p>
            <w:pPr>
              <w:jc w:val="center"/>
              <w:ind w:right="1860"/>
              <w:spacing w:after="0"/>
              <w:rPr>
                <w:sz w:val="20"/>
                <w:szCs w:val="20"/>
                <w:color w:val="auto"/>
              </w:rPr>
            </w:pPr>
            <w:r>
              <w:rPr>
                <w:rFonts w:ascii="Arial" w:cs="Arial" w:eastAsia="Arial" w:hAnsi="Arial"/>
                <w:sz w:val="18"/>
                <w:szCs w:val="18"/>
                <w:color w:val="auto"/>
                <w:w w:val="91"/>
              </w:rPr>
              <w:t>Chief Executive Officer</w:t>
            </w:r>
          </w:p>
        </w:tc>
        <w:tc>
          <w:tcPr>
            <w:tcW w:w="3280" w:type="dxa"/>
            <w:vAlign w:val="bottom"/>
            <w:gridSpan w:val="2"/>
            <w:shd w:val="clear" w:color="auto" w:fill="CCEEFF"/>
          </w:tcPr>
          <w:p>
            <w:pPr>
              <w:jc w:val="center"/>
              <w:ind w:right="1540"/>
              <w:spacing w:after="0"/>
              <w:rPr>
                <w:sz w:val="20"/>
                <w:szCs w:val="20"/>
                <w:color w:val="auto"/>
              </w:rPr>
            </w:pPr>
            <w:r>
              <w:rPr>
                <w:rFonts w:ascii="Arial" w:cs="Arial" w:eastAsia="Arial" w:hAnsi="Arial"/>
                <w:sz w:val="18"/>
                <w:szCs w:val="18"/>
                <w:color w:val="auto"/>
                <w:w w:val="86"/>
              </w:rPr>
              <w:t>Three times</w:t>
            </w:r>
          </w:p>
        </w:tc>
      </w:tr>
      <w:tr>
        <w:trPr>
          <w:trHeight w:val="216"/>
        </w:trPr>
        <w:tc>
          <w:tcPr>
            <w:tcW w:w="7220" w:type="dxa"/>
            <w:vAlign w:val="bottom"/>
            <w:gridSpan w:val="3"/>
          </w:tcPr>
          <w:p>
            <w:pPr>
              <w:jc w:val="center"/>
              <w:ind w:right="1860"/>
              <w:spacing w:after="0"/>
              <w:rPr>
                <w:sz w:val="20"/>
                <w:szCs w:val="20"/>
                <w:color w:val="auto"/>
              </w:rPr>
            </w:pPr>
            <w:r>
              <w:rPr>
                <w:rFonts w:ascii="Arial" w:cs="Arial" w:eastAsia="Arial" w:hAnsi="Arial"/>
                <w:sz w:val="18"/>
                <w:szCs w:val="18"/>
                <w:color w:val="auto"/>
                <w:w w:val="89"/>
              </w:rPr>
              <w:t>President and Chief Operating Officer</w:t>
            </w:r>
          </w:p>
        </w:tc>
        <w:tc>
          <w:tcPr>
            <w:tcW w:w="3280" w:type="dxa"/>
            <w:vAlign w:val="bottom"/>
            <w:gridSpan w:val="2"/>
          </w:tcPr>
          <w:p>
            <w:pPr>
              <w:jc w:val="center"/>
              <w:ind w:right="1540"/>
              <w:spacing w:after="0"/>
              <w:rPr>
                <w:sz w:val="20"/>
                <w:szCs w:val="20"/>
                <w:color w:val="auto"/>
              </w:rPr>
            </w:pPr>
            <w:r>
              <w:rPr>
                <w:rFonts w:ascii="Arial" w:cs="Arial" w:eastAsia="Arial" w:hAnsi="Arial"/>
                <w:sz w:val="18"/>
                <w:szCs w:val="18"/>
                <w:color w:val="auto"/>
                <w:w w:val="86"/>
              </w:rPr>
              <w:t>Three times</w:t>
            </w:r>
          </w:p>
        </w:tc>
      </w:tr>
      <w:tr>
        <w:trPr>
          <w:trHeight w:val="216"/>
        </w:trPr>
        <w:tc>
          <w:tcPr>
            <w:tcW w:w="7220" w:type="dxa"/>
            <w:vAlign w:val="bottom"/>
            <w:gridSpan w:val="3"/>
            <w:shd w:val="clear" w:color="auto" w:fill="CCEEFF"/>
          </w:tcPr>
          <w:p>
            <w:pPr>
              <w:jc w:val="center"/>
              <w:ind w:right="1860"/>
              <w:spacing w:after="0"/>
              <w:rPr>
                <w:sz w:val="20"/>
                <w:szCs w:val="20"/>
                <w:color w:val="auto"/>
              </w:rPr>
            </w:pPr>
            <w:r>
              <w:rPr>
                <w:rFonts w:ascii="Arial" w:cs="Arial" w:eastAsia="Arial" w:hAnsi="Arial"/>
                <w:sz w:val="18"/>
                <w:szCs w:val="18"/>
                <w:color w:val="auto"/>
                <w:w w:val="90"/>
              </w:rPr>
              <w:t>Other Executive Officers</w:t>
            </w:r>
          </w:p>
        </w:tc>
        <w:tc>
          <w:tcPr>
            <w:tcW w:w="3280" w:type="dxa"/>
            <w:vAlign w:val="bottom"/>
            <w:gridSpan w:val="2"/>
            <w:shd w:val="clear" w:color="auto" w:fill="CCEEFF"/>
          </w:tcPr>
          <w:p>
            <w:pPr>
              <w:jc w:val="center"/>
              <w:ind w:right="1540"/>
              <w:spacing w:after="0"/>
              <w:rPr>
                <w:sz w:val="20"/>
                <w:szCs w:val="20"/>
                <w:color w:val="auto"/>
              </w:rPr>
            </w:pPr>
            <w:r>
              <w:rPr>
                <w:rFonts w:ascii="Arial" w:cs="Arial" w:eastAsia="Arial" w:hAnsi="Arial"/>
                <w:sz w:val="18"/>
                <w:szCs w:val="18"/>
                <w:color w:val="auto"/>
                <w:w w:val="90"/>
              </w:rPr>
              <w:t>One time</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90" w:lineRule="exact"/>
        <w:rPr>
          <w:sz w:val="20"/>
          <w:szCs w:val="20"/>
          <w:color w:val="auto"/>
        </w:rPr>
      </w:pPr>
    </w:p>
    <w:p>
      <w:pPr>
        <w:ind w:right="140" w:firstLine="456"/>
        <w:spacing w:after="0" w:line="309" w:lineRule="auto"/>
        <w:rPr>
          <w:sz w:val="20"/>
          <w:szCs w:val="20"/>
          <w:color w:val="auto"/>
        </w:rPr>
      </w:pPr>
      <w:r>
        <w:rPr>
          <w:rFonts w:ascii="Arial" w:cs="Arial" w:eastAsia="Arial" w:hAnsi="Arial"/>
          <w:sz w:val="15"/>
          <w:szCs w:val="15"/>
          <w:color w:val="auto"/>
        </w:rPr>
        <w:t>We select and implement the components of our compensation program primarily for their ability to help us achieve the company’s objectives and not on the basis of any unique or preferential financial tax or accounting treatment. However, when awarding compensation, the Compensation and Human Resources Committee is mindful of the level of earnings per share dilution that will be caused as a result of the compensation expense related to the Compensation and Human Resources Committee’s actions. In addition, Section 162(m) of the Internal Revenue Code generally sets a limit of $1.0 million on the amount of annual compensation (other than certain enumerated categories of performance-based compensation) that we may deduct for federal income tax purposes for certain covered individuals. We have not adopted a policy requiring that all compensation be deductible, although the Compensation and Human Resources Committee will continue to review the Section 162(m) deductibility of our compensation arrangements in fiscal year 2015 and future fiscal years. The Compensation and Human Resources Committee retains the discretion to approve compensation that may not qualify for the compensation deduction if, in light of all applicable circumstances, it would be in our best interest for such compensation to be paid without regard to whether it may be tax deductible.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and Human Resources Committee has reviewed and discussed the Compensation Discussion and Analysis with management and, based on such review and discussions, the Compensation and Human Resources Committee recommended to the Board of Directors that the Compensation Discussion and Analysis be included in this proxy statement.</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 by the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and Human Resources Committee</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Nash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Stenbit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Harvey White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following table sets forth the compensation earned during the fiscal years ended April 4, 2014, March 29, 2013 and March 30, 2012 by our Chief Executive Officer and Chief Financial Officer, as well as our three other most highly compensated executive officers (collectively, the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Non-Equity</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All Other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0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Fiscal</w:t>
            </w: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Salary</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Bonus</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Year</w:t>
            </w:r>
          </w:p>
        </w:tc>
        <w:tc>
          <w:tcPr>
            <w:tcW w:w="560" w:type="dxa"/>
            <w:vAlign w:val="bottom"/>
          </w:tcPr>
          <w:p>
            <w:pPr>
              <w:jc w:val="right"/>
              <w:ind w:right="132"/>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00" w:type="dxa"/>
            <w:vAlign w:val="bottom"/>
          </w:tcPr>
          <w:p>
            <w:pPr>
              <w:ind w:left="120"/>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(1)</w:t>
            </w:r>
          </w:p>
        </w:tc>
        <w:tc>
          <w:tcPr>
            <w:tcW w:w="30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300" w:type="dxa"/>
            <w:vAlign w:val="bottom"/>
          </w:tcPr>
          <w:p>
            <w:pPr>
              <w:spacing w:after="0"/>
              <w:rPr>
                <w:sz w:val="14"/>
                <w:szCs w:val="14"/>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280" w:type="dxa"/>
            <w:vAlign w:val="bottom"/>
          </w:tcPr>
          <w:p>
            <w:pPr>
              <w:spacing w:after="0"/>
              <w:rPr>
                <w:sz w:val="14"/>
                <w:szCs w:val="14"/>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(3)</w:t>
            </w:r>
          </w:p>
        </w:tc>
        <w:tc>
          <w:tcPr>
            <w:tcW w:w="300" w:type="dxa"/>
            <w:vAlign w:val="bottom"/>
          </w:tcPr>
          <w:p>
            <w:pPr>
              <w:spacing w:after="0"/>
              <w:rPr>
                <w:sz w:val="14"/>
                <w:szCs w:val="14"/>
                <w:color w:val="auto"/>
              </w:rPr>
            </w:pPr>
          </w:p>
        </w:tc>
        <w:tc>
          <w:tcPr>
            <w:tcW w:w="68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7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Mark Dankberg</w:t>
            </w:r>
          </w:p>
        </w:tc>
        <w:tc>
          <w:tcPr>
            <w:tcW w:w="2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2014</w:t>
            </w: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949,400</w:t>
            </w: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200"/>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2,030,313</w:t>
            </w:r>
          </w:p>
        </w:tc>
        <w:tc>
          <w:tcPr>
            <w:tcW w:w="3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2,350,680</w:t>
            </w:r>
          </w:p>
        </w:tc>
        <w:tc>
          <w:tcPr>
            <w:tcW w:w="3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1,100,000</w:t>
            </w:r>
          </w:p>
        </w:tc>
        <w:tc>
          <w:tcPr>
            <w:tcW w:w="2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25,700</w:t>
            </w:r>
          </w:p>
        </w:tc>
        <w:tc>
          <w:tcPr>
            <w:tcW w:w="3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6,456,093</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Chairman and Chief</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2013</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1,439,912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1,653,707</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850,000</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115,801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4,934,420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Officer</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1,692,140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1,972,930</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900,000</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17,793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5,417,863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60" w:type="dxa"/>
            <w:vAlign w:val="bottom"/>
            <w:gridSpan w:val="2"/>
          </w:tcPr>
          <w:p>
            <w:pPr>
              <w:spacing w:after="0" w:line="138" w:lineRule="exact"/>
              <w:rPr>
                <w:sz w:val="20"/>
                <w:szCs w:val="20"/>
                <w:color w:val="auto"/>
              </w:rPr>
            </w:pPr>
            <w:r>
              <w:rPr>
                <w:rFonts w:ascii="Arial" w:cs="Arial" w:eastAsia="Arial" w:hAnsi="Arial"/>
                <w:sz w:val="14"/>
                <w:szCs w:val="14"/>
                <w:color w:val="auto"/>
              </w:rPr>
              <w:t>Richard Baldridge</w:t>
            </w:r>
          </w:p>
        </w:tc>
        <w:tc>
          <w:tcPr>
            <w:tcW w:w="220" w:type="dxa"/>
            <w:vAlign w:val="bottom"/>
          </w:tcPr>
          <w:p>
            <w:pPr>
              <w:spacing w:after="0"/>
              <w:rPr>
                <w:sz w:val="11"/>
                <w:szCs w:val="11"/>
                <w:color w:val="auto"/>
              </w:rPr>
            </w:pPr>
          </w:p>
        </w:tc>
        <w:tc>
          <w:tcPr>
            <w:tcW w:w="6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2014</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716,000</w:t>
            </w:r>
          </w:p>
        </w:tc>
        <w:tc>
          <w:tcPr>
            <w:tcW w:w="280" w:type="dxa"/>
            <w:vAlign w:val="bottom"/>
          </w:tcPr>
          <w:p>
            <w:pPr>
              <w:spacing w:after="0"/>
              <w:rPr>
                <w:sz w:val="11"/>
                <w:szCs w:val="11"/>
                <w:color w:val="auto"/>
              </w:rPr>
            </w:pPr>
          </w:p>
        </w:tc>
        <w:tc>
          <w:tcPr>
            <w:tcW w:w="6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1,116,663</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1,292,874</w:t>
            </w:r>
          </w:p>
        </w:tc>
        <w:tc>
          <w:tcPr>
            <w:tcW w:w="300" w:type="dxa"/>
            <w:vAlign w:val="bottom"/>
          </w:tcPr>
          <w:p>
            <w:pPr>
              <w:spacing w:after="0"/>
              <w:rPr>
                <w:sz w:val="11"/>
                <w:szCs w:val="11"/>
                <w:color w:val="auto"/>
              </w:rPr>
            </w:pPr>
          </w:p>
        </w:tc>
        <w:tc>
          <w:tcPr>
            <w:tcW w:w="12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825,000</w:t>
            </w:r>
          </w:p>
        </w:tc>
        <w:tc>
          <w:tcPr>
            <w:tcW w:w="130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48,087</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3,998,624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President and Chief</w:t>
            </w:r>
          </w:p>
        </w:tc>
        <w:tc>
          <w:tcPr>
            <w:tcW w:w="8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2013</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660,000</w:t>
            </w:r>
          </w:p>
        </w:tc>
        <w:tc>
          <w:tcPr>
            <w:tcW w:w="280" w:type="dxa"/>
            <w:vAlign w:val="bottom"/>
          </w:tcPr>
          <w:p>
            <w:pPr>
              <w:spacing w:after="0"/>
              <w:rPr>
                <w:sz w:val="12"/>
                <w:szCs w:val="12"/>
                <w:color w:val="auto"/>
              </w:rPr>
            </w:pPr>
          </w:p>
        </w:tc>
        <w:tc>
          <w:tcPr>
            <w:tcW w:w="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746,582</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857,426</w:t>
            </w:r>
          </w:p>
        </w:tc>
        <w:tc>
          <w:tcPr>
            <w:tcW w:w="3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625,000</w:t>
            </w:r>
          </w:p>
        </w:tc>
        <w:tc>
          <w:tcPr>
            <w:tcW w:w="13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11,450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2,900,458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Operating Officer</w:t>
            </w:r>
          </w:p>
        </w:tc>
        <w:tc>
          <w:tcPr>
            <w:tcW w:w="88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2012</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625,000</w:t>
            </w:r>
          </w:p>
        </w:tc>
        <w:tc>
          <w:tcPr>
            <w:tcW w:w="280" w:type="dxa"/>
            <w:vAlign w:val="bottom"/>
          </w:tcPr>
          <w:p>
            <w:pPr>
              <w:spacing w:after="0"/>
              <w:rPr>
                <w:sz w:val="13"/>
                <w:szCs w:val="13"/>
                <w:color w:val="auto"/>
              </w:rPr>
            </w:pPr>
          </w:p>
        </w:tc>
        <w:tc>
          <w:tcPr>
            <w:tcW w:w="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879,468</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1,021,078</w:t>
            </w:r>
          </w:p>
        </w:tc>
        <w:tc>
          <w:tcPr>
            <w:tcW w:w="300" w:type="dxa"/>
            <w:vAlign w:val="bottom"/>
          </w:tcPr>
          <w:p>
            <w:pPr>
              <w:spacing w:after="0"/>
              <w:rPr>
                <w:sz w:val="13"/>
                <w:szCs w:val="13"/>
                <w:color w:val="auto"/>
              </w:rPr>
            </w:pPr>
          </w:p>
        </w:tc>
        <w:tc>
          <w:tcPr>
            <w:tcW w:w="12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650,000</w:t>
            </w:r>
          </w:p>
        </w:tc>
        <w:tc>
          <w:tcPr>
            <w:tcW w:w="13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11,144</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3,186,690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Bruce Dirks (4)</w:t>
            </w:r>
          </w:p>
        </w:tc>
        <w:tc>
          <w:tcPr>
            <w:tcW w:w="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2014</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403,800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531,635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632,779</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175,000</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19,487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1,762,701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Treasury and Corporate</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Development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60" w:type="dxa"/>
            <w:vAlign w:val="bottom"/>
            <w:gridSpan w:val="2"/>
          </w:tcPr>
          <w:p>
            <w:pPr>
              <w:spacing w:after="0" w:line="138" w:lineRule="exact"/>
              <w:rPr>
                <w:sz w:val="20"/>
                <w:szCs w:val="20"/>
                <w:color w:val="auto"/>
              </w:rPr>
            </w:pPr>
            <w:r>
              <w:rPr>
                <w:rFonts w:ascii="Arial" w:cs="Arial" w:eastAsia="Arial" w:hAnsi="Arial"/>
                <w:sz w:val="14"/>
                <w:szCs w:val="14"/>
                <w:color w:val="auto"/>
              </w:rPr>
              <w:t>Shawn Duffy (5)</w:t>
            </w:r>
          </w:p>
        </w:tc>
        <w:tc>
          <w:tcPr>
            <w:tcW w:w="220" w:type="dxa"/>
            <w:vAlign w:val="bottom"/>
          </w:tcPr>
          <w:p>
            <w:pPr>
              <w:spacing w:after="0"/>
              <w:rPr>
                <w:sz w:val="11"/>
                <w:szCs w:val="11"/>
                <w:color w:val="auto"/>
              </w:rPr>
            </w:pPr>
          </w:p>
        </w:tc>
        <w:tc>
          <w:tcPr>
            <w:tcW w:w="6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2014</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336,500</w:t>
            </w:r>
          </w:p>
        </w:tc>
        <w:tc>
          <w:tcPr>
            <w:tcW w:w="280" w:type="dxa"/>
            <w:vAlign w:val="bottom"/>
          </w:tcPr>
          <w:p>
            <w:pPr>
              <w:spacing w:after="0"/>
              <w:rPr>
                <w:sz w:val="11"/>
                <w:szCs w:val="11"/>
                <w:color w:val="auto"/>
              </w:rPr>
            </w:pPr>
          </w:p>
        </w:tc>
        <w:tc>
          <w:tcPr>
            <w:tcW w:w="6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355,288</w:t>
            </w:r>
          </w:p>
        </w:tc>
        <w:tc>
          <w:tcPr>
            <w:tcW w:w="96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411,369</w:t>
            </w:r>
          </w:p>
        </w:tc>
        <w:tc>
          <w:tcPr>
            <w:tcW w:w="12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375,000</w:t>
            </w:r>
          </w:p>
        </w:tc>
        <w:tc>
          <w:tcPr>
            <w:tcW w:w="130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9,463</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1,487,620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8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2013</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275,000</w:t>
            </w:r>
          </w:p>
        </w:tc>
        <w:tc>
          <w:tcPr>
            <w:tcW w:w="280" w:type="dxa"/>
            <w:vAlign w:val="bottom"/>
          </w:tcPr>
          <w:p>
            <w:pPr>
              <w:spacing w:after="0"/>
              <w:rPr>
                <w:sz w:val="12"/>
                <w:szCs w:val="12"/>
                <w:color w:val="auto"/>
              </w:rPr>
            </w:pPr>
          </w:p>
        </w:tc>
        <w:tc>
          <w:tcPr>
            <w:tcW w:w="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217,800</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150,000</w:t>
            </w:r>
          </w:p>
        </w:tc>
        <w:tc>
          <w:tcPr>
            <w:tcW w:w="13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8,675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651,475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Chief Financial Officer</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Keven Lippert</w:t>
            </w:r>
          </w:p>
        </w:tc>
        <w:tc>
          <w:tcPr>
            <w:tcW w:w="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2014</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435,800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406,087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470,136</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425,000</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9,284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1,746,307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Vice President —</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2013</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302,488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347,418</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225,000</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8,914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1,283,820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General Counsel and Secretary</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315,406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367,761</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225,000</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9,627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1,287,794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60" w:type="dxa"/>
            <w:vAlign w:val="bottom"/>
            <w:gridSpan w:val="2"/>
          </w:tcPr>
          <w:p>
            <w:pPr>
              <w:spacing w:after="0" w:line="138" w:lineRule="exact"/>
              <w:rPr>
                <w:sz w:val="20"/>
                <w:szCs w:val="20"/>
                <w:color w:val="auto"/>
              </w:rPr>
            </w:pPr>
            <w:r>
              <w:rPr>
                <w:rFonts w:ascii="Arial" w:cs="Arial" w:eastAsia="Arial" w:hAnsi="Arial"/>
                <w:sz w:val="14"/>
                <w:szCs w:val="14"/>
                <w:color w:val="auto"/>
              </w:rPr>
              <w:t>Ken Peterman</w:t>
            </w:r>
          </w:p>
        </w:tc>
        <w:tc>
          <w:tcPr>
            <w:tcW w:w="220" w:type="dxa"/>
            <w:vAlign w:val="bottom"/>
          </w:tcPr>
          <w:p>
            <w:pPr>
              <w:spacing w:after="0"/>
              <w:rPr>
                <w:sz w:val="11"/>
                <w:szCs w:val="11"/>
                <w:color w:val="auto"/>
              </w:rPr>
            </w:pPr>
          </w:p>
        </w:tc>
        <w:tc>
          <w:tcPr>
            <w:tcW w:w="6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2014</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312,500</w:t>
            </w:r>
          </w:p>
        </w:tc>
        <w:tc>
          <w:tcPr>
            <w:tcW w:w="280" w:type="dxa"/>
            <w:vAlign w:val="bottom"/>
          </w:tcPr>
          <w:p>
            <w:pPr>
              <w:spacing w:after="0"/>
              <w:rPr>
                <w:sz w:val="11"/>
                <w:szCs w:val="11"/>
                <w:color w:val="auto"/>
              </w:rPr>
            </w:pPr>
          </w:p>
        </w:tc>
        <w:tc>
          <w:tcPr>
            <w:tcW w:w="6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577,034</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516,089</w:t>
            </w:r>
          </w:p>
        </w:tc>
        <w:tc>
          <w:tcPr>
            <w:tcW w:w="300" w:type="dxa"/>
            <w:vAlign w:val="bottom"/>
          </w:tcPr>
          <w:p>
            <w:pPr>
              <w:spacing w:after="0"/>
              <w:rPr>
                <w:sz w:val="11"/>
                <w:szCs w:val="11"/>
                <w:color w:val="auto"/>
              </w:rPr>
            </w:pPr>
          </w:p>
        </w:tc>
        <w:tc>
          <w:tcPr>
            <w:tcW w:w="12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250,000</w:t>
            </w:r>
          </w:p>
        </w:tc>
        <w:tc>
          <w:tcPr>
            <w:tcW w:w="130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164,973</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1,820,596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Senior Vice President —</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60" w:type="dxa"/>
            <w:vAlign w:val="bottom"/>
            <w:gridSpan w:val="2"/>
          </w:tcPr>
          <w:p>
            <w:pPr>
              <w:ind w:left="220"/>
              <w:spacing w:after="0"/>
              <w:rPr>
                <w:sz w:val="20"/>
                <w:szCs w:val="20"/>
                <w:color w:val="auto"/>
              </w:rPr>
            </w:pPr>
            <w:r>
              <w:rPr>
                <w:rFonts w:ascii="Arial" w:cs="Arial" w:eastAsia="Arial" w:hAnsi="Arial"/>
                <w:sz w:val="14"/>
                <w:szCs w:val="14"/>
                <w:color w:val="auto"/>
              </w:rPr>
              <w:t>Government Systems</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436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7" w:lineRule="exact"/>
        <w:rPr>
          <w:sz w:val="20"/>
          <w:szCs w:val="20"/>
          <w:color w:val="auto"/>
        </w:rPr>
      </w:pPr>
    </w:p>
    <w:p>
      <w:pPr>
        <w:ind w:left="460" w:right="220" w:hanging="452"/>
        <w:spacing w:after="0" w:line="283"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calculated in accordance with SEC rules, of stock options and restricted stock units granted in fiscal years 2014, 2013 and 2012. These amounts generally reflect the amount that the company expects to expense in its financial statements over the award’s vesting schedule, and do not correspond to the actual value that will be realized by the Named Executive Officers. For additional information on the valuation assumptions used in the calculation of these amounts for the respective year end, refer to note 6 to the financial statements included in our annual report on Form 10-K for the fiscal year ended April 4, 2014, as filed with the SEC.</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amounts paid under our annual bonus program.</w:t>
      </w:r>
    </w:p>
    <w:p>
      <w:pPr>
        <w:spacing w:after="0" w:line="9" w:lineRule="exact"/>
        <w:rPr>
          <w:rFonts w:ascii="Arial" w:cs="Arial" w:eastAsia="Arial" w:hAnsi="Arial"/>
          <w:sz w:val="18"/>
          <w:szCs w:val="18"/>
          <w:color w:val="auto"/>
        </w:rPr>
      </w:pPr>
    </w:p>
    <w:p>
      <w:pPr>
        <w:ind w:left="460" w:right="24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amounts for fiscal year 2014 include the following: reimbursement of club dues for Mr. Dankberg and Mr. Baldridge in the amount of $11,420 and $35,750, respectively; reimbursement of relocation expenses for Mr. Dirks in the amount of $11,612; housing allowance and tax gross-up with respect to the housing allowance for Mr. Peterman in the amount of $108,000 and $53,419, respectively; and matching 401(k) contributions for Mr. Dankberg, Mr. Baldridge, Mr. Dirks, Ms. Duffy, Mr. Lippert and Mr. Peterman in the amount of $10,280, $12,337, $7,875, $9,463, $9,284 and $3,554, respectively.</w:t>
      </w:r>
    </w:p>
    <w:p>
      <w:pPr>
        <w:spacing w:after="0" w:line="2"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Dirks served as Chief Financial Officer from April 26, 2013 to June 17, 2014, whereupon he assumed the position of Senior Vice President—Treasury and Corporate Development.</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Ms. Duffy was appointed Senior Vice President and Chief Financial Officer on June 17,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Year 2014</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grants of plan-based awards to each of the Named Executive Officers during fiscal year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All Other</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Exercise</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60" w:type="dxa"/>
            <w:vAlign w:val="bottom"/>
            <w:gridSpan w:val="7"/>
            <w:vMerge w:val="restart"/>
          </w:tcPr>
          <w:p>
            <w:pPr>
              <w:jc w:val="center"/>
              <w:ind w:right="400"/>
              <w:spacing w:after="0"/>
              <w:rPr>
                <w:sz w:val="20"/>
                <w:szCs w:val="20"/>
                <w:color w:val="auto"/>
              </w:rPr>
            </w:pPr>
            <w:r>
              <w:rPr>
                <w:rFonts w:ascii="Arial" w:cs="Arial" w:eastAsia="Arial" w:hAnsi="Arial"/>
                <w:sz w:val="14"/>
                <w:szCs w:val="14"/>
                <w:b w:val="1"/>
                <w:bCs w:val="1"/>
                <w:color w:val="auto"/>
                <w:w w:val="87"/>
              </w:rPr>
              <w:t>Estimated Future Payouts Under</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or Base</w:t>
            </w: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3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60" w:type="dxa"/>
            <w:vAlign w:val="bottom"/>
            <w:gridSpan w:val="7"/>
            <w:vMerge w:val="continue"/>
          </w:tcPr>
          <w:p>
            <w:pPr>
              <w:spacing w:after="0"/>
              <w:rPr>
                <w:sz w:val="5"/>
                <w:szCs w:val="5"/>
                <w:color w:val="auto"/>
              </w:rPr>
            </w:pPr>
          </w:p>
        </w:tc>
        <w:tc>
          <w:tcPr>
            <w:tcW w:w="9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Number</w:t>
            </w:r>
          </w:p>
        </w:tc>
        <w:tc>
          <w:tcPr>
            <w:tcW w:w="106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Price of</w:t>
            </w:r>
          </w:p>
        </w:tc>
        <w:tc>
          <w:tcPr>
            <w:tcW w:w="6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3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60" w:type="dxa"/>
            <w:vAlign w:val="bottom"/>
            <w:gridSpan w:val="7"/>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9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3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60" w:type="dxa"/>
            <w:vAlign w:val="bottom"/>
            <w:gridSpan w:val="7"/>
            <w:vMerge w:val="continue"/>
          </w:tcPr>
          <w:p>
            <w:pPr>
              <w:spacing w:after="0"/>
              <w:rPr>
                <w:sz w:val="5"/>
                <w:szCs w:val="5"/>
                <w:color w:val="auto"/>
              </w:rPr>
            </w:pPr>
          </w:p>
        </w:tc>
        <w:tc>
          <w:tcPr>
            <w:tcW w:w="9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of Shares</w:t>
            </w:r>
          </w:p>
        </w:tc>
        <w:tc>
          <w:tcPr>
            <w:tcW w:w="106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w:t>
            </w:r>
          </w:p>
        </w:tc>
        <w:tc>
          <w:tcPr>
            <w:tcW w:w="6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3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6"/>
              </w:rPr>
              <w:t>Awards (1)</w:t>
            </w: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of Stock</w:t>
            </w:r>
          </w:p>
        </w:tc>
        <w:tc>
          <w:tcPr>
            <w:tcW w:w="106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35"/>
        </w:trPr>
        <w:tc>
          <w:tcPr>
            <w:tcW w:w="3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8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Grant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5"/>
              </w:rPr>
              <w:t>Threshold</w:t>
            </w:r>
          </w:p>
        </w:tc>
        <w:tc>
          <w:tcPr>
            <w:tcW w:w="22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Target</w:t>
            </w: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Maximum</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or Units</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Options</w:t>
            </w: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($/Sh)</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Date</w:t>
            </w: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20" w:type="dxa"/>
            <w:vAlign w:val="bottom"/>
            <w:gridSpan w:val="2"/>
          </w:tcPr>
          <w:p>
            <w:pPr>
              <w:jc w:val="center"/>
              <w:ind w:left="132"/>
              <w:spacing w:after="0" w:line="14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38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(3)</w:t>
            </w:r>
          </w:p>
        </w:tc>
        <w:tc>
          <w:tcPr>
            <w:tcW w:w="400" w:type="dxa"/>
            <w:vAlign w:val="bottom"/>
          </w:tcPr>
          <w:p>
            <w:pPr>
              <w:spacing w:after="0"/>
              <w:rPr>
                <w:sz w:val="14"/>
                <w:szCs w:val="14"/>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400" w:type="dxa"/>
            <w:vAlign w:val="bottom"/>
          </w:tcPr>
          <w:p>
            <w:pPr>
              <w:spacing w:after="0"/>
              <w:rPr>
                <w:sz w:val="14"/>
                <w:szCs w:val="14"/>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6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Mark Dankberg</w:t>
            </w:r>
          </w:p>
        </w:tc>
        <w:tc>
          <w:tcPr>
            <w:tcW w:w="3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4"/>
              </w:rPr>
              <w:t>915,000</w:t>
            </w:r>
          </w:p>
        </w:tc>
        <w:tc>
          <w:tcPr>
            <w:tcW w:w="3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480"/>
              <w:spacing w:after="0" w:line="136" w:lineRule="exact"/>
              <w:rPr>
                <w:sz w:val="20"/>
                <w:szCs w:val="20"/>
                <w:color w:val="auto"/>
              </w:rPr>
            </w:pPr>
            <w:r>
              <w:rPr>
                <w:rFonts w:ascii="Arial" w:cs="Arial" w:eastAsia="Arial" w:hAnsi="Arial"/>
                <w:sz w:val="14"/>
                <w:szCs w:val="14"/>
                <w:color w:val="auto"/>
                <w:w w:val="71"/>
              </w:rPr>
              <w:t>—</w:t>
            </w:r>
          </w:p>
        </w:tc>
        <w:tc>
          <w:tcPr>
            <w:tcW w:w="4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540"/>
              <w:spacing w:after="0" w:line="136" w:lineRule="exact"/>
              <w:rPr>
                <w:sz w:val="20"/>
                <w:szCs w:val="20"/>
                <w:color w:val="auto"/>
              </w:rPr>
            </w:pPr>
            <w:r>
              <w:rPr>
                <w:rFonts w:ascii="Arial" w:cs="Arial" w:eastAsia="Arial" w:hAnsi="Arial"/>
                <w:sz w:val="14"/>
                <w:szCs w:val="14"/>
                <w:color w:val="auto"/>
                <w:w w:val="71"/>
              </w:rPr>
              <w:t>—</w:t>
            </w:r>
          </w:p>
        </w:tc>
        <w:tc>
          <w:tcPr>
            <w:tcW w:w="4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11/14/2013</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33,333</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2,030,313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11/14/2013</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100,000</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60.91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2,350,680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Richard Baldridge</w:t>
            </w:r>
          </w:p>
        </w:tc>
        <w:tc>
          <w:tcPr>
            <w:tcW w:w="320" w:type="dxa"/>
            <w:vAlign w:val="bottom"/>
          </w:tcPr>
          <w:p>
            <w:pPr>
              <w:spacing w:after="0"/>
              <w:rPr>
                <w:sz w:val="11"/>
                <w:szCs w:val="11"/>
                <w:color w:val="auto"/>
              </w:rPr>
            </w:pP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690,000</w:t>
            </w:r>
          </w:p>
        </w:tc>
        <w:tc>
          <w:tcPr>
            <w:tcW w:w="100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11/14/2013</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18,333</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1,116,663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36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11/14/2013</w:t>
            </w: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55,000</w:t>
            </w:r>
          </w:p>
        </w:tc>
        <w:tc>
          <w:tcPr>
            <w:tcW w:w="8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60.91</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w w:val="93"/>
              </w:rPr>
              <w:t>1,292,874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Bruce Dirks</w:t>
            </w: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195,000</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4/26/2013</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8,000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4/26/2013</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25,000</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47.42</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456,478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11/14/2013</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11/14/2013</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7,500</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60.91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176,301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Shawn Duffy</w:t>
            </w:r>
          </w:p>
        </w:tc>
        <w:tc>
          <w:tcPr>
            <w:tcW w:w="32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195,000</w:t>
            </w:r>
          </w:p>
        </w:tc>
        <w:tc>
          <w:tcPr>
            <w:tcW w:w="100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11/14/2013</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5,833</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355,288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36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11/14/2013</w:t>
            </w: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17,500</w:t>
            </w:r>
          </w:p>
        </w:tc>
        <w:tc>
          <w:tcPr>
            <w:tcW w:w="8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60.91</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411,369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Keven Lippert</w:t>
            </w: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252,000</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11/14/2013</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6,667</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406,087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11/14/2013</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20,000</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60.91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470,136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Ken Peterman</w:t>
            </w:r>
          </w:p>
        </w:tc>
        <w:tc>
          <w:tcPr>
            <w:tcW w:w="320" w:type="dxa"/>
            <w:vAlign w:val="bottom"/>
          </w:tcPr>
          <w:p>
            <w:pPr>
              <w:spacing w:after="0"/>
              <w:rPr>
                <w:sz w:val="11"/>
                <w:szCs w:val="11"/>
                <w:color w:val="auto"/>
              </w:rPr>
            </w:pP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195,000</w:t>
            </w:r>
          </w:p>
        </w:tc>
        <w:tc>
          <w:tcPr>
            <w:tcW w:w="100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4/26/2013</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8,000</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379,360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4/26/2013</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17,000</w:t>
            </w: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47.42</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310,405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11/14/2013</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2,917</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177,674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4"/>
                <w:szCs w:val="14"/>
                <w:color w:val="auto"/>
              </w:rPr>
              <w:t>11/14/2013</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8,750</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60.91</w:t>
            </w:r>
          </w:p>
        </w:tc>
        <w:tc>
          <w:tcPr>
            <w:tcW w:w="600" w:type="dxa"/>
            <w:vAlign w:val="bottom"/>
          </w:tcPr>
          <w:p>
            <w:pPr>
              <w:jc w:val="right"/>
              <w:spacing w:after="0"/>
              <w:rPr>
                <w:sz w:val="20"/>
                <w:szCs w:val="20"/>
                <w:color w:val="auto"/>
              </w:rPr>
            </w:pPr>
            <w:r>
              <w:rPr>
                <w:rFonts w:ascii="Arial" w:cs="Arial" w:eastAsia="Arial" w:hAnsi="Arial"/>
                <w:sz w:val="14"/>
                <w:szCs w:val="14"/>
                <w:color w:val="auto"/>
              </w:rPr>
              <w:t>205,685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436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7" w:lineRule="exact"/>
        <w:rPr>
          <w:sz w:val="20"/>
          <w:szCs w:val="20"/>
          <w:color w:val="auto"/>
        </w:rPr>
      </w:pPr>
    </w:p>
    <w:p>
      <w:pPr>
        <w:ind w:left="460" w:right="200" w:hanging="452"/>
        <w:spacing w:after="0" w:line="284"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target amounts payable under our annual cash bonus program for fiscal year 2014. Actual amounts paid to the Named Executive Officers pursuant to such bonus program are disclosed in the Summary Compensation Table under the column heading Non-Equity Incentive Plan Compensation. The material terms of the bonus program are described in the Compensation Discussion and Analysis section.</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Restricted stock unit awards vest in four equal annual installments over the course of four years measured from the grant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vest and become exercisable in four equal annual installments over the course of four years measured from the grant date.</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exercise price for option awards is the fair market value per share of our common stock, which is defined under our 1996 Equity Participation Plan as the closing price per share on the grant date.</w:t>
      </w:r>
    </w:p>
    <w:p>
      <w:pPr>
        <w:ind w:left="460" w:hanging="452"/>
        <w:spacing w:after="0" w:line="295"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column represents the grant date fair value, calculated in accordance with SEC rules, of each equity award. These amounts generally reflect the amount that the company expects to expense in its financial statements over the award’s vesting schedule, and do not correspond to the actual value that will be realized by the Named Executive Officers. For additional information on the valuation assumptions used in the calculation of these amounts, refer to note 6 to the financial statements included in our annual report on Form 10-K for the fiscal year ended April 4, 2014, as filed with the SEC.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2014 Fiscal Year 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all outstanding equity awards held by each of the Named Executive Officers as of April 4, 2014.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ind w:left="240"/>
              <w:spacing w:after="0" w:line="129" w:lineRule="exact"/>
              <w:rPr>
                <w:sz w:val="20"/>
                <w:szCs w:val="20"/>
                <w:color w:val="auto"/>
              </w:rPr>
            </w:pPr>
            <w:r>
              <w:rPr>
                <w:rFonts w:ascii="Arial" w:cs="Arial" w:eastAsia="Arial" w:hAnsi="Arial"/>
                <w:sz w:val="14"/>
                <w:szCs w:val="14"/>
                <w:b w:val="1"/>
                <w:bCs w:val="1"/>
                <w:color w:val="auto"/>
              </w:rPr>
              <w:t>Equity Incentive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Market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or</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Equity</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Incentive</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Market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3"/>
              </w:rPr>
              <w:t>Unearned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Plan</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Value of</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Unearned</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Shares or</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Shares,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or Units</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Units of</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Units or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5"/>
              </w:rPr>
              <w:t>of</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of Stock</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Rights</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That</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That</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Rights</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Have</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Have</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That Have</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2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Option</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Not</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Not</w:t>
            </w:r>
          </w:p>
        </w:tc>
        <w:tc>
          <w:tcPr>
            <w:tcW w:w="0" w:type="dxa"/>
            <w:vAlign w:val="bottom"/>
          </w:tcPr>
          <w:p>
            <w:pPr>
              <w:spacing w:after="0"/>
              <w:rPr>
                <w:sz w:val="1"/>
                <w:szCs w:val="1"/>
                <w:color w:val="auto"/>
              </w:rPr>
            </w:pPr>
          </w:p>
        </w:tc>
      </w:tr>
      <w:tr>
        <w:trPr>
          <w:trHeight w:val="41"/>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96"/>
              </w:rPr>
              <w:t>Grant</w:t>
            </w:r>
          </w:p>
        </w:tc>
        <w:tc>
          <w:tcPr>
            <w:tcW w:w="1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9"/>
              </w:rPr>
              <w:t>Unearned</w:t>
            </w:r>
          </w:p>
        </w:tc>
        <w:tc>
          <w:tcPr>
            <w:tcW w:w="740" w:type="dxa"/>
            <w:vAlign w:val="bottom"/>
            <w:gridSpan w:val="2"/>
            <w:vMerge w:val="restart"/>
          </w:tcPr>
          <w:p>
            <w:pPr>
              <w:jc w:val="right"/>
              <w:ind w:right="240"/>
              <w:spacing w:after="0" w:line="136"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93"/>
              </w:rPr>
              <w:t>Expiration</w:t>
            </w:r>
          </w:p>
        </w:tc>
        <w:tc>
          <w:tcPr>
            <w:tcW w:w="720" w:type="dxa"/>
            <w:vAlign w:val="bottom"/>
            <w:gridSpan w:val="2"/>
            <w:vMerge w:val="restart"/>
          </w:tcPr>
          <w:p>
            <w:pPr>
              <w:jc w:val="center"/>
              <w:ind w:right="260"/>
              <w:spacing w:after="0" w:line="136" w:lineRule="exact"/>
              <w:rPr>
                <w:sz w:val="20"/>
                <w:szCs w:val="20"/>
                <w:color w:val="auto"/>
              </w:rPr>
            </w:pPr>
            <w:r>
              <w:rPr>
                <w:rFonts w:ascii="Arial" w:cs="Arial" w:eastAsia="Arial" w:hAnsi="Arial"/>
                <w:sz w:val="14"/>
                <w:szCs w:val="14"/>
                <w:b w:val="1"/>
                <w:bCs w:val="1"/>
                <w:color w:val="auto"/>
                <w:w w:val="82"/>
              </w:rPr>
              <w:t>Vested</w:t>
            </w:r>
          </w:p>
        </w:tc>
        <w:tc>
          <w:tcPr>
            <w:tcW w:w="82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2"/>
              </w:rPr>
              <w:t>Vested</w:t>
            </w:r>
          </w:p>
        </w:tc>
        <w:tc>
          <w:tcPr>
            <w:tcW w:w="880" w:type="dxa"/>
            <w:vAlign w:val="bottom"/>
            <w:gridSpan w:val="2"/>
            <w:vMerge w:val="restart"/>
          </w:tcPr>
          <w:p>
            <w:pPr>
              <w:jc w:val="center"/>
              <w:ind w:right="260"/>
              <w:spacing w:after="0" w:line="136" w:lineRule="exact"/>
              <w:rPr>
                <w:sz w:val="20"/>
                <w:szCs w:val="20"/>
                <w:color w:val="auto"/>
              </w:rPr>
            </w:pPr>
            <w:r>
              <w:rPr>
                <w:rFonts w:ascii="Arial" w:cs="Arial" w:eastAsia="Arial" w:hAnsi="Arial"/>
                <w:sz w:val="14"/>
                <w:szCs w:val="14"/>
                <w:b w:val="1"/>
                <w:bCs w:val="1"/>
                <w:color w:val="auto"/>
                <w:w w:val="82"/>
              </w:rPr>
              <w:t>Vested</w:t>
            </w:r>
          </w:p>
        </w:tc>
        <w:tc>
          <w:tcPr>
            <w:tcW w:w="640" w:type="dxa"/>
            <w:vAlign w:val="bottom"/>
            <w:gridSpan w:val="2"/>
            <w:vMerge w:val="restart"/>
          </w:tcPr>
          <w:p>
            <w:pPr>
              <w:jc w:val="center"/>
              <w:ind w:right="60"/>
              <w:spacing w:after="0" w:line="136"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75"/>
        </w:trPr>
        <w:tc>
          <w:tcPr>
            <w:tcW w:w="2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Date</w:t>
            </w:r>
          </w:p>
        </w:tc>
        <w:tc>
          <w:tcPr>
            <w:tcW w:w="180" w:type="dxa"/>
            <w:vAlign w:val="bottom"/>
          </w:tcPr>
          <w:p>
            <w:pPr>
              <w:spacing w:after="0"/>
              <w:rPr>
                <w:sz w:val="12"/>
                <w:szCs w:val="12"/>
                <w:color w:val="auto"/>
              </w:rPr>
            </w:pPr>
          </w:p>
        </w:tc>
        <w:tc>
          <w:tcPr>
            <w:tcW w:w="7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2"/>
              </w:rPr>
              <w:t>Exercisable</w:t>
            </w:r>
          </w:p>
        </w:tc>
        <w:tc>
          <w:tcPr>
            <w:tcW w:w="180" w:type="dxa"/>
            <w:vAlign w:val="bottom"/>
          </w:tcPr>
          <w:p>
            <w:pPr>
              <w:spacing w:after="0"/>
              <w:rPr>
                <w:sz w:val="12"/>
                <w:szCs w:val="12"/>
                <w:color w:val="auto"/>
              </w:rPr>
            </w:pPr>
          </w:p>
        </w:tc>
        <w:tc>
          <w:tcPr>
            <w:tcW w:w="10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4"/>
              </w:rPr>
              <w:t>Unexercisable (1)</w:t>
            </w: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Options (#)</w:t>
            </w:r>
          </w:p>
        </w:tc>
        <w:tc>
          <w:tcPr>
            <w:tcW w:w="74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86"/>
              </w:rPr>
              <w:t xml:space="preserve">Price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9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24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(3)</w:t>
            </w:r>
          </w:p>
        </w:tc>
        <w:tc>
          <w:tcPr>
            <w:tcW w:w="24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4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Mark Dankberg</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w w:val="91"/>
              </w:rPr>
              <w:t>12/16/2004</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80,000</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ind w:left="600"/>
              <w:spacing w:after="0" w:line="136"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21.02</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4"/>
              </w:rPr>
              <w:t>12/16/2014</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ind w:left="500"/>
              <w:spacing w:after="0" w:line="136" w:lineRule="exact"/>
              <w:rPr>
                <w:sz w:val="20"/>
                <w:szCs w:val="20"/>
                <w:color w:val="auto"/>
              </w:rPr>
            </w:pPr>
            <w:r>
              <w:rPr>
                <w:rFonts w:ascii="Arial" w:cs="Arial" w:eastAsia="Arial" w:hAnsi="Arial"/>
                <w:sz w:val="14"/>
                <w:szCs w:val="14"/>
                <w:color w:val="auto"/>
                <w:w w:val="71"/>
              </w:rPr>
              <w:t>—</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5/28/2008</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90,000</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20.30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5/28/2014</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11/10/2009</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150,000</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29.45</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11/10/2015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11/10/2010</w:t>
            </w: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78,750</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26,250</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41.52</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11/10/2016</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11/10/2011</w:t>
            </w: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57,000</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57,000</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44.53</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11/10/2017</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11/12/2012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29,750</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89,250</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36.30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11/12/2018</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11/14/2013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60.91</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11/14/2019</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11/10/2010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571,025</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11/10/2011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1,239,940</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11/12/2012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29,750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1,941,485</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11/14/2013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33,333</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2,175,312</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480" w:type="dxa"/>
            <w:vAlign w:val="bottom"/>
            <w:gridSpan w:val="2"/>
          </w:tcPr>
          <w:p>
            <w:pPr>
              <w:spacing w:after="0" w:line="138" w:lineRule="exact"/>
              <w:rPr>
                <w:sz w:val="20"/>
                <w:szCs w:val="20"/>
                <w:color w:val="auto"/>
              </w:rPr>
            </w:pPr>
            <w:r>
              <w:rPr>
                <w:rFonts w:ascii="Arial" w:cs="Arial" w:eastAsia="Arial" w:hAnsi="Arial"/>
                <w:sz w:val="14"/>
                <w:szCs w:val="14"/>
                <w:color w:val="auto"/>
              </w:rPr>
              <w:t>Richard Baldridge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85"/>
              </w:rPr>
              <w:t>12/16/2004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55,000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8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21.02</w:t>
            </w:r>
          </w:p>
        </w:tc>
        <w:tc>
          <w:tcPr>
            <w:tcW w:w="9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4"/>
              </w:rPr>
              <w:t>12/16/2014</w:t>
            </w:r>
          </w:p>
        </w:tc>
        <w:tc>
          <w:tcPr>
            <w:tcW w:w="7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5/28/2008</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52,500</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5/28/2014</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11/10/2009</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75,000</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29.45</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11/10/2015</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11/10/2010</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41,250</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13,750</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41.52</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11/10/2016</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11/10/2011</w:t>
            </w:r>
          </w:p>
        </w:tc>
        <w:tc>
          <w:tcPr>
            <w:tcW w:w="6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29,500</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29,500</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44.53</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11/10/2017</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11/12/2012</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15,425</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46,275</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36.30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11/12/2018</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11/14/2013</w:t>
            </w: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55,000</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60.91</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11/14/2019</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11/10/2010</w:t>
            </w: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4,583</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299,087</w:t>
            </w:r>
          </w:p>
        </w:tc>
        <w:tc>
          <w:tcPr>
            <w:tcW w:w="240" w:type="dxa"/>
            <w:vAlign w:val="bottom"/>
          </w:tcPr>
          <w:p>
            <w:pPr>
              <w:spacing w:after="0"/>
              <w:rPr>
                <w:sz w:val="12"/>
                <w:szCs w:val="12"/>
                <w:color w:val="auto"/>
              </w:rPr>
            </w:pP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11/10/2011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9,874</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644,377</w:t>
            </w:r>
          </w:p>
        </w:tc>
        <w:tc>
          <w:tcPr>
            <w:tcW w:w="240" w:type="dxa"/>
            <w:vAlign w:val="bottom"/>
          </w:tcPr>
          <w:p>
            <w:pPr>
              <w:spacing w:after="0"/>
              <w:rPr>
                <w:sz w:val="12"/>
                <w:szCs w:val="12"/>
                <w:color w:val="auto"/>
              </w:rPr>
            </w:pP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11/12/2012</w:t>
            </w: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15,425</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1,006,636</w:t>
            </w:r>
          </w:p>
        </w:tc>
        <w:tc>
          <w:tcPr>
            <w:tcW w:w="240" w:type="dxa"/>
            <w:vAlign w:val="bottom"/>
          </w:tcPr>
          <w:p>
            <w:pPr>
              <w:spacing w:after="0"/>
              <w:rPr>
                <w:sz w:val="12"/>
                <w:szCs w:val="12"/>
                <w:color w:val="auto"/>
              </w:rPr>
            </w:pP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00" w:type="dxa"/>
            <w:vAlign w:val="bottom"/>
            <w:gridSpan w:val="4"/>
          </w:tcPr>
          <w:p>
            <w:pPr>
              <w:jc w:val="right"/>
              <w:ind w:right="60"/>
              <w:spacing w:after="0" w:line="159" w:lineRule="exact"/>
              <w:rPr>
                <w:sz w:val="20"/>
                <w:szCs w:val="20"/>
                <w:color w:val="auto"/>
              </w:rPr>
            </w:pPr>
            <w:r>
              <w:rPr>
                <w:rFonts w:ascii="Arial" w:cs="Arial" w:eastAsia="Arial" w:hAnsi="Arial"/>
                <w:sz w:val="14"/>
                <w:szCs w:val="14"/>
                <w:color w:val="auto"/>
              </w:rPr>
              <w:t>11/14/2013</w:t>
            </w: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18,333</w:t>
            </w:r>
          </w:p>
        </w:tc>
        <w:tc>
          <w:tcPr>
            <w:tcW w:w="2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1,196,412</w:t>
            </w:r>
          </w:p>
        </w:tc>
        <w:tc>
          <w:tcPr>
            <w:tcW w:w="240" w:type="dxa"/>
            <w:vAlign w:val="bottom"/>
          </w:tcPr>
          <w:p>
            <w:pPr>
              <w:spacing w:after="0"/>
              <w:rPr>
                <w:sz w:val="13"/>
                <w:szCs w:val="13"/>
                <w:color w:val="auto"/>
              </w:rPr>
            </w:pPr>
          </w:p>
        </w:tc>
        <w:tc>
          <w:tcPr>
            <w:tcW w:w="8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Bruce Dirks</w:t>
            </w:r>
          </w:p>
        </w:tc>
        <w:tc>
          <w:tcPr>
            <w:tcW w:w="9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4/26/2013</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47.42</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4/26/2019</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11/14/2013</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60.91</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11/14/2019</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4/26/2013</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522,080</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11/14/2013</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163,150</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480" w:type="dxa"/>
            <w:vAlign w:val="bottom"/>
            <w:gridSpan w:val="2"/>
          </w:tcPr>
          <w:p>
            <w:pPr>
              <w:spacing w:after="0" w:line="138" w:lineRule="exact"/>
              <w:rPr>
                <w:sz w:val="20"/>
                <w:szCs w:val="20"/>
                <w:color w:val="auto"/>
              </w:rPr>
            </w:pPr>
            <w:r>
              <w:rPr>
                <w:rFonts w:ascii="Arial" w:cs="Arial" w:eastAsia="Arial" w:hAnsi="Arial"/>
                <w:sz w:val="14"/>
                <w:szCs w:val="14"/>
                <w:color w:val="auto"/>
              </w:rPr>
              <w:t>Shawn Duffy</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w w:val="85"/>
              </w:rPr>
              <w:t>11/14/2013</w:t>
            </w:r>
          </w:p>
        </w:tc>
        <w:tc>
          <w:tcPr>
            <w:tcW w:w="1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17,500</w:t>
            </w:r>
          </w:p>
        </w:tc>
        <w:tc>
          <w:tcPr>
            <w:tcW w:w="240" w:type="dxa"/>
            <w:vAlign w:val="bottom"/>
          </w:tcPr>
          <w:p>
            <w:pPr>
              <w:spacing w:after="0"/>
              <w:rPr>
                <w:sz w:val="11"/>
                <w:szCs w:val="11"/>
                <w:color w:val="auto"/>
              </w:rPr>
            </w:pPr>
          </w:p>
        </w:tc>
        <w:tc>
          <w:tcPr>
            <w:tcW w:w="98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60.91</w:t>
            </w:r>
          </w:p>
        </w:tc>
        <w:tc>
          <w:tcPr>
            <w:tcW w:w="9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4"/>
              </w:rPr>
              <w:t>11/14/2019</w:t>
            </w:r>
          </w:p>
        </w:tc>
        <w:tc>
          <w:tcPr>
            <w:tcW w:w="7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11/10/2010</w:t>
            </w: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65,260</w:t>
            </w:r>
          </w:p>
        </w:tc>
        <w:tc>
          <w:tcPr>
            <w:tcW w:w="240" w:type="dxa"/>
            <w:vAlign w:val="bottom"/>
          </w:tcPr>
          <w:p>
            <w:pPr>
              <w:spacing w:after="0"/>
              <w:rPr>
                <w:sz w:val="12"/>
                <w:szCs w:val="12"/>
                <w:color w:val="auto"/>
              </w:rPr>
            </w:pP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11/10/2011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130,520</w:t>
            </w:r>
          </w:p>
        </w:tc>
        <w:tc>
          <w:tcPr>
            <w:tcW w:w="240" w:type="dxa"/>
            <w:vAlign w:val="bottom"/>
          </w:tcPr>
          <w:p>
            <w:pPr>
              <w:spacing w:after="0"/>
              <w:rPr>
                <w:sz w:val="12"/>
                <w:szCs w:val="12"/>
                <w:color w:val="auto"/>
              </w:rPr>
            </w:pP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11/12/2012</w:t>
            </w: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4,500</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293,670</w:t>
            </w:r>
          </w:p>
        </w:tc>
        <w:tc>
          <w:tcPr>
            <w:tcW w:w="240" w:type="dxa"/>
            <w:vAlign w:val="bottom"/>
          </w:tcPr>
          <w:p>
            <w:pPr>
              <w:spacing w:after="0"/>
              <w:rPr>
                <w:sz w:val="12"/>
                <w:szCs w:val="12"/>
                <w:color w:val="auto"/>
              </w:rPr>
            </w:pP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00" w:type="dxa"/>
            <w:vAlign w:val="bottom"/>
            <w:gridSpan w:val="4"/>
          </w:tcPr>
          <w:p>
            <w:pPr>
              <w:jc w:val="right"/>
              <w:ind w:right="60"/>
              <w:spacing w:after="0" w:line="159" w:lineRule="exact"/>
              <w:rPr>
                <w:sz w:val="20"/>
                <w:szCs w:val="20"/>
                <w:color w:val="auto"/>
              </w:rPr>
            </w:pPr>
            <w:r>
              <w:rPr>
                <w:rFonts w:ascii="Arial" w:cs="Arial" w:eastAsia="Arial" w:hAnsi="Arial"/>
                <w:sz w:val="14"/>
                <w:szCs w:val="14"/>
                <w:color w:val="auto"/>
              </w:rPr>
              <w:t>11/14/2013</w:t>
            </w: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5,833</w:t>
            </w:r>
          </w:p>
        </w:tc>
        <w:tc>
          <w:tcPr>
            <w:tcW w:w="2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380,662</w:t>
            </w:r>
          </w:p>
        </w:tc>
        <w:tc>
          <w:tcPr>
            <w:tcW w:w="240" w:type="dxa"/>
            <w:vAlign w:val="bottom"/>
          </w:tcPr>
          <w:p>
            <w:pPr>
              <w:spacing w:after="0"/>
              <w:rPr>
                <w:sz w:val="13"/>
                <w:szCs w:val="13"/>
                <w:color w:val="auto"/>
              </w:rPr>
            </w:pPr>
          </w:p>
        </w:tc>
        <w:tc>
          <w:tcPr>
            <w:tcW w:w="8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Keven Lippert</w:t>
            </w:r>
          </w:p>
        </w:tc>
        <w:tc>
          <w:tcPr>
            <w:tcW w:w="9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11/10/2009</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20,700</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29.45</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11/10/2015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11/10/2010</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14,063</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4,687</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41.52</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11/10/2016</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11/10/2011</w:t>
            </w: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10,626</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10,624</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44.53</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11/10/2017</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11/12/2012</w:t>
            </w: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6,250</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18,750</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36.30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11/12/2018</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11/14/2013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60.91</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11/14/2019</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11/10/2010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1,562</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101,936</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11/10/2011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3,541</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231,086</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11/12/2012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6,249</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407,810</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11/14/2013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6,667</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435,088</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480" w:type="dxa"/>
            <w:vAlign w:val="bottom"/>
            <w:gridSpan w:val="2"/>
          </w:tcPr>
          <w:p>
            <w:pPr>
              <w:spacing w:after="0" w:line="138" w:lineRule="exact"/>
              <w:rPr>
                <w:sz w:val="20"/>
                <w:szCs w:val="20"/>
                <w:color w:val="auto"/>
              </w:rPr>
            </w:pPr>
            <w:r>
              <w:rPr>
                <w:rFonts w:ascii="Arial" w:cs="Arial" w:eastAsia="Arial" w:hAnsi="Arial"/>
                <w:sz w:val="14"/>
                <w:szCs w:val="14"/>
                <w:color w:val="auto"/>
              </w:rPr>
              <w:t>Ken Peterman</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4/26/2013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1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17,000</w:t>
            </w:r>
          </w:p>
        </w:tc>
        <w:tc>
          <w:tcPr>
            <w:tcW w:w="240" w:type="dxa"/>
            <w:vAlign w:val="bottom"/>
          </w:tcPr>
          <w:p>
            <w:pPr>
              <w:spacing w:after="0"/>
              <w:rPr>
                <w:sz w:val="11"/>
                <w:szCs w:val="11"/>
                <w:color w:val="auto"/>
              </w:rPr>
            </w:pPr>
          </w:p>
        </w:tc>
        <w:tc>
          <w:tcPr>
            <w:tcW w:w="98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47.42</w:t>
            </w:r>
          </w:p>
        </w:tc>
        <w:tc>
          <w:tcPr>
            <w:tcW w:w="9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4/26/2019</w:t>
            </w:r>
          </w:p>
        </w:tc>
        <w:tc>
          <w:tcPr>
            <w:tcW w:w="7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11/14/2013</w:t>
            </w: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8,750</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60.91</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11/14/2019</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4/26/2013</w:t>
            </w: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8,000</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562,080</w:t>
            </w:r>
          </w:p>
        </w:tc>
        <w:tc>
          <w:tcPr>
            <w:tcW w:w="240" w:type="dxa"/>
            <w:vAlign w:val="bottom"/>
          </w:tcPr>
          <w:p>
            <w:pPr>
              <w:spacing w:after="0"/>
              <w:rPr>
                <w:sz w:val="12"/>
                <w:szCs w:val="12"/>
                <w:color w:val="auto"/>
              </w:rPr>
            </w:pPr>
          </w:p>
        </w:tc>
        <w:tc>
          <w:tcPr>
            <w:tcW w:w="8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4"/>
                <w:szCs w:val="14"/>
                <w:color w:val="auto"/>
              </w:rPr>
              <w:t>11/14/2013</w:t>
            </w:r>
          </w:p>
        </w:tc>
        <w:tc>
          <w:tcPr>
            <w:tcW w:w="1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2,917</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190,363</w:t>
            </w:r>
          </w:p>
        </w:tc>
        <w:tc>
          <w:tcPr>
            <w:tcW w:w="240" w:type="dxa"/>
            <w:vAlign w:val="bottom"/>
          </w:tcPr>
          <w:p>
            <w:pPr>
              <w:spacing w:after="0"/>
              <w:rPr>
                <w:sz w:val="14"/>
                <w:szCs w:val="14"/>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436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7" w:lineRule="exact"/>
        <w:rPr>
          <w:sz w:val="20"/>
          <w:szCs w:val="20"/>
          <w:color w:val="auto"/>
        </w:rPr>
      </w:pPr>
    </w:p>
    <w:p>
      <w:pPr>
        <w:ind w:left="5620" w:right="1820" w:hanging="5612"/>
        <w:spacing w:after="0" w:line="440" w:lineRule="auto"/>
        <w:tabs>
          <w:tab w:leader="none" w:pos="4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Options vest and become exercisable in four equal annual installments over the course of four years measured from the grant date. 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unit awards vest in four equal annual installments over the course of four years measured from the grant date.</w:t>
      </w:r>
    </w:p>
    <w:p>
      <w:pPr>
        <w:spacing w:after="0" w:line="15" w:lineRule="exact"/>
        <w:rPr>
          <w:rFonts w:ascii="Arial" w:cs="Arial" w:eastAsia="Arial" w:hAnsi="Arial"/>
          <w:sz w:val="18"/>
          <w:szCs w:val="18"/>
          <w:color w:val="auto"/>
        </w:rPr>
      </w:pPr>
    </w:p>
    <w:p>
      <w:pPr>
        <w:ind w:left="460" w:right="500" w:hanging="452"/>
        <w:spacing w:after="0" w:line="26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Computed by multiplying the market price of our common stock ($65.26) on April 4, 2014 (the last day of fiscal year 2014) by the number of shares subject to such stock award.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Year 2014</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provides information concerning exercises of stock options by and stock awards vested for each of the Named Executive Officers during fiscal year 2014.</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76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w w:val="94"/>
              </w:rPr>
              <w:t>Stock Awards</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78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Value</w:t>
            </w:r>
          </w:p>
        </w:tc>
        <w:tc>
          <w:tcPr>
            <w:tcW w:w="800" w:type="dxa"/>
            <w:vAlign w:val="bottom"/>
          </w:tcPr>
          <w:p>
            <w:pPr>
              <w:spacing w:after="0"/>
              <w:rPr>
                <w:sz w:val="11"/>
                <w:szCs w:val="11"/>
                <w:color w:val="auto"/>
              </w:rPr>
            </w:pPr>
          </w:p>
        </w:tc>
        <w:tc>
          <w:tcPr>
            <w:tcW w:w="176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91"/>
              </w:rPr>
              <w:t>Number of</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5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Realized on</w:t>
            </w:r>
          </w:p>
        </w:tc>
        <w:tc>
          <w:tcPr>
            <w:tcW w:w="17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Realized 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160" w:type="dxa"/>
            <w:vAlign w:val="bottom"/>
            <w:vMerge w:val="restart"/>
          </w:tcPr>
          <w:p>
            <w:pPr>
              <w:spacing w:after="0"/>
              <w:rPr>
                <w:sz w:val="12"/>
                <w:szCs w:val="12"/>
                <w:color w:val="auto"/>
              </w:rPr>
            </w:pP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5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Exercise</w:t>
            </w:r>
          </w:p>
        </w:tc>
        <w:tc>
          <w:tcPr>
            <w:tcW w:w="17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on Vesting</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160" w:type="dxa"/>
            <w:vAlign w:val="bottom"/>
            <w:vMerge w:val="continue"/>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800" w:type="dxa"/>
            <w:vAlign w:val="bottom"/>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w:t>
            </w:r>
          </w:p>
        </w:tc>
        <w:tc>
          <w:tcPr>
            <w:tcW w:w="8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2,829,825</w:t>
            </w:r>
          </w:p>
        </w:tc>
        <w:tc>
          <w:tcPr>
            <w:tcW w:w="8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40,667</w:t>
            </w:r>
          </w:p>
        </w:tc>
        <w:tc>
          <w:tcPr>
            <w:tcW w:w="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2,578,989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960" w:type="dxa"/>
            <w:vAlign w:val="bottom"/>
          </w:tcPr>
          <w:p>
            <w:pPr>
              <w:jc w:val="right"/>
              <w:spacing w:after="0"/>
              <w:rPr>
                <w:sz w:val="20"/>
                <w:szCs w:val="20"/>
                <w:color w:val="auto"/>
              </w:rPr>
            </w:pPr>
            <w:r>
              <w:rPr>
                <w:rFonts w:ascii="Arial" w:cs="Arial" w:eastAsia="Arial" w:hAnsi="Arial"/>
                <w:sz w:val="18"/>
                <w:szCs w:val="18"/>
                <w:color w:val="auto"/>
              </w:rPr>
              <w:t>45,000</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2,372,445</w:t>
            </w:r>
          </w:p>
        </w:tc>
        <w:tc>
          <w:tcPr>
            <w:tcW w:w="8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20,913</w:t>
            </w:r>
          </w:p>
        </w:tc>
        <w:tc>
          <w:tcPr>
            <w:tcW w:w="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1,326,075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Dirks</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4,500</w:t>
            </w:r>
          </w:p>
        </w:tc>
        <w:tc>
          <w:tcPr>
            <w:tcW w:w="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339,300</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value realized equals the difference between the market price of our common stock on the date of exercise and the option exercise price, multiplied by the number of shares for which the option was exercised.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following table provides information as of April 4, 2014 with respect to shares of ViaSat common stock that may be issued under existing equity compensation plans. In accordance with the rules promulgated by the SEC, the table does not include information with respect to shares subject to outstanding awards granted under equity compensation arrangements assumed by us in connection with mergers and acquisitions of the companies that originally granted those awards.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160" w:type="dxa"/>
            <w:vAlign w:val="bottom"/>
          </w:tcPr>
          <w:p>
            <w:pPr>
              <w:spacing w:after="0"/>
              <w:rPr>
                <w:sz w:val="14"/>
                <w:szCs w:val="14"/>
                <w:color w:val="auto"/>
              </w:rPr>
            </w:pPr>
          </w:p>
        </w:tc>
        <w:tc>
          <w:tcPr>
            <w:tcW w:w="224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9"/>
              </w:rPr>
              <w:t>(b)</w:t>
            </w: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116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Issued Upon</w:t>
            </w:r>
          </w:p>
        </w:tc>
        <w:tc>
          <w:tcPr>
            <w:tcW w:w="1160" w:type="dxa"/>
            <w:vAlign w:val="bottom"/>
          </w:tcPr>
          <w:p>
            <w:pPr>
              <w:spacing w:after="0"/>
              <w:rPr>
                <w:sz w:val="12"/>
                <w:szCs w:val="12"/>
                <w:color w:val="auto"/>
              </w:rPr>
            </w:pPr>
          </w:p>
        </w:tc>
        <w:tc>
          <w:tcPr>
            <w:tcW w:w="22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160" w:type="dxa"/>
            <w:vAlign w:val="bottom"/>
          </w:tcPr>
          <w:p>
            <w:pPr>
              <w:spacing w:after="0"/>
              <w:rPr>
                <w:sz w:val="12"/>
                <w:szCs w:val="12"/>
                <w:color w:val="auto"/>
              </w:rPr>
            </w:pPr>
          </w:p>
        </w:tc>
        <w:tc>
          <w:tcPr>
            <w:tcW w:w="22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Future Issuance Under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160" w:type="dxa"/>
            <w:vAlign w:val="bottom"/>
          </w:tcPr>
          <w:p>
            <w:pPr>
              <w:spacing w:after="0"/>
              <w:rPr>
                <w:sz w:val="12"/>
                <w:szCs w:val="12"/>
                <w:color w:val="auto"/>
              </w:rPr>
            </w:pPr>
          </w:p>
        </w:tc>
        <w:tc>
          <w:tcPr>
            <w:tcW w:w="22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Equity Compensation Plans</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140" w:type="dxa"/>
            <w:vAlign w:val="bottom"/>
            <w:gridSpan w:val="2"/>
            <w:vMerge w:val="restart"/>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160" w:type="dxa"/>
            <w:vAlign w:val="bottom"/>
          </w:tcPr>
          <w:p>
            <w:pPr>
              <w:spacing w:after="0"/>
              <w:rPr>
                <w:sz w:val="12"/>
                <w:szCs w:val="12"/>
                <w:color w:val="auto"/>
              </w:rPr>
            </w:pPr>
          </w:p>
        </w:tc>
        <w:tc>
          <w:tcPr>
            <w:tcW w:w="22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140" w:type="dxa"/>
            <w:vAlign w:val="bottom"/>
            <w:gridSpan w:val="2"/>
            <w:vMerge w:val="continue"/>
          </w:tcPr>
          <w:p>
            <w:pPr>
              <w:spacing w:after="0"/>
              <w:rPr>
                <w:sz w:val="14"/>
                <w:szCs w:val="14"/>
                <w:color w:val="auto"/>
              </w:rPr>
            </w:pPr>
          </w:p>
        </w:tc>
        <w:tc>
          <w:tcPr>
            <w:tcW w:w="12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and Rights (#) (1) (2)</w:t>
            </w:r>
          </w:p>
        </w:tc>
        <w:tc>
          <w:tcPr>
            <w:tcW w:w="1160" w:type="dxa"/>
            <w:vAlign w:val="bottom"/>
          </w:tcPr>
          <w:p>
            <w:pPr>
              <w:spacing w:after="0"/>
              <w:rPr>
                <w:sz w:val="14"/>
                <w:szCs w:val="14"/>
                <w:color w:val="auto"/>
              </w:rPr>
            </w:pPr>
          </w:p>
        </w:tc>
        <w:tc>
          <w:tcPr>
            <w:tcW w:w="2240" w:type="dxa"/>
            <w:vAlign w:val="bottom"/>
            <w:gridSpan w:val="2"/>
          </w:tcPr>
          <w:p>
            <w:pPr>
              <w:jc w:val="center"/>
              <w:ind w:right="1160"/>
              <w:spacing w:after="0" w:line="148" w:lineRule="exact"/>
              <w:rPr>
                <w:sz w:val="20"/>
                <w:szCs w:val="20"/>
                <w:color w:val="auto"/>
              </w:rPr>
            </w:pPr>
            <w:r>
              <w:rPr>
                <w:rFonts w:ascii="Arial" w:cs="Arial" w:eastAsia="Arial" w:hAnsi="Arial"/>
                <w:sz w:val="14"/>
                <w:szCs w:val="14"/>
                <w:b w:val="1"/>
                <w:bCs w:val="1"/>
                <w:color w:val="auto"/>
                <w:w w:val="87"/>
              </w:rPr>
              <w:t>and Rights ($) (3)</w:t>
            </w:r>
          </w:p>
        </w:tc>
        <w:tc>
          <w:tcPr>
            <w:tcW w:w="18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Reflected in Column (a)) (#)</w:t>
            </w: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40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2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security holders (4)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4,034,813</w:t>
            </w:r>
          </w:p>
        </w:tc>
        <w:tc>
          <w:tcPr>
            <w:tcW w:w="340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35.76</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2,815,723(5)</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20" w:type="dxa"/>
            <w:vAlign w:val="bottom"/>
            <w:gridSpan w:val="3"/>
          </w:tcPr>
          <w:p>
            <w:pPr>
              <w:ind w:left="220"/>
              <w:spacing w:after="0"/>
              <w:rPr>
                <w:sz w:val="20"/>
                <w:szCs w:val="20"/>
                <w:color w:val="auto"/>
              </w:rPr>
            </w:pPr>
            <w:r>
              <w:rPr>
                <w:rFonts w:ascii="Arial" w:cs="Arial" w:eastAsia="Arial" w:hAnsi="Arial"/>
                <w:sz w:val="18"/>
                <w:szCs w:val="18"/>
                <w:color w:val="auto"/>
              </w:rPr>
              <w:t>by security 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4,034,813</w:t>
            </w:r>
          </w:p>
        </w:tc>
        <w:tc>
          <w:tcPr>
            <w:tcW w:w="340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35.76</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2,815,723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84"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Pursuant to SEC rules, this table does not reflect awards assumed in mergers and acquisitions where the plans governing the awards will not be used for future awards. As of April 4, 2014, a total of 8,566 shares of ViaSat common stock were issuable upon exercise of outstanding awards under those assumed arrangements. The weighted average exercise price of those outstanding awards is $16.23 per share.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Excludes purchase rights currently accruing under the ViaSat, Inc. Employee Stock Purchase Plan.</w:t>
      </w:r>
    </w:p>
    <w:p>
      <w:pPr>
        <w:spacing w:after="0" w:line="9"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weighted average exercise price does not take into account (a) the shares subject to outstanding restricted stock units, which have no exercise price, and (b) the exercise price of awards assumed in mergers and acquisitions referred to in footnote 1.</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two plans: (a) the 1996 Equity Participation Plan of ViaSat, Inc., and (b) the ViaSat, Inc. Employee Stock Purchase Plan.</w:t>
      </w:r>
    </w:p>
    <w:p>
      <w:pPr>
        <w:spacing w:after="0" w:line="15"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 2,398,436 shares available for future issuance under the 1996 Equity Participation Plan of ViaSat, Inc., and (b) 417,287 shares available for future issuance under the ViaSat, Inc. Employee Stock Purchase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 of our Named Executive Officers participates in or has account balances in qualified or non-qualified defined benefit plans sponsored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Section 409A of the Internal Revenue Code, ViaSat allows executives to elect to defer the timing of receipt of the shares issuable pursuant to their restricted stock unit awards. None of our Named Executive Officers has made a deferral election with respect to any of their outstanding restricted stock unit awards. We do not currently offer any other nonqualified defined contribution or other deferred compensation plans for our Named Executive Officers.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ViaSat provides for certain severance benefits in the event that an executive’s employment is involuntarily or constructively terminated within two months prior to or within 18 months following a change in control. We believe that reasonable severance benefits provide for a stable work environment by reinforcing and encouraging the continued attention and dedication of our key executives to their duties of employment without personal distraction or conflict of interest in circumstances which could arise from the occurrence of a change in control.</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change in control severance agreements (Change in Control Agreements) with each of the Named Executive Officers. Under each Change in Control Agreement, in the event an executive’s employment is terminated by ViaSat without “cause” or the executive resigns for “good reason,” in either case, within two months prior to or within 18 months following a “change in control” (as each term is defined in the Change in Control Agreement), the executive will be entitled to receive the following in lieu of any severance benefits to which such executive may otherwise be entitled under any severance plan or program:</w:t>
      </w:r>
    </w:p>
    <w:p>
      <w:pPr>
        <w:spacing w:after="0" w:line="62" w:lineRule="exact"/>
        <w:rPr>
          <w:sz w:val="20"/>
          <w:szCs w:val="20"/>
          <w:color w:val="auto"/>
        </w:rPr>
      </w:pPr>
    </w:p>
    <w:p>
      <w:pPr>
        <w:ind w:left="660" w:right="38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executive’s fully earned but unpaid base salary, when due, through the date of termination, plus all other benefits to which the executive may be entitled for such period,</w:t>
      </w:r>
    </w:p>
    <w:p>
      <w:pPr>
        <w:spacing w:after="0" w:line="50" w:lineRule="exact"/>
        <w:rPr>
          <w:rFonts w:ascii="Arial" w:cs="Arial" w:eastAsia="Arial" w:hAnsi="Arial"/>
          <w:sz w:val="18"/>
          <w:szCs w:val="18"/>
          <w:color w:val="auto"/>
        </w:rPr>
      </w:pPr>
    </w:p>
    <w:p>
      <w:pPr>
        <w:ind w:left="660" w:right="720" w:hanging="206"/>
        <w:spacing w:after="0" w:line="33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lump sum cash payment based on a multiplier of the sum of the executive’s then current annual base salary and target annual cash bonus (the multiplier used is 3.0 for the position of Chief Executive Officer and President, and 2.0 for the remaining Named Executive Officers),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continuation of health and other benefits for a period of 18 months following the date of termination,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full vesting of any outstanding equity awards.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condition to the executive’s receipt of any of the post-termination benefits described above, the executive must (1) execute a written general release of all claims against us, and (2) execute an employee proprietary information and inventions agreement. The severance benefits payable under the Change in Control Agreements will be reduced by any severance benefits payable by us to the executive under any other policy, plan, program, agreement or arrangement. The Change in Control Agreements continue for successive one-year terms unless ViaSat or the executive provides notice of non-renewal.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following table sets forth the intrinsic values that the Named Executive Officers would derive in the event of a hypothetical (1) termination of employment by ViaSat without cause or as a result of the Named Executive Officer’s resignation for good reason, and (2) such termination occurred within two months prior to or within 18 months following a change in control. The table assumes that the termination hypothetically occurred on April 4, 2014, the last day of fiscal year 2014, and that the Change in Control Agreements were in effect as of such date.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Earned</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Intrinsic</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But</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Intrinsic</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Value of</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Unpaid</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Value of</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Accelerated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Base</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Accrued</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Severance</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COBRA</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Accelerated</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180" w:type="dxa"/>
            <w:vAlign w:val="bottom"/>
            <w:vMerge w:val="restart"/>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Salary</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Vacation</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Payment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1"/>
              </w:rPr>
              <w:t>Payments</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180" w:type="dxa"/>
            <w:vAlign w:val="bottom"/>
            <w:vMerge w:val="continue"/>
          </w:tcPr>
          <w:p>
            <w:pPr>
              <w:spacing w:after="0"/>
              <w:rPr>
                <w:sz w:val="14"/>
                <w:szCs w:val="14"/>
                <w:color w:val="auto"/>
              </w:rPr>
            </w:pPr>
          </w:p>
        </w:tc>
        <w:tc>
          <w:tcPr>
            <w:tcW w:w="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(1)</w:t>
            </w:r>
          </w:p>
        </w:tc>
        <w:tc>
          <w:tcPr>
            <w:tcW w:w="3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3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560" w:type="dxa"/>
            <w:vAlign w:val="bottom"/>
          </w:tcPr>
          <w:p>
            <w:pPr>
              <w:jc w:val="right"/>
              <w:ind w:right="19"/>
              <w:spacing w:after="0" w:line="148" w:lineRule="exact"/>
              <w:rPr>
                <w:sz w:val="20"/>
                <w:szCs w:val="20"/>
                <w:color w:val="auto"/>
              </w:rPr>
            </w:pPr>
            <w:r>
              <w:rPr>
                <w:rFonts w:ascii="Arial" w:cs="Arial" w:eastAsia="Arial" w:hAnsi="Arial"/>
                <w:sz w:val="14"/>
                <w:szCs w:val="14"/>
                <w:b w:val="1"/>
                <w:bCs w:val="1"/>
                <w:color w:val="auto"/>
              </w:rPr>
              <w:t>($) (3)</w:t>
            </w:r>
          </w:p>
        </w:tc>
        <w:tc>
          <w:tcPr>
            <w:tcW w:w="32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(4)</w:t>
            </w:r>
          </w:p>
        </w:tc>
        <w:tc>
          <w:tcPr>
            <w:tcW w:w="3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(5)</w:t>
            </w:r>
          </w:p>
        </w:tc>
        <w:tc>
          <w:tcPr>
            <w:tcW w:w="320" w:type="dxa"/>
            <w:vAlign w:val="bottom"/>
          </w:tcPr>
          <w:p>
            <w:pPr>
              <w:spacing w:after="0"/>
              <w:rPr>
                <w:sz w:val="14"/>
                <w:szCs w:val="14"/>
                <w:color w:val="auto"/>
              </w:rPr>
            </w:pPr>
          </w:p>
        </w:tc>
        <w:tc>
          <w:tcPr>
            <w:tcW w:w="840" w:type="dxa"/>
            <w:vAlign w:val="bottom"/>
          </w:tcPr>
          <w:p>
            <w:pPr>
              <w:jc w:val="right"/>
              <w:ind w:right="25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52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175,962</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5,490,000</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32,656</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4,824,465</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5,927,762</w:t>
            </w: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16,450,845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132,692</w:t>
            </w:r>
          </w:p>
        </w:tc>
        <w:tc>
          <w:tcPr>
            <w:tcW w:w="3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4,140,000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32,656</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2,499,388</w:t>
            </w:r>
          </w:p>
        </w:tc>
        <w:tc>
          <w:tcPr>
            <w:tcW w:w="3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3,146,511</w:t>
            </w:r>
          </w:p>
        </w:tc>
        <w:tc>
          <w:tcPr>
            <w:tcW w:w="840" w:type="dxa"/>
            <w:vAlign w:val="bottom"/>
          </w:tcPr>
          <w:p>
            <w:pPr>
              <w:jc w:val="right"/>
              <w:spacing w:after="0"/>
              <w:rPr>
                <w:sz w:val="20"/>
                <w:szCs w:val="20"/>
                <w:color w:val="auto"/>
              </w:rPr>
            </w:pPr>
            <w:r>
              <w:rPr>
                <w:rFonts w:ascii="Arial" w:cs="Arial" w:eastAsia="Arial" w:hAnsi="Arial"/>
                <w:sz w:val="18"/>
                <w:szCs w:val="18"/>
                <w:color w:val="auto"/>
              </w:rPr>
              <w:t>9,951,247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Dirks</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1,230,000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32,656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685,230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13,602</w:t>
            </w:r>
          </w:p>
        </w:tc>
        <w:tc>
          <w:tcPr>
            <w:tcW w:w="3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1,040,000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32,656</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76,125</w:t>
            </w:r>
          </w:p>
        </w:tc>
        <w:tc>
          <w:tcPr>
            <w:tcW w:w="3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870,112</w:t>
            </w:r>
          </w:p>
        </w:tc>
        <w:tc>
          <w:tcPr>
            <w:tcW w:w="840" w:type="dxa"/>
            <w:vAlign w:val="bottom"/>
          </w:tcPr>
          <w:p>
            <w:pPr>
              <w:jc w:val="right"/>
              <w:spacing w:after="0"/>
              <w:rPr>
                <w:sz w:val="20"/>
                <w:szCs w:val="20"/>
                <w:color w:val="auto"/>
              </w:rPr>
            </w:pPr>
            <w:r>
              <w:rPr>
                <w:rFonts w:ascii="Arial" w:cs="Arial" w:eastAsia="Arial" w:hAnsi="Arial"/>
                <w:sz w:val="18"/>
                <w:szCs w:val="18"/>
                <w:color w:val="auto"/>
              </w:rPr>
              <w:t>2,032,495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1,344,000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32,656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961,505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1,175,920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18,047</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1,040,000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32,656</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341,343</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712,443</w:t>
            </w:r>
          </w:p>
        </w:tc>
        <w:tc>
          <w:tcPr>
            <w:tcW w:w="840" w:type="dxa"/>
            <w:vAlign w:val="bottom"/>
          </w:tcPr>
          <w:p>
            <w:pPr>
              <w:jc w:val="right"/>
              <w:spacing w:after="0"/>
              <w:rPr>
                <w:sz w:val="20"/>
                <w:szCs w:val="20"/>
                <w:color w:val="auto"/>
              </w:rPr>
            </w:pPr>
            <w:r>
              <w:rPr>
                <w:rFonts w:ascii="Arial" w:cs="Arial" w:eastAsia="Arial" w:hAnsi="Arial"/>
                <w:sz w:val="18"/>
                <w:szCs w:val="18"/>
                <w:color w:val="auto"/>
              </w:rPr>
              <w:t>2,144,489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fully earned but unpaid salary as of April 4, 2014.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accrual for vacation that had not been taken as of April 4,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shown equal an aggregate of 18 months of COBRA payments for the Named Executive Officer.</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intrinsic value of accelerated stock options is based on the difference between the market price of our common stock on April 4, 2014 ($65.26) and the option exercise price, multiplied by the number of shares for which the option was accelerated.</w:t>
      </w:r>
    </w:p>
    <w:p>
      <w:pPr>
        <w:ind w:left="460" w:right="10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intrinsic value of accelerated restricted stock units is computed by multiplying the market price of our common stock on April 4, 2014 ($65.26) by the number of shares that were accelerated.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earned during the fiscal year ended April 4, 2014 by each of our non-employee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Change in</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75"/>
              </w:rPr>
              <w:t>Fees</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and Nonqualified</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Earned</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9"/>
              </w:rPr>
              <w:t>Non-Equity</w:t>
            </w: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or Paid</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Stock</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Option</w:t>
            </w: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80" w:type="dxa"/>
            <w:vAlign w:val="bottom"/>
            <w:vMerge w:val="restart"/>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in Cash</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Awards</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Awards</w:t>
            </w: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Earnings</w:t>
            </w: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5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(2)</w:t>
            </w:r>
          </w:p>
        </w:tc>
        <w:tc>
          <w:tcPr>
            <w:tcW w:w="500" w:type="dxa"/>
            <w:vAlign w:val="bottom"/>
          </w:tcPr>
          <w:p>
            <w:pPr>
              <w:spacing w:after="0"/>
              <w:rPr>
                <w:sz w:val="14"/>
                <w:szCs w:val="14"/>
                <w:color w:val="auto"/>
              </w:rPr>
            </w:pPr>
          </w:p>
        </w:tc>
        <w:tc>
          <w:tcPr>
            <w:tcW w:w="840" w:type="dxa"/>
            <w:vAlign w:val="bottom"/>
          </w:tcPr>
          <w:p>
            <w:pPr>
              <w:jc w:val="right"/>
              <w:ind w:right="260"/>
              <w:spacing w:after="0" w:line="14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840" w:type="dxa"/>
            <w:vAlign w:val="bottom"/>
          </w:tcPr>
          <w:p>
            <w:pPr>
              <w:jc w:val="right"/>
              <w:ind w:right="259"/>
              <w:spacing w:after="0" w:line="14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62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Bowman (3)</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88,000</w:t>
            </w: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248,308</w:t>
            </w: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293,397</w:t>
            </w:r>
          </w:p>
        </w:tc>
        <w:tc>
          <w:tcPr>
            <w:tcW w:w="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840"/>
              <w:spacing w:after="0" w:line="203" w:lineRule="exact"/>
              <w:rPr>
                <w:sz w:val="20"/>
                <w:szCs w:val="20"/>
                <w:color w:val="auto"/>
              </w:rPr>
            </w:pPr>
            <w:r>
              <w:rPr>
                <w:rFonts w:ascii="Arial" w:cs="Arial" w:eastAsia="Arial" w:hAnsi="Arial"/>
                <w:sz w:val="18"/>
                <w:szCs w:val="18"/>
                <w:color w:val="auto"/>
                <w:w w:val="77"/>
              </w:rPr>
              <w:t>—</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629,705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Robert Johnson</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89,000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106,048</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129,066</w:t>
            </w:r>
          </w:p>
        </w:tc>
        <w:tc>
          <w:tcPr>
            <w:tcW w:w="5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324,114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Allen Lay</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76,250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106,048</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129,066</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311,364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95,500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106,048</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129,066</w:t>
            </w:r>
          </w:p>
        </w:tc>
        <w:tc>
          <w:tcPr>
            <w:tcW w:w="5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330,614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Stenbit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76,500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106,048</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129,066</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311,614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107,750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106,048</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129,066</w:t>
            </w:r>
          </w:p>
        </w:tc>
        <w:tc>
          <w:tcPr>
            <w:tcW w:w="50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342,864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right="100" w:hanging="452"/>
        <w:spacing w:after="0" w:line="283"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calculated in accordance with SEC rules, of restricted stock units granted in fiscal year 2014. These amounts generally reflect the amount that the company expects to expense in its financial statements over the award’s vesting schedule, and do not correspond to the actual value that will be realized by the non-employee directors. For additional information on the valuation assumptions used in the calculation of these amounts, refer to note 6 to the financial statements included in our annual report on Form 10-K for the fiscal year ended April 4, 2014, as filed with the SEC. The aggregate number of restricted stock units outstanding at the end of fiscal year 2014 for each director was as follows:</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Bowman (4,600); Dr. Johnson (1,600); Mr. Lay (1,600); Dr. Nash (1,600); Mr. Stenbit (1,600); and Mr. White (1,600).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1"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calculated in accordance with SEC rules, of stock options granted in fiscal year 2014. These amounts generally reflect the amount that the company expects to expense in its financial statements over the award’s vesting schedule, and do not correspond to the actual value that will be realized by the non-employee directors. For additional information on the valuation assumptions used in the calculation of these amounts, refer to note 6 to the financial statements included in our annual report on Form 10-K for the fiscal year ended April 4, 2014, as filed with the SEC. The aggregate number of stock options outstanding at the end of fiscal year 2014 for each director was as follows: Mr. Bowman (14,000); Dr. Johnson (55,000); Mr. Lay (55,000, of which 35,000 shares are held by Lay Ventures L.P.); Dr. Nash (35,000); Mr. Stenbit (49,350); and Mr. White (32,000).</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Bowman was appointed as a director on April 26, 2013.</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Directors who are employees of the company, such as Mr. Dankberg, do not receive any additional compensation for their services as directors. Non-employee directors are entitled to receive an annual retainer for their service in the amount of $50,000 as a member of the Board, $12,000 for the chair of the Audit Committee, $8,000 for the chair of the Compensation and Human Resources Committee, $3,000 for the chair of the other Board committees, $6,000 as a non-chair member of the Audit Committee, $4,000 as a non-chair member of the Compensation and Human Resources Committee, and $2,000 as a non-chair member of the other Board committees. In addition, each non-employee director receives a meeting fee of $2,000 for each Board meeting attended, $1,500 for each committee meeting attended as the chair of such committee, and $1,000 for each committee meeting attended as a non-chair member of such committee. The meeting fee paid to non-employee directors for participation via telephone for each Board meeting or committee meeting is one-half of the regular meeting fee. At the time of initial election to the Board, each non-employee director is granted 3,000 restricted stock units and an option to purchase 9,000 shares of our common stock, and at each subsequent annual meeting of stockholders, each non-employee director is entitled to receive an annual equity grant in the form of 1,600 restricted stock units and an option to purchase 5,000 shares of our common stock. Members of the Board of Directors are reimbursed for expenses incurred in attending Board and committee meetings, and in connection with Board related activities.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enhance our overall corporate governance practices and director compensation program, our Board has adopted stock ownership guidelines for our non-employee directors. These guidelines are designed to align our non-employee directors’ interests with our stockholders’ long-term interests by promoting long-term ownership of ViaSat common stock. These guidelines provide that, within five years of the later of the adoption of the guidelines or his or her first date of election to our Board, our non-employee directors should attain an investment position in ViaSat common stock having a value not less than three times the value of their annual retainer for general Board service.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members of the Compensation and Human Resources Committee for the 2014 fiscal year were Dr. Nash, Mr. Stenbit and Mr. White. During fiscal year 2014, no interlocking relationship existed between any member of the Compensation and Human Resources Committee and any member of any other company’s board of directors or compensation committee.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Audit Committee (or another independent body of the Board of Directors,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In the course of its review and approval or ratification of a disclosable related person transaction, the Audit Committee or the disinterested members of the Board may consider:</w:t>
      </w:r>
    </w:p>
    <w:p>
      <w:pPr>
        <w:spacing w:after="0" w:line="37"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the company,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matters the Audit Committee or the Board deems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April 2013, we acquired privately-held LonoCloud, Inc., an early-stage company with expertise in cloud networking software. The aggregate purchase price for 100% of the capital stock and repayment of all outstanding promissory notes of LonoCloud was approximately $2.0 million. Steve Hart, ViaSat’s Vice President—Engineering and Chief Technical Officer, was the holder of approximately 4.5% of the capital stock of LonoCloud and of a promissory note issued by LonoCloud in the principal amount of $25,000, which represented 1.8% of the outstanding principal amount of all outstanding LonoCloud promissory notes. Our acquisition of LonoCloud was approved by the disinterested members of our Board of Directors, after a determination by the disinterested members of our Board that the terms and conditions of such agreements were fair to and in the best interests of ViaSat and its stockholders.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brother of Mark Dankberg, ViaSat’s Chairman and Chief Executive Officer, is a tax partner with Deloitte &amp; Touche LLP. In the ordinary course of business, we have engaged, and may in the future engage, Deloitte to provide tax consulting and other services. During fiscal year 2014, we paid Deloitte approximately $159,000 for these services. Another brother of Mr. Dankberg is employed as director of information systems at ViaSat. He earned an aggregate of approximately $173,000 in base salary and bonus during fiscal year 2014, and participates in our equity award and benefit programs. In May 2013, we hired Mr. Dankberg’s son as a business analysis manager. In connection with the commencement of his employment, he received a $6,000 relocation bonus. He earned an aggregate of approximately $150,000 in base salary and bonus during fiscal year 2014, and participates in our equity award and benefit programs.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brother of Mark Miller, ViaSat’s Chief Technical Officer, is a business design engineer at ViaSat. He earned an aggregate of approximately $169,000 in base salary and bonus during fiscal year 2014, and participates in our equity award and benefit programs.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Audit Committee has reviewed and discussed the audited consolidated financial statements for fiscal year 2014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pursuant to the rules adopted by the Public Company Accounting Oversight Board.</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reliance on these reviews and discussions, the Audit Committee has recommended to the Board of Directors that ViaSat’s audited financial statements be included in ViaSat’s annual report on Form 10-K for the fiscal year ended April 4, 2014 for filing with the SEC.</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3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 by the Audit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Harvey White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Johnson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 Allen Lay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Nash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Stockholder Proposals for Inclusion in ViaSat’s 2015 Proxy Statement</w:t>
      </w:r>
      <w:r>
        <w:rPr>
          <w:rFonts w:ascii="Arial" w:cs="Arial" w:eastAsia="Arial" w:hAnsi="Arial"/>
          <w:sz w:val="16"/>
          <w:szCs w:val="16"/>
          <w:color w:val="auto"/>
        </w:rPr>
        <w:t>. Stockholders of ViaSat may submit proposals on matters appropriate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action at meetings of our stockholders in accordance with Rule 14a-8 promulgated under the Securities Exchange Act of 1934. To be eligible for inclusion in our proxy statement relating to the 2015 annual meeting of stockholders, proposals must satisfy the conditions established by the SEC for stockholder proposals to be included in the proxy statement, and must otherwise be received by ViaSat no later than March 27, 2015, unless the date of the 2015 annual meeting is changed by more than 30 days from the anniversary of our 2014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Stockholder Proposals for Presentation at the 2015 Annual Meeting</w:t>
      </w:r>
      <w:r>
        <w:rPr>
          <w:rFonts w:ascii="Arial" w:cs="Arial" w:eastAsia="Arial" w:hAnsi="Arial"/>
          <w:sz w:val="16"/>
          <w:szCs w:val="16"/>
          <w:color w:val="auto"/>
        </w:rPr>
        <w:t>. If a stockholder wishes to present a proposal at our 2015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 (3) otherwise comply with all applicable requirements of our bylaws and of the Securities Exchange Act of 1934. To be timely, such stockholder’s notice must be received by ViaSat no earlier than the 120</w:t>
      </w:r>
      <w:r>
        <w:rPr>
          <w:rFonts w:ascii="Arial" w:cs="Arial" w:eastAsia="Arial" w:hAnsi="Arial"/>
          <w:sz w:val="10"/>
          <w:szCs w:val="10"/>
          <w:color w:val="auto"/>
        </w:rPr>
        <w:t>th</w:t>
      </w:r>
      <w:r>
        <w:rPr>
          <w:rFonts w:ascii="Arial" w:cs="Arial" w:eastAsia="Arial" w:hAnsi="Arial"/>
          <w:sz w:val="16"/>
          <w:szCs w:val="16"/>
          <w:color w:val="auto"/>
        </w:rPr>
        <w:t xml:space="preserve"> day nor later than the 90</w:t>
      </w:r>
      <w:r>
        <w:rPr>
          <w:rFonts w:ascii="Arial" w:cs="Arial" w:eastAsia="Arial" w:hAnsi="Arial"/>
          <w:sz w:val="10"/>
          <w:szCs w:val="10"/>
          <w:color w:val="auto"/>
        </w:rPr>
        <w:t>th</w:t>
      </w:r>
      <w:r>
        <w:rPr>
          <w:rFonts w:ascii="Arial" w:cs="Arial" w:eastAsia="Arial" w:hAnsi="Arial"/>
          <w:sz w:val="16"/>
          <w:szCs w:val="16"/>
          <w:color w:val="auto"/>
        </w:rPr>
        <w:t xml:space="preserve"> day prior to the anniversary of our 2014 annual meeting. As a result, proposals submitted pursuant to these provisions of our bylaws must be received no earlier than the close of business on May 20, 2015 and no later than the close of business on June 19, 2015. However, if the date of the 2015 annual meeting is advanced by more than 30 days or delayed by more than 60 days from the anniversary of the 2014 annual meeting, notice by the stockholder must be received no later than the later of (1) the 90</w:t>
      </w:r>
      <w:r>
        <w:rPr>
          <w:rFonts w:ascii="Arial" w:cs="Arial" w:eastAsia="Arial" w:hAnsi="Arial"/>
          <w:sz w:val="10"/>
          <w:szCs w:val="10"/>
          <w:color w:val="auto"/>
        </w:rPr>
        <w:t>th</w:t>
      </w:r>
      <w:r>
        <w:rPr>
          <w:rFonts w:ascii="Arial" w:cs="Arial" w:eastAsia="Arial" w:hAnsi="Arial"/>
          <w:sz w:val="16"/>
          <w:szCs w:val="16"/>
          <w:color w:val="auto"/>
        </w:rPr>
        <w:t xml:space="preserve"> day prior to the 2015 annual meeting or (2)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disclosure of the date of the 2015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205740</wp:posOffset>
            </wp:positionV>
            <wp:extent cx="6089015" cy="20840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8901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334"/>
        </w:trPr>
        <w:tc>
          <w:tcPr>
            <w:tcW w:w="4360" w:type="dxa"/>
            <w:vAlign w:val="bottom"/>
            <w:gridSpan w:val="3"/>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860" w:type="dxa"/>
            <w:vAlign w:val="bottom"/>
          </w:tcPr>
          <w:p>
            <w:pPr>
              <w:ind w:left="560"/>
              <w:spacing w:after="0" w:line="321" w:lineRule="exact"/>
              <w:rPr>
                <w:sz w:val="20"/>
                <w:szCs w:val="20"/>
                <w:color w:val="auto"/>
              </w:rPr>
            </w:pPr>
            <w:r>
              <w:rPr>
                <w:rFonts w:ascii="MS PGothic" w:cs="MS PGothic" w:eastAsia="MS PGothic" w:hAnsi="MS PGothic"/>
                <w:sz w:val="32"/>
                <w:szCs w:val="32"/>
                <w:color w:val="auto"/>
                <w:w w:val="87"/>
              </w:rPr>
              <w:t>☒</w:t>
            </w:r>
          </w:p>
        </w:tc>
      </w:tr>
      <w:tr>
        <w:trPr>
          <w:trHeight w:val="20"/>
        </w:trPr>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6"/>
        </w:trPr>
        <w:tc>
          <w:tcPr>
            <w:tcW w:w="4360" w:type="dxa"/>
            <w:vAlign w:val="bottom"/>
            <w:gridSpan w:val="3"/>
          </w:tcPr>
          <w:p>
            <w:pPr>
              <w:spacing w:after="0" w:line="156" w:lineRule="exact"/>
              <w:rPr>
                <w:sz w:val="20"/>
                <w:szCs w:val="20"/>
                <w:color w:val="auto"/>
              </w:rPr>
            </w:pPr>
            <w:r>
              <w:rPr>
                <w:rFonts w:ascii="Arial" w:cs="Arial" w:eastAsia="Arial" w:hAnsi="Arial"/>
                <w:sz w:val="14"/>
                <w:szCs w:val="14"/>
                <w:color w:val="auto"/>
              </w:rPr>
              <w:t>this example. Please do not write outside the designated areas.</w:t>
            </w:r>
          </w:p>
        </w:tc>
        <w:tc>
          <w:tcPr>
            <w:tcW w:w="8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188595</wp:posOffset>
            </wp:positionV>
            <wp:extent cx="6089015"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890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 xml:space="preserve">q </w:t>
      </w:r>
      <w:r>
        <w:rPr>
          <w:rFonts w:ascii="Arial" w:cs="Arial" w:eastAsia="Arial" w:hAnsi="Arial"/>
          <w:sz w:val="12"/>
          <w:szCs w:val="12"/>
          <w:b w:val="1"/>
          <w:bCs w:val="1"/>
          <w:color w:val="auto"/>
        </w:rPr>
        <w:t>PLEASE FOLD ALONG THE PERFORATION, DETACH AND RETURN THE BOTTOM PORTION IN THE ENCLOSED ENVELOPE.</w:t>
      </w:r>
      <w:r>
        <w:rPr>
          <w:rFonts w:ascii="Arial" w:cs="Arial" w:eastAsia="Arial" w:hAnsi="Arial"/>
          <w:sz w:val="12"/>
          <w:szCs w:val="12"/>
          <w:color w:val="auto"/>
        </w:rPr>
        <w:t xml:space="preserve"> q</w:t>
      </w:r>
    </w:p>
    <w:p>
      <w:pPr>
        <w:sectPr>
          <w:pgSz w:w="11900" w:h="16838" w:orient="portrait"/>
          <w:cols w:equalWidth="0" w:num="1">
            <w:col w:w="11300"/>
          </w:cols>
          <w:pgMar w:left="240" w:top="459" w:right="359" w:bottom="1440" w:gutter="0" w:footer="0" w:header="0"/>
        </w:sectPr>
      </w:pPr>
    </w:p>
    <w:p>
      <w:pPr>
        <w:spacing w:after="0" w:line="306" w:lineRule="exact"/>
        <w:rPr>
          <w:sz w:val="20"/>
          <w:szCs w:val="20"/>
          <w:color w:val="auto"/>
        </w:rPr>
      </w:pPr>
    </w:p>
    <w:p>
      <w:pPr>
        <w:ind w:left="420" w:hanging="370"/>
        <w:spacing w:after="0"/>
        <w:tabs>
          <w:tab w:leader="none" w:pos="420" w:val="left"/>
        </w:tabs>
        <w:numPr>
          <w:ilvl w:val="1"/>
          <w:numId w:val="37"/>
        </w:numPr>
        <w:rPr>
          <w:rFonts w:ascii="Arial" w:cs="Arial" w:eastAsia="Arial" w:hAnsi="Arial"/>
          <w:sz w:val="16"/>
          <w:szCs w:val="16"/>
          <w:b w:val="1"/>
          <w:bCs w:val="1"/>
          <w:color w:val="FFFFFF"/>
        </w:rPr>
      </w:pPr>
      <w:r>
        <w:rPr>
          <w:rFonts w:ascii="Arial" w:cs="Arial" w:eastAsia="Arial" w:hAnsi="Arial"/>
          <w:sz w:val="16"/>
          <w:szCs w:val="16"/>
          <w:b w:val="1"/>
          <w:bCs w:val="1"/>
          <w:color w:val="auto"/>
        </w:rPr>
        <w:t>Proposals —</w:t>
      </w:r>
    </w:p>
    <w:p>
      <w:pPr>
        <w:spacing w:after="0" w:line="306" w:lineRule="exact"/>
        <w:rPr>
          <w:rFonts w:ascii="Arial" w:cs="Arial" w:eastAsia="Arial" w:hAnsi="Arial"/>
          <w:sz w:val="16"/>
          <w:szCs w:val="16"/>
          <w:b w:val="1"/>
          <w:bCs w:val="1"/>
          <w:color w:val="FFFFFF"/>
        </w:rPr>
      </w:pPr>
    </w:p>
    <w:p>
      <w:pPr>
        <w:ind w:left="240" w:hanging="232"/>
        <w:spacing w:after="0" w:line="605" w:lineRule="auto"/>
        <w:tabs>
          <w:tab w:leader="none" w:pos="2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Election of Directors: Mark Dankberg</w:t>
      </w:r>
    </w:p>
    <w:p>
      <w:pPr>
        <w:spacing w:after="0" w:line="141" w:lineRule="exact"/>
        <w:rPr>
          <w:rFonts w:ascii="Arial" w:cs="Arial" w:eastAsia="Arial" w:hAnsi="Arial"/>
          <w:sz w:val="12"/>
          <w:szCs w:val="12"/>
          <w:color w:val="auto"/>
        </w:rPr>
      </w:pPr>
    </w:p>
    <w:p>
      <w:pPr>
        <w:ind w:left="240"/>
        <w:spacing w:after="0"/>
        <w:rPr>
          <w:rFonts w:ascii="Arial" w:cs="Arial" w:eastAsia="Arial" w:hAnsi="Arial"/>
          <w:sz w:val="12"/>
          <w:szCs w:val="12"/>
          <w:color w:val="auto"/>
        </w:rPr>
      </w:pPr>
      <w:r>
        <w:rPr>
          <w:rFonts w:ascii="Arial" w:cs="Arial" w:eastAsia="Arial" w:hAnsi="Arial"/>
          <w:sz w:val="14"/>
          <w:szCs w:val="14"/>
          <w:color w:val="auto"/>
        </w:rPr>
        <w:t>Harvey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-932815</wp:posOffset>
            </wp:positionV>
            <wp:extent cx="13716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1160"/>
        <w:spacing w:after="0" w:line="253" w:lineRule="auto"/>
        <w:rPr>
          <w:sz w:val="20"/>
          <w:szCs w:val="20"/>
          <w:color w:val="auto"/>
        </w:rPr>
      </w:pPr>
      <w:r>
        <w:rPr>
          <w:rFonts w:ascii="Arial" w:cs="Arial" w:eastAsia="Arial" w:hAnsi="Arial"/>
          <w:sz w:val="18"/>
          <w:szCs w:val="18"/>
          <w:b w:val="1"/>
          <w:bCs w:val="1"/>
          <w:color w:val="auto"/>
        </w:rPr>
        <w:t>The ViaSat Board of Directors unanimously recommends that stockholders vote “FOR” all the director nominees listed in Proposal 1, and “FOR” Proposals 2 and 3.</w:t>
      </w:r>
    </w:p>
    <w:p>
      <w:pPr>
        <w:spacing w:after="0" w:line="2" w:lineRule="exact"/>
        <w:rPr>
          <w:sz w:val="20"/>
          <w:szCs w:val="20"/>
          <w:color w:val="auto"/>
        </w:rPr>
      </w:pPr>
    </w:p>
    <w:tbl>
      <w:tblPr>
        <w:tblLayout w:type="fixed"/>
        <w:tblInd w:w="1360" w:type="dxa"/>
        <w:tblCellMar>
          <w:top w:w="0" w:type="dxa"/>
          <w:left w:w="0" w:type="dxa"/>
          <w:bottom w:w="0" w:type="dxa"/>
          <w:right w:w="0" w:type="dxa"/>
        </w:tblCellMar>
      </w:tblPr>
      <w:tr>
        <w:trPr>
          <w:trHeight w:val="190"/>
        </w:trPr>
        <w:tc>
          <w:tcPr>
            <w:tcW w:w="4560" w:type="dxa"/>
            <w:vAlign w:val="bottom"/>
          </w:tcPr>
          <w:p>
            <w:pPr>
              <w:ind w:left="40"/>
              <w:spacing w:after="0"/>
              <w:rPr>
                <w:sz w:val="20"/>
                <w:szCs w:val="20"/>
                <w:color w:val="auto"/>
              </w:rPr>
            </w:pPr>
            <w:r>
              <w:rPr>
                <w:rFonts w:ascii="Arial" w:cs="Arial" w:eastAsia="Arial" w:hAnsi="Arial"/>
                <w:sz w:val="14"/>
                <w:szCs w:val="14"/>
                <w:b w:val="1"/>
                <w:bCs w:val="1"/>
                <w:color w:val="auto"/>
              </w:rPr>
              <w:t>For   Withhold</w:t>
            </w:r>
          </w:p>
        </w:tc>
        <w:tc>
          <w:tcPr>
            <w:tcW w:w="378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511"/>
        </w:trPr>
        <w:tc>
          <w:tcPr>
            <w:tcW w:w="4560" w:type="dxa"/>
            <w:vAlign w:val="bottom"/>
          </w:tcPr>
          <w:p>
            <w:pPr>
              <w:spacing w:after="0" w:line="321" w:lineRule="exact"/>
              <w:rPr>
                <w:sz w:val="20"/>
                <w:szCs w:val="20"/>
                <w:color w:val="auto"/>
              </w:rPr>
            </w:pPr>
            <w:r>
              <w:rPr>
                <w:rFonts w:ascii="MS PGothic" w:cs="MS PGothic" w:eastAsia="MS PGothic" w:hAnsi="MS PGothic"/>
                <w:sz w:val="32"/>
                <w:szCs w:val="32"/>
                <w:color w:val="auto"/>
                <w:highlight w:val="black"/>
              </w:rPr>
              <w:t>☐ ☐</w:t>
            </w:r>
          </w:p>
        </w:tc>
        <w:tc>
          <w:tcPr>
            <w:tcW w:w="3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1360"/>
        <w:spacing w:after="0" w:line="321" w:lineRule="exact"/>
        <w:rPr>
          <w:sz w:val="20"/>
          <w:szCs w:val="20"/>
          <w:color w:val="auto"/>
        </w:rPr>
      </w:pPr>
      <w:r>
        <w:rPr>
          <w:rFonts w:ascii="MS PGothic" w:cs="MS PGothic" w:eastAsia="MS PGothic" w:hAnsi="MS PGothic"/>
          <w:sz w:val="32"/>
          <w:szCs w:val="32"/>
          <w:color w:val="auto"/>
          <w:highlight w:val="black"/>
        </w:rPr>
        <w:t>☐ ☐</w:t>
      </w:r>
    </w:p>
    <w:p>
      <w:pPr>
        <w:spacing w:after="0" w:line="256" w:lineRule="exact"/>
        <w:rPr>
          <w:sz w:val="20"/>
          <w:szCs w:val="20"/>
          <w:color w:val="auto"/>
        </w:rPr>
      </w:pPr>
    </w:p>
    <w:p>
      <w:pPr>
        <w:ind w:left="3720"/>
        <w:spacing w:after="0"/>
        <w:tabs>
          <w:tab w:leader="none" w:pos="4100" w:val="left"/>
          <w:tab w:leader="none" w:pos="478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17" w:lineRule="exact"/>
        <w:rPr>
          <w:sz w:val="20"/>
          <w:szCs w:val="20"/>
          <w:color w:val="auto"/>
        </w:rPr>
      </w:pPr>
    </w:p>
    <w:p>
      <w:pPr>
        <w:sectPr>
          <w:pgSz w:w="11900" w:h="16838" w:orient="portrait"/>
          <w:cols w:equalWidth="0" w:num="2">
            <w:col w:w="1480" w:space="120"/>
            <w:col w:w="9700"/>
          </w:cols>
          <w:pgMar w:left="240" w:top="459" w:right="359" w:bottom="1440" w:gutter="0" w:footer="0" w:header="0"/>
          <w:type w:val="continuous"/>
        </w:sectPr>
      </w:pPr>
    </w:p>
    <w:p>
      <w:pPr>
        <w:spacing w:after="0" w:line="68" w:lineRule="exact"/>
        <w:rPr>
          <w:sz w:val="20"/>
          <w:szCs w:val="20"/>
          <w:color w:val="auto"/>
        </w:rPr>
      </w:pPr>
    </w:p>
    <w:p>
      <w:pPr>
        <w:ind w:left="240" w:right="20" w:hanging="232"/>
        <w:spacing w:after="0" w:line="231" w:lineRule="auto"/>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Ratification of Appointment of PricewaterhouseCoopers LLP as ViaSat’s Independent Registered Public Accounting Firm</w:t>
      </w:r>
    </w:p>
    <w:p>
      <w:pPr>
        <w:spacing w:after="0" w:line="284" w:lineRule="exact"/>
        <w:rPr>
          <w:rFonts w:ascii="Arial" w:cs="Arial" w:eastAsia="Arial" w:hAnsi="Arial"/>
          <w:sz w:val="14"/>
          <w:szCs w:val="14"/>
          <w:color w:val="auto"/>
        </w:rPr>
      </w:pPr>
    </w:p>
    <w:p>
      <w:pPr>
        <w:ind w:left="240" w:hanging="232"/>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Advisory Vote on Executive Compensation</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r>
        <w:rPr>
          <w:rFonts w:ascii="MS PGothic" w:cs="MS PGothic" w:eastAsia="MS PGothic" w:hAnsi="MS PGothic"/>
          <w:sz w:val="32"/>
          <w:szCs w:val="32"/>
          <w:color w:val="auto"/>
          <w:highlight w:val="black"/>
        </w:rPr>
        <w:t>☐ ☐  ☐</w:t>
      </w:r>
    </w:p>
    <w:p>
      <w:pPr>
        <w:spacing w:after="0" w:line="263" w:lineRule="exact"/>
        <w:rPr>
          <w:sz w:val="20"/>
          <w:szCs w:val="20"/>
          <w:color w:val="auto"/>
        </w:rPr>
      </w:pPr>
    </w:p>
    <w:p>
      <w:pPr>
        <w:spacing w:after="0" w:line="321" w:lineRule="exact"/>
        <w:rPr>
          <w:sz w:val="20"/>
          <w:szCs w:val="20"/>
          <w:color w:val="auto"/>
        </w:rPr>
      </w:pPr>
      <w:r>
        <w:rPr>
          <w:rFonts w:ascii="MS PGothic" w:cs="MS PGothic" w:eastAsia="MS PGothic" w:hAnsi="MS PGothic"/>
          <w:sz w:val="32"/>
          <w:szCs w:val="32"/>
          <w:color w:val="auto"/>
          <w:highlight w:val="black"/>
        </w:rPr>
        <w:t>☐ ☐  ☐</w:t>
      </w:r>
    </w:p>
    <w:p>
      <w:pPr>
        <w:sectPr>
          <w:pgSz w:w="11900" w:h="16838" w:orient="portrait"/>
          <w:cols w:equalWidth="0" w:num="2">
            <w:col w:w="4560" w:space="720"/>
            <w:col w:w="6020"/>
          </w:cols>
          <w:pgMar w:left="240" w:top="459" w:right="359" w:bottom="1440" w:gutter="0" w:footer="0" w:header="0"/>
          <w:type w:val="continuous"/>
        </w:sectPr>
      </w:pPr>
    </w:p>
    <w:bookmarkStart w:id="41" w:name="page42"/>
    <w:bookmarkEnd w:id="41"/>
    <w:p>
      <w:pPr>
        <w:ind w:left="420" w:right="2580" w:hanging="363"/>
        <w:spacing w:after="0" w:line="264" w:lineRule="auto"/>
        <w:tabs>
          <w:tab w:leader="none" w:pos="413" w:val="left"/>
        </w:tabs>
        <w:numPr>
          <w:ilvl w:val="0"/>
          <w:numId w:val="39"/>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Date and Sign Below — This section must be completed for your vote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14605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14"/>
          <w:szCs w:val="14"/>
          <w:color w:val="auto"/>
        </w:rPr>
        <w:t>Please sign your name(s) EXACTLY as your name(s) appear(s) on this proxy card. If shares are held jointly, each joint holder must sign. When signing as trustee, executor, administrator, guardian, attorney or corporate officer, please print your full title.</w:t>
      </w:r>
    </w:p>
    <w:p>
      <w:pPr>
        <w:sectPr>
          <w:pgSz w:w="11900" w:h="16838" w:orient="portrait"/>
          <w:cols w:equalWidth="0" w:num="1">
            <w:col w:w="11420"/>
          </w:cols>
          <w:pgMar w:left="240" w:top="269" w:right="239" w:bottom="1440" w:gutter="0" w:footer="0" w:header="0"/>
        </w:sectPr>
      </w:pPr>
    </w:p>
    <w:p>
      <w:pPr>
        <w:spacing w:after="0" w:line="16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wp:posOffset>
            </wp:positionV>
            <wp:extent cx="2341245" cy="3517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41245" cy="351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Signature 1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101600</wp:posOffset>
            </wp:positionV>
            <wp:extent cx="2332355" cy="3517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32355" cy="351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31" w:lineRule="auto"/>
        <w:rPr>
          <w:sz w:val="20"/>
          <w:szCs w:val="20"/>
          <w:color w:val="auto"/>
        </w:rPr>
      </w:pPr>
      <w:r>
        <w:rPr>
          <w:rFonts w:ascii="Arial" w:cs="Arial" w:eastAsia="Arial" w:hAnsi="Arial"/>
          <w:sz w:val="14"/>
          <w:szCs w:val="14"/>
          <w:color w:val="auto"/>
        </w:rPr>
        <w:t>Signature 2 (Joint Owner)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-6985</wp:posOffset>
            </wp:positionV>
            <wp:extent cx="2255520" cy="3517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55520" cy="3517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3">
            <w:col w:w="3440" w:space="720"/>
            <w:col w:w="3140" w:space="700"/>
            <w:col w:w="3420"/>
          </w:cols>
          <w:pgMar w:left="240" w:top="269" w:right="239" w:bottom="1440" w:gutter="0" w:footer="0" w:header="0"/>
          <w:type w:val="continuous"/>
        </w:sectPr>
      </w:pPr>
    </w:p>
    <w:p>
      <w:pPr>
        <w:ind w:left="860"/>
        <w:spacing w:after="0"/>
        <w:tabs>
          <w:tab w:leader="none" w:pos="1560" w:val="left"/>
        </w:tabs>
        <w:rPr>
          <w:sz w:val="20"/>
          <w:szCs w:val="20"/>
          <w:color w:val="auto"/>
        </w:rPr>
      </w:pPr>
      <w:r>
        <w:rPr>
          <w:rFonts w:ascii="Arial" w:cs="Arial" w:eastAsia="Arial" w:hAnsi="Arial"/>
          <w:sz w:val="43"/>
          <w:szCs w:val="43"/>
          <w:color w:val="auto"/>
        </w:rPr>
        <w:t>/</w:t>
        <w:tab/>
        <w: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IF VOTING BY MAIL, YOU </w:t>
      </w:r>
      <w:r>
        <w:rPr>
          <w:rFonts w:ascii="Arial" w:cs="Arial" w:eastAsia="Arial" w:hAnsi="Arial"/>
          <w:sz w:val="16"/>
          <w:szCs w:val="16"/>
          <w:b w:val="1"/>
          <w:bCs w:val="1"/>
          <w:u w:val="single" w:color="auto"/>
          <w:color w:val="auto"/>
        </w:rPr>
        <w:t>MUST</w:t>
      </w:r>
      <w:r>
        <w:rPr>
          <w:rFonts w:ascii="Arial" w:cs="Arial" w:eastAsia="Arial" w:hAnsi="Arial"/>
          <w:sz w:val="16"/>
          <w:szCs w:val="16"/>
          <w:b w:val="1"/>
          <w:bCs w:val="1"/>
          <w:color w:val="auto"/>
        </w:rPr>
        <w:t xml:space="preserve"> COMPLETE SECTIONS A - C ON BOTH SIDES OF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247015</wp:posOffset>
            </wp:positionV>
            <wp:extent cx="6089015" cy="548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89015" cy="54864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437515</wp:posOffset>
            </wp:positionV>
            <wp:extent cx="6671945" cy="1689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71945"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61" w:lineRule="exact"/>
        <w:rPr>
          <w:sz w:val="20"/>
          <w:szCs w:val="20"/>
          <w:color w:val="auto"/>
        </w:rPr>
      </w:pPr>
    </w:p>
    <w:p>
      <w:pPr>
        <w:ind w:left="580" w:right="620"/>
        <w:spacing w:after="0" w:line="239" w:lineRule="auto"/>
        <w:rPr>
          <w:sz w:val="20"/>
          <w:szCs w:val="20"/>
          <w:color w:val="auto"/>
        </w:rPr>
      </w:pPr>
      <w:r>
        <w:rPr>
          <w:rFonts w:ascii="Arial" w:cs="Arial" w:eastAsia="Arial" w:hAnsi="Arial"/>
          <w:sz w:val="18"/>
          <w:szCs w:val="18"/>
          <w:color w:val="auto"/>
        </w:rPr>
        <w:t xml:space="preserve">The proxy materials for the ViaSat annual meeting of stockholders, including the proxy statement and annual report to stockholders, are available over the internet on the Investor Relations section of our website at </w:t>
      </w:r>
      <w:r>
        <w:rPr>
          <w:rFonts w:ascii="Arial" w:cs="Arial" w:eastAsia="Arial" w:hAnsi="Arial"/>
          <w:sz w:val="18"/>
          <w:szCs w:val="18"/>
          <w:i w:val="1"/>
          <w:iCs w:val="1"/>
          <w:color w:val="auto"/>
        </w:rPr>
        <w:t>investors.viasat.com</w:t>
      </w:r>
      <w:r>
        <w:rPr>
          <w:rFonts w:ascii="Arial" w:cs="Arial" w:eastAsia="Arial" w:hAnsi="Arial"/>
          <w:sz w:val="18"/>
          <w:szCs w:val="18"/>
          <w:color w:val="auto"/>
        </w:rPr>
        <w: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Access To Future Documents</w:t>
      </w:r>
    </w:p>
    <w:p>
      <w:pPr>
        <w:spacing w:after="0" w:line="261" w:lineRule="exact"/>
        <w:rPr>
          <w:sz w:val="20"/>
          <w:szCs w:val="20"/>
          <w:color w:val="auto"/>
        </w:rPr>
      </w:pPr>
    </w:p>
    <w:p>
      <w:pPr>
        <w:ind w:left="580" w:right="680"/>
        <w:spacing w:after="0" w:line="275" w:lineRule="auto"/>
        <w:rPr>
          <w:sz w:val="20"/>
          <w:szCs w:val="20"/>
          <w:color w:val="auto"/>
        </w:rPr>
      </w:pPr>
      <w:r>
        <w:rPr>
          <w:rFonts w:ascii="Arial" w:cs="Arial" w:eastAsia="Arial" w:hAnsi="Arial"/>
          <w:sz w:val="16"/>
          <w:szCs w:val="16"/>
          <w:color w:val="auto"/>
        </w:rPr>
        <w:t>If you wish to access all future proxy statements and annual reports via the internet as they become available, please consent by marking the appropriate box below. Choosing to receive your future proxy materials electronically will help us conserve natural resources and reduce the costs of printing and distributing our proxy materials. This consent will remain in effect until you notify our transfer agent, Computershare, by mail that you wish to resume mail delivery of the proxy statement and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3"/>
          <w:szCs w:val="13"/>
          <w:b w:val="1"/>
          <w:bCs w:val="1"/>
          <w:color w:val="auto"/>
        </w:rPr>
        <w:t>PLEASE FOLD ALONG THE PERFORATION, DETACH AND RETURN THE BOTTOM PORTION IN THE ENCLOSED ENVELOPE.</w:t>
      </w:r>
      <w:r>
        <w:rPr>
          <w:rFonts w:ascii="Arial" w:cs="Arial" w:eastAsia="Arial" w:hAnsi="Arial"/>
          <w:sz w:val="18"/>
          <w:szCs w:val="18"/>
          <w:b w:val="1"/>
          <w:bCs w:val="1"/>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686943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69430"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4940" w:type="dxa"/>
        <w:tblCellMar>
          <w:top w:w="0" w:type="dxa"/>
          <w:left w:w="0" w:type="dxa"/>
          <w:bottom w:w="0" w:type="dxa"/>
          <w:right w:w="0" w:type="dxa"/>
        </w:tblCellMar>
      </w:tblPr>
      <w:tr>
        <w:trPr>
          <w:trHeight w:val="322"/>
        </w:trPr>
        <w:tc>
          <w:tcPr>
            <w:tcW w:w="3920" w:type="dxa"/>
            <w:vAlign w:val="bottom"/>
          </w:tcPr>
          <w:p>
            <w:pPr>
              <w:spacing w:after="0"/>
              <w:rPr>
                <w:sz w:val="20"/>
                <w:szCs w:val="20"/>
                <w:color w:val="auto"/>
              </w:rPr>
            </w:pPr>
            <w:r>
              <w:rPr>
                <w:rFonts w:ascii="Arial" w:cs="Arial" w:eastAsia="Arial" w:hAnsi="Arial"/>
                <w:sz w:val="24"/>
                <w:szCs w:val="24"/>
                <w:b w:val="1"/>
                <w:bCs w:val="1"/>
                <w:color w:val="auto"/>
              </w:rPr>
              <w:t>PROXY CARD</w:t>
            </w:r>
          </w:p>
        </w:tc>
        <w:tc>
          <w:tcPr>
            <w:tcW w:w="256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328"/>
        </w:trPr>
        <w:tc>
          <w:tcPr>
            <w:tcW w:w="39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686943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69430" cy="17145"/>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-4445</wp:posOffset>
            </wp:positionV>
            <wp:extent cx="1844040" cy="514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440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jc w:val="center"/>
        <w:spacing w:after="0"/>
        <w:rPr>
          <w:sz w:val="20"/>
          <w:szCs w:val="20"/>
          <w:color w:val="auto"/>
        </w:rPr>
      </w:pPr>
      <w:r>
        <w:rPr>
          <w:rFonts w:ascii="Arial" w:cs="Arial" w:eastAsia="Arial" w:hAnsi="Arial"/>
          <w:sz w:val="18"/>
          <w:szCs w:val="18"/>
          <w:b w:val="1"/>
          <w:bCs w:val="1"/>
          <w:color w:val="auto"/>
        </w:rPr>
        <w:t>SEPTEMBER 17, 2014</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VIASAT BOARD OF DIRECTORS</w:t>
      </w:r>
    </w:p>
    <w:p>
      <w:pPr>
        <w:spacing w:after="0" w:line="176"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The undersigned revokes all previous proxies, acknowledges receipt of the notice of annual meeting of stockholders and the accompanying proxy statement, and hereby appoints Mark Dankberg and Keven Lippert, jointly and severally, with full power of substitution to each, as proxies of the undersigned, to represent the undersigned and to vote all shares of common stock of ViaSat, Inc. that the undersigned is entitled to vote, either on his or her own behalf or on behalf of an entity or entities, at the annual meeting of stockholders of ViaSat, Inc. to be held on September 17, 2014, at 8:30 a.m. Pacific Time at 6155 El Camino Real, Founders Hall, Carlsbad, California 92009, and at any adjournments and postponements thereof, with the same force and effect as the undersigned might or could do if personally present.</w:t>
      </w:r>
    </w:p>
    <w:p>
      <w:pPr>
        <w:spacing w:after="0" w:line="13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b w:val="1"/>
          <w:bCs w:val="1"/>
          <w:color w:val="auto"/>
        </w:rPr>
        <w:t>THE SHARES REPRESENTED BY THIS PROXY CARD WILL BE VOTED AS INSTRUCTED BY THE STOCKHOLDER. IF NO INSTRUCTIONS ARE SPECIFIED, THE SHARES WILL BE VOTED “FOR” ALL THE DIRECTOR NOMINEES LISTED IN PROPOSAL 1 AND “FOR” PROPOSALS 2 AND 3. IF ANY OTHER BUSINESS IS PROPERLY PRESENTED AT THE ANNUAL MEETING, OR ANY ADJOURNMENTS OR POSTPONEMENTS THEREOF, THIS PROXY CARD WILL CONFER DISCRETIONARY AUTHORITY ON THE INDIVIDUALS NAMED AS PROXIES TO VOTE THE SHARES REPRESENTED BY THE PROXIES IN ACCORDANCE WITH THEIR BEST JUDGMENT.</w:t>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p>
      <w:pPr>
        <w:ind w:left="420" w:hanging="363"/>
        <w:spacing w:after="0"/>
        <w:tabs>
          <w:tab w:leader="none" w:pos="420" w:val="left"/>
        </w:tabs>
        <w:numPr>
          <w:ilvl w:val="0"/>
          <w:numId w:val="40"/>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605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050" cy="128905"/>
                    </a:xfrm>
                    <a:prstGeom prst="rect">
                      <a:avLst/>
                    </a:prstGeom>
                    <a:noFill/>
                  </pic:spPr>
                </pic:pic>
              </a:graphicData>
            </a:graphic>
          </wp:anchor>
        </w:drawing>
      </w:r>
    </w:p>
    <w:p>
      <w:pPr>
        <w:spacing w:after="0"/>
        <w:tabs>
          <w:tab w:leader="none" w:pos="674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r>
        <w:rPr>
          <w:sz w:val="20"/>
          <w:szCs w:val="20"/>
          <w:color w:val="auto"/>
        </w:rPr>
        <w:tab/>
      </w:r>
      <w:r>
        <w:rPr>
          <w:rFonts w:ascii="Arial" w:cs="Arial" w:eastAsia="Arial" w:hAnsi="Arial"/>
          <w:sz w:val="12"/>
          <w:szCs w:val="12"/>
          <w:b w:val="1"/>
          <w:bCs w:val="1"/>
          <w:color w:val="auto"/>
        </w:rPr>
        <w:t>ELECTRONIC ACCESS TO FUTURE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4081780" cy="394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081780" cy="39433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2"/>
          <w:szCs w:val="12"/>
          <w:color w:val="auto"/>
        </w:rPr>
        <w:t>If you consent to use the internet to access all future notices of</w:t>
      </w:r>
    </w:p>
    <w:p>
      <w:pPr>
        <w:ind w:left="6760"/>
        <w:spacing w:after="0" w:line="237" w:lineRule="auto"/>
        <w:rPr>
          <w:sz w:val="20"/>
          <w:szCs w:val="20"/>
          <w:color w:val="auto"/>
        </w:rPr>
      </w:pPr>
      <w:r>
        <w:rPr>
          <w:rFonts w:ascii="Arial" w:cs="Arial" w:eastAsia="Arial" w:hAnsi="Arial"/>
          <w:sz w:val="14"/>
          <w:szCs w:val="14"/>
          <w:color w:val="auto"/>
        </w:rPr>
        <w:t>stockholder meetings, proxy statements and annual reports</w:t>
      </w:r>
    </w:p>
    <w:p>
      <w:pPr>
        <w:ind w:left="6760"/>
        <w:spacing w:after="0" w:line="221" w:lineRule="auto"/>
        <w:rPr>
          <w:sz w:val="20"/>
          <w:szCs w:val="20"/>
          <w:color w:val="auto"/>
        </w:rPr>
      </w:pPr>
      <w:r>
        <w:rPr>
          <w:rFonts w:ascii="Arial" w:cs="Arial" w:eastAsia="Arial" w:hAnsi="Arial"/>
          <w:sz w:val="14"/>
          <w:szCs w:val="14"/>
          <w:color w:val="auto"/>
        </w:rPr>
        <w:t>issued by ViaSat (electronic access), please mark this box.</w:t>
      </w:r>
    </w:p>
    <w:p>
      <w:pPr>
        <w:ind w:left="6760"/>
        <w:spacing w:after="0"/>
        <w:rPr>
          <w:sz w:val="20"/>
          <w:szCs w:val="20"/>
          <w:color w:val="auto"/>
        </w:rPr>
      </w:pPr>
      <w:r>
        <w:rPr>
          <w:rFonts w:ascii="Arial" w:cs="Arial" w:eastAsia="Arial" w:hAnsi="Arial"/>
          <w:sz w:val="14"/>
          <w:szCs w:val="14"/>
          <w:color w:val="auto"/>
        </w:rPr>
        <w:t>See above for details.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 Consent</w:t>
      </w:r>
    </w:p>
    <w:p>
      <w:pPr>
        <w:spacing w:after="0" w:line="37" w:lineRule="exact"/>
        <w:rPr>
          <w:sz w:val="20"/>
          <w:szCs w:val="20"/>
          <w:color w:val="auto"/>
        </w:rPr>
      </w:pPr>
    </w:p>
    <w:p>
      <w:pPr>
        <w:ind w:left="160"/>
        <w:spacing w:after="0" w:line="321" w:lineRule="exact"/>
        <w:rPr>
          <w:sz w:val="20"/>
          <w:szCs w:val="20"/>
          <w:color w:val="auto"/>
        </w:rPr>
      </w:pPr>
      <w:r>
        <w:rPr>
          <w:rFonts w:ascii="MS PGothic" w:cs="MS PGothic" w:eastAsia="MS PGothic" w:hAnsi="MS PGothic"/>
          <w:sz w:val="32"/>
          <w:szCs w:val="32"/>
          <w:color w:val="auto"/>
          <w:highlight w:val="black"/>
        </w:rPr>
        <w:t>☐</w:t>
      </w:r>
    </w:p>
    <w:p>
      <w:pPr>
        <w:spacing w:after="0" w:line="407" w:lineRule="exact"/>
        <w:rPr>
          <w:sz w:val="20"/>
          <w:szCs w:val="20"/>
          <w:color w:val="auto"/>
        </w:rPr>
      </w:pPr>
    </w:p>
    <w:p>
      <w:pPr>
        <w:sectPr>
          <w:pgSz w:w="11900" w:h="16838" w:orient="portrait"/>
          <w:cols w:equalWidth="0" w:num="2">
            <w:col w:w="10520" w:space="260"/>
            <w:col w:w="64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 xml:space="preserve">IF VOTING BY MAIL, YOU </w:t>
      </w:r>
      <w:r>
        <w:rPr>
          <w:rFonts w:ascii="Arial" w:cs="Arial" w:eastAsia="Arial" w:hAnsi="Arial"/>
          <w:sz w:val="18"/>
          <w:szCs w:val="18"/>
          <w:b w:val="1"/>
          <w:bCs w:val="1"/>
          <w:u w:val="single" w:color="auto"/>
          <w:color w:val="auto"/>
        </w:rPr>
        <w:t>MUST</w:t>
      </w:r>
      <w:r>
        <w:rPr>
          <w:rFonts w:ascii="Arial" w:cs="Arial" w:eastAsia="Arial" w:hAnsi="Arial"/>
          <w:sz w:val="18"/>
          <w:szCs w:val="18"/>
          <w:b w:val="1"/>
          <w:bCs w:val="1"/>
          <w:color w:val="auto"/>
        </w:rPr>
        <w:t xml:space="preserve"> COMPLETE SECTIONS A - C ON BOTH SIDES OF THIS CARD.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980" w:type="dxa"/>
            <w:vAlign w:val="bottom"/>
            <w:tcBorders>
              <w:right w:val="single" w:sz="8" w:color="auto"/>
            </w:tcBorders>
          </w:tcPr>
          <w:p>
            <w:pPr>
              <w:jc w:val="right"/>
              <w:ind w:right="638"/>
              <w:spacing w:after="0" w:line="310" w:lineRule="exact"/>
              <w:rPr>
                <w:sz w:val="20"/>
                <w:szCs w:val="20"/>
                <w:color w:val="auto"/>
              </w:rPr>
            </w:pPr>
            <w:r>
              <w:rPr>
                <w:rFonts w:ascii="Arial" w:cs="Arial" w:eastAsia="Arial" w:hAnsi="Arial"/>
                <w:sz w:val="32"/>
                <w:szCs w:val="32"/>
                <w:color w:val="auto"/>
                <w:w w:val="89"/>
              </w:rPr>
              <w:t>¢</w:t>
            </w:r>
          </w:p>
        </w:tc>
        <w:tc>
          <w:tcPr>
            <w:tcW w:w="196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SEE REVERSE SIDE</w:t>
            </w:r>
          </w:p>
        </w:tc>
        <w:tc>
          <w:tcPr>
            <w:tcW w:w="5400" w:type="dxa"/>
            <w:vAlign w:val="bottom"/>
            <w:tcBorders>
              <w:right w:val="single" w:sz="8" w:color="auto"/>
            </w:tcBorders>
            <w:vMerge w:val="restart"/>
          </w:tcPr>
          <w:p>
            <w:pPr>
              <w:ind w:left="740"/>
              <w:spacing w:after="0"/>
              <w:rPr>
                <w:sz w:val="20"/>
                <w:szCs w:val="20"/>
                <w:color w:val="auto"/>
              </w:rPr>
            </w:pPr>
            <w:r>
              <w:rPr>
                <w:rFonts w:ascii="Arial" w:cs="Arial" w:eastAsia="Arial" w:hAnsi="Arial"/>
                <w:sz w:val="18"/>
                <w:szCs w:val="18"/>
                <w:b w:val="1"/>
                <w:bCs w:val="1"/>
                <w:color w:val="auto"/>
              </w:rPr>
              <w:t>TO BE SIGNED AND DATED ON REVERSE SIDE</w:t>
            </w:r>
          </w:p>
        </w:tc>
        <w:tc>
          <w:tcPr>
            <w:tcW w:w="196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SEE REVERSE SIDE</w:t>
            </w:r>
          </w:p>
        </w:tc>
        <w:tc>
          <w:tcPr>
            <w:tcW w:w="1120" w:type="dxa"/>
            <w:vAlign w:val="bottom"/>
          </w:tcPr>
          <w:p>
            <w:pPr>
              <w:jc w:val="right"/>
              <w:spacing w:after="0" w:line="311" w:lineRule="exact"/>
              <w:rPr>
                <w:sz w:val="20"/>
                <w:szCs w:val="20"/>
                <w:color w:val="auto"/>
              </w:rPr>
            </w:pPr>
            <w:r>
              <w:rPr>
                <w:rFonts w:ascii="Arial" w:cs="Arial" w:eastAsia="Arial" w:hAnsi="Arial"/>
                <w:sz w:val="36"/>
                <w:szCs w:val="36"/>
                <w:b w:val="1"/>
                <w:bCs w:val="1"/>
                <w:color w:val="auto"/>
              </w:rPr>
              <w:t>+</w:t>
            </w:r>
          </w:p>
        </w:tc>
        <w:tc>
          <w:tcPr>
            <w:tcW w:w="0" w:type="dxa"/>
            <w:vAlign w:val="bottom"/>
          </w:tcPr>
          <w:p>
            <w:pPr>
              <w:spacing w:after="0"/>
              <w:rPr>
                <w:sz w:val="1"/>
                <w:szCs w:val="1"/>
                <w:color w:val="auto"/>
              </w:rPr>
            </w:pPr>
          </w:p>
        </w:tc>
      </w:tr>
      <w:tr>
        <w:trPr>
          <w:trHeight w:val="52"/>
        </w:trPr>
        <w:tc>
          <w:tcPr>
            <w:tcW w:w="980" w:type="dxa"/>
            <w:vAlign w:val="bottom"/>
            <w:tcBorders>
              <w:right w:val="single" w:sz="8" w:color="auto"/>
            </w:tcBorders>
          </w:tcPr>
          <w:p>
            <w:pPr>
              <w:spacing w:after="0"/>
              <w:rPr>
                <w:sz w:val="4"/>
                <w:szCs w:val="4"/>
                <w:color w:val="auto"/>
              </w:rPr>
            </w:pPr>
          </w:p>
        </w:tc>
        <w:tc>
          <w:tcPr>
            <w:tcW w:w="1960" w:type="dxa"/>
            <w:vAlign w:val="bottom"/>
            <w:tcBorders>
              <w:right w:val="single" w:sz="8" w:color="auto"/>
            </w:tcBorders>
            <w:vMerge w:val="continue"/>
          </w:tcPr>
          <w:p>
            <w:pPr>
              <w:spacing w:after="0"/>
              <w:rPr>
                <w:sz w:val="4"/>
                <w:szCs w:val="4"/>
                <w:color w:val="auto"/>
              </w:rPr>
            </w:pPr>
          </w:p>
        </w:tc>
        <w:tc>
          <w:tcPr>
            <w:tcW w:w="5400" w:type="dxa"/>
            <w:vAlign w:val="bottom"/>
            <w:tcBorders>
              <w:right w:val="single" w:sz="8" w:color="auto"/>
            </w:tcBorders>
            <w:vMerge w:val="continue"/>
          </w:tcPr>
          <w:p>
            <w:pPr>
              <w:spacing w:after="0"/>
              <w:rPr>
                <w:sz w:val="4"/>
                <w:szCs w:val="4"/>
                <w:color w:val="auto"/>
              </w:rPr>
            </w:pPr>
          </w:p>
        </w:tc>
        <w:tc>
          <w:tcPr>
            <w:tcW w:w="1960" w:type="dxa"/>
            <w:vAlign w:val="bottom"/>
            <w:tcBorders>
              <w:right w:val="single" w:sz="8" w:color="auto"/>
            </w:tcBorders>
            <w:vMerge w:val="continue"/>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980" w:type="dxa"/>
            <w:vAlign w:val="bottom"/>
            <w:tcBorders>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5400" w:type="dxa"/>
            <w:vAlign w:val="bottom"/>
            <w:tcBorders>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lvl w:ilvl="1">
      <w:lvlJc w:val="left"/>
      <w:lvlText w:val="(%2)"/>
      <w:numFmt w:val="decimal"/>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2"/>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4"/>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2"/>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2"/>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4"/>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2"/>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lvl>
    <w:lvl w:ilvl="1">
      <w:lvlJc w:val="left"/>
      <w:lvlText w:val="A"/>
      <w:numFmt w:val="bullet"/>
      <w:start w:val="1"/>
    </w:lvl>
  </w:abstractNum>
  <w:abstractNum w:abstractNumId="37">
    <w:nsid w:val="5E884ADC"/>
    <w:multiLevelType w:val="hybridMultilevel"/>
    <w:lvl w:ilvl="0">
      <w:lvlJc w:val="left"/>
      <w:lvlText w:val="%1."/>
      <w:numFmt w:val="decimal"/>
      <w:start w:val="2"/>
    </w:lvl>
  </w:abstractNum>
  <w:abstractNum w:abstractNumId="38">
    <w:nsid w:val="51EAD36B"/>
    <w:multiLevelType w:val="hybridMultilevel"/>
    <w:lvl w:ilvl="0">
      <w:lvlJc w:val="left"/>
      <w:lvlText w:val="B"/>
      <w:numFmt w:val="bullet"/>
      <w:start w:val="1"/>
    </w:lvl>
  </w:abstractNum>
  <w:abstractNum w:abstractNumId="39">
    <w:nsid w:val="2D517796"/>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2019-12-05T22:46:36Z</dcterms:created>
  <dcterms:modified xsi:type="dcterms:W3CDTF">2019-12-05T22:46:36Z</dcterms:modified>
</cp:coreProperties>
</file>