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66675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97790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3520" w:right="1540" w:hanging="3512"/>
        <w:spacing w:after="0" w:line="314" w:lineRule="auto"/>
        <w:tabs>
          <w:tab w:leader="none" w:pos="5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660"/>
        <w:spacing w:after="0"/>
        <w:tabs>
          <w:tab w:leader="none" w:pos="68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7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4"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VIASAT, INC.</w:t>
      </w:r>
    </w:p>
    <w:p>
      <w:pPr>
        <w:spacing w:after="0" w:line="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00"/>
          </w:cols>
          <w:pgMar w:left="240" w:top="508" w:right="359" w:bottom="1440" w:gutter="0" w:footer="0" w:header="0"/>
        </w:sectPr>
      </w:pPr>
    </w:p>
    <w:p>
      <w:pPr>
        <w:spacing w:after="0" w:line="163"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33-0174996</w:t>
      </w:r>
    </w:p>
    <w:p>
      <w:pPr>
        <w:spacing w:after="0" w:line="16" w:lineRule="exact"/>
        <w:rPr>
          <w:sz w:val="24"/>
          <w:szCs w:val="24"/>
          <w:color w:val="auto"/>
        </w:rPr>
      </w:pPr>
    </w:p>
    <w:p>
      <w:pPr>
        <w:sectPr>
          <w:pgSz w:w="11900" w:h="16838" w:orient="portrait"/>
          <w:cols w:equalWidth="0" w:num="2">
            <w:col w:w="6940" w:space="720"/>
            <w:col w:w="3640"/>
          </w:cols>
          <w:pgMar w:left="240" w:top="508" w:right="359" w:bottom="1440" w:gutter="0" w:footer="0" w:header="0"/>
          <w:type w:val="continuous"/>
        </w:sectPr>
      </w:pPr>
    </w:p>
    <w:p>
      <w:pPr>
        <w:spacing w:after="0" w:line="23" w:lineRule="exact"/>
        <w:rPr>
          <w:sz w:val="24"/>
          <w:szCs w:val="24"/>
          <w:color w:val="auto"/>
        </w:rPr>
      </w:pPr>
    </w:p>
    <w:p>
      <w:pPr>
        <w:ind w:left="2360"/>
        <w:spacing w:after="0"/>
        <w:rPr>
          <w:sz w:val="20"/>
          <w:szCs w:val="20"/>
          <w:color w:val="auto"/>
        </w:rPr>
      </w:pPr>
      <w:r>
        <w:rPr>
          <w:rFonts w:ascii="Arial" w:cs="Arial" w:eastAsia="Arial" w:hAnsi="Arial"/>
          <w:sz w:val="12"/>
          <w:szCs w:val="12"/>
          <w:b w:val="1"/>
          <w:bCs w:val="1"/>
          <w:color w:val="auto"/>
        </w:rPr>
        <w:t>(State or other jurisdiction of</w:t>
      </w:r>
    </w:p>
    <w:p>
      <w:pPr>
        <w:ind w:left="23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580"/>
        <w:spacing w:after="0"/>
        <w:rPr>
          <w:sz w:val="20"/>
          <w:szCs w:val="20"/>
          <w:color w:val="auto"/>
        </w:rPr>
      </w:pPr>
      <w:r>
        <w:rPr>
          <w:rFonts w:ascii="Arial" w:cs="Arial" w:eastAsia="Arial" w:hAnsi="Arial"/>
          <w:sz w:val="14"/>
          <w:szCs w:val="14"/>
          <w:b w:val="1"/>
          <w:bCs w:val="1"/>
          <w:color w:val="auto"/>
        </w:rPr>
        <w:t>(I.R.S. Employer</w:t>
      </w:r>
    </w:p>
    <w:p>
      <w:pPr>
        <w:jc w:val="center"/>
        <w:ind w:right="2580"/>
        <w:spacing w:after="0"/>
        <w:rPr>
          <w:sz w:val="20"/>
          <w:szCs w:val="20"/>
          <w:color w:val="auto"/>
        </w:rPr>
      </w:pPr>
      <w:r>
        <w:rPr>
          <w:rFonts w:ascii="Arial" w:cs="Arial" w:eastAsia="Arial" w:hAnsi="Arial"/>
          <w:sz w:val="12"/>
          <w:szCs w:val="12"/>
          <w:b w:val="1"/>
          <w:bCs w:val="1"/>
          <w:color w:val="auto"/>
        </w:rPr>
        <w:t>Identification No.)</w:t>
      </w:r>
    </w:p>
    <w:p>
      <w:pPr>
        <w:spacing w:after="0" w:line="69" w:lineRule="exact"/>
        <w:rPr>
          <w:sz w:val="24"/>
          <w:szCs w:val="24"/>
          <w:color w:val="auto"/>
        </w:rPr>
      </w:pPr>
    </w:p>
    <w:p>
      <w:pPr>
        <w:sectPr>
          <w:pgSz w:w="11900" w:h="16838" w:orient="portrait"/>
          <w:cols w:equalWidth="0" w:num="2">
            <w:col w:w="6860" w:space="720"/>
            <w:col w:w="3720"/>
          </w:cols>
          <w:pgMar w:left="240" w:top="50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6155 El Camino Real</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Carlsbad, California 92009</w:t>
      </w:r>
    </w:p>
    <w:p>
      <w:pPr>
        <w:jc w:val="center"/>
        <w:ind w:right="-119"/>
        <w:spacing w:after="0"/>
        <w:rPr>
          <w:sz w:val="20"/>
          <w:szCs w:val="20"/>
          <w:color w:val="auto"/>
        </w:rPr>
      </w:pPr>
      <w:r>
        <w:rPr>
          <w:rFonts w:ascii="Arial" w:cs="Arial" w:eastAsia="Arial" w:hAnsi="Arial"/>
          <w:sz w:val="18"/>
          <w:szCs w:val="18"/>
          <w:b w:val="1"/>
          <w:bCs w:val="1"/>
          <w:color w:val="auto"/>
        </w:rPr>
        <w:t>(760) 476-2200</w:t>
      </w:r>
    </w:p>
    <w:p>
      <w:pPr>
        <w:sectPr>
          <w:pgSz w:w="11900" w:h="16838" w:orient="portrait"/>
          <w:cols w:equalWidth="0" w:num="1">
            <w:col w:w="11300"/>
          </w:cols>
          <w:pgMar w:left="240" w:top="508" w:right="359" w:bottom="1440" w:gutter="0" w:footer="0" w:header="0"/>
          <w:type w:val="continuous"/>
        </w:sect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41275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9" w:lineRule="exact"/>
        <w:rPr>
          <w:sz w:val="24"/>
          <w:szCs w:val="24"/>
          <w:color w:val="auto"/>
        </w:rPr>
      </w:pPr>
    </w:p>
    <w:p>
      <w:pPr>
        <w:ind w:right="320" w:firstLine="518"/>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81" w:lineRule="exact"/>
        <w:rPr>
          <w:sz w:val="24"/>
          <w:szCs w:val="24"/>
          <w:color w:val="auto"/>
        </w:rPr>
      </w:pPr>
    </w:p>
    <w:p>
      <w:pPr>
        <w:ind w:firstLine="518"/>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jc w:val="both"/>
        <w:ind w:right="40" w:firstLine="518"/>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0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600" w:firstLine="518"/>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34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October 26, 2018 was 59,650,229.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305435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08" w:right="3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52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20" w:type="dxa"/>
            <w:vAlign w:val="bottom"/>
            <w:gridSpan w:val="18"/>
            <w:vMerge w:val="continue"/>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7240" w:type="dxa"/>
            <w:vAlign w:val="bottom"/>
            <w:gridSpan w:val="8"/>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Income (Loss)</w:t>
              </w:r>
            </w:hyperlink>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 of Equity</w:t>
              </w:r>
            </w:hyperlink>
          </w:p>
        </w:tc>
        <w:tc>
          <w:tcPr>
            <w:tcW w:w="520" w:type="dxa"/>
            <w:vAlign w:val="bottom"/>
            <w:tcBorders>
              <w:top w:val="single" w:sz="8" w:color="0000EE"/>
            </w:tcBorders>
          </w:tcPr>
          <w:p>
            <w:pPr>
              <w:spacing w:after="0"/>
              <w:rPr>
                <w:sz w:val="17"/>
                <w:szCs w:val="17"/>
                <w:color w:val="auto"/>
              </w:rPr>
            </w:pPr>
          </w:p>
        </w:tc>
        <w:tc>
          <w:tcPr>
            <w:tcW w:w="5900" w:type="dxa"/>
            <w:vAlign w:val="bottom"/>
            <w:gridSpan w:val="5"/>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Item 2. Management’s Discussion and Analysis of Financial Condition and Results of Operations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7100" w:type="dxa"/>
            <w:vAlign w:val="bottom"/>
            <w:tcBorders>
              <w:top w:val="single" w:sz="8" w:color="0000EE"/>
            </w:tcBorders>
            <w:gridSpan w:val="15"/>
          </w:tcPr>
          <w:p>
            <w:pPr>
              <w:ind w:left="20"/>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2840" w:type="dxa"/>
            <w:vAlign w:val="bottom"/>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Item 4.</w:t>
              </w:r>
            </w:hyperlink>
          </w:p>
        </w:tc>
        <w:tc>
          <w:tcPr>
            <w:tcW w:w="2020" w:type="dxa"/>
            <w:vAlign w:val="bottom"/>
            <w:tcBorders>
              <w:top w:val="single" w:sz="8" w:color="0000EE"/>
              <w:bottom w:val="single" w:sz="8" w:color="0000EE"/>
            </w:tcBorders>
            <w:gridSpan w:val="5"/>
          </w:tcPr>
          <w:p>
            <w:pPr>
              <w:ind w:left="20"/>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Controls and Procedures</w:t>
              </w:r>
            </w:hyperlink>
          </w:p>
        </w:tc>
        <w:tc>
          <w:tcPr>
            <w:tcW w:w="2720" w:type="dxa"/>
            <w:vAlign w:val="bottom"/>
            <w:tcBorders>
              <w:top w:val="single" w:sz="8" w:color="0000EE"/>
            </w:tcBorders>
            <w:gridSpan w:val="8"/>
          </w:tcPr>
          <w:p>
            <w:pPr>
              <w:spacing w:after="0"/>
              <w:rPr>
                <w:sz w:val="17"/>
                <w:szCs w:val="17"/>
                <w:color w:val="auto"/>
              </w:rPr>
            </w:pPr>
          </w:p>
        </w:tc>
        <w:tc>
          <w:tcPr>
            <w:tcW w:w="5200" w:type="dxa"/>
            <w:vAlign w:val="bottom"/>
            <w:gridSpan w:val="3"/>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55">
              <w:r>
                <w:rPr>
                  <w:rFonts w:ascii="Arial" w:cs="Arial" w:eastAsia="Arial" w:hAnsi="Arial"/>
                  <w:sz w:val="18"/>
                  <w:szCs w:val="18"/>
                  <w:b w:val="1"/>
                  <w:bCs w:val="1"/>
                  <w:color w:val="0000EE"/>
                  <w:w w:val="98"/>
                </w:rPr>
                <w:t>PART II. OTHER INFORMATION</w:t>
              </w:r>
            </w:hyperlink>
          </w:p>
        </w:tc>
        <w:tc>
          <w:tcPr>
            <w:tcW w:w="78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Item 1.</w:t>
              </w:r>
            </w:hyperlink>
          </w:p>
        </w:tc>
        <w:tc>
          <w:tcPr>
            <w:tcW w:w="1520" w:type="dxa"/>
            <w:vAlign w:val="bottom"/>
            <w:tcBorders>
              <w:bottom w:val="single" w:sz="8" w:color="0000EE"/>
            </w:tcBorders>
            <w:gridSpan w:val="4"/>
          </w:tcPr>
          <w:p>
            <w:pPr>
              <w:ind w:left="20"/>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Legal Proceedings</w:t>
              </w:r>
            </w:hyperlink>
          </w:p>
        </w:tc>
        <w:tc>
          <w:tcPr>
            <w:tcW w:w="8420" w:type="dxa"/>
            <w:vAlign w:val="bottom"/>
            <w:gridSpan w:val="12"/>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Item 1A. Risk Factors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Item 6.</w:t>
              </w:r>
            </w:hyperlink>
          </w:p>
        </w:tc>
        <w:tc>
          <w:tcPr>
            <w:tcW w:w="66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8"/>
              </w:rPr>
            </w:pPr>
            <w:hyperlink w:anchor="page56">
              <w:r>
                <w:rPr>
                  <w:rFonts w:ascii="Arial" w:cs="Arial" w:eastAsia="Arial" w:hAnsi="Arial"/>
                  <w:sz w:val="18"/>
                  <w:szCs w:val="18"/>
                  <w:color w:val="0000EE"/>
                  <w:w w:val="98"/>
                </w:rPr>
                <w:t>Exhibits</w:t>
              </w:r>
            </w:hyperlink>
          </w:p>
        </w:tc>
        <w:tc>
          <w:tcPr>
            <w:tcW w:w="480" w:type="dxa"/>
            <w:vAlign w:val="bottom"/>
            <w:tcBorders>
              <w:top w:val="single" w:sz="8" w:color="0000EE"/>
            </w:tcBorders>
          </w:tcPr>
          <w:p>
            <w:pPr>
              <w:spacing w:after="0"/>
              <w:rPr>
                <w:sz w:val="17"/>
                <w:szCs w:val="17"/>
                <w:color w:val="auto"/>
              </w:rPr>
            </w:pPr>
          </w:p>
        </w:tc>
        <w:tc>
          <w:tcPr>
            <w:tcW w:w="8800" w:type="dxa"/>
            <w:vAlign w:val="bottom"/>
            <w:gridSpan w:val="13"/>
          </w:tcPr>
          <w:p>
            <w:pPr>
              <w:spacing w:after="0"/>
              <w:rPr>
                <w:sz w:val="17"/>
                <w:szCs w:val="17"/>
                <w:color w:val="auto"/>
              </w:rPr>
            </w:pP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595"/>
        </w:trPr>
        <w:tc>
          <w:tcPr>
            <w:tcW w:w="4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8"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652"/>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7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ind w:right="172"/>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69"/>
        </w:trPr>
        <w:tc>
          <w:tcPr>
            <w:tcW w:w="7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32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44,458</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7,169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268,803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267,665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232,078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233,258</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785,766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612,553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Satellites,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1,124,074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1,239,987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826,299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26,072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122,676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744,740</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686,134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3,629,627</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FF0FC"/>
              <w:bottom w:val="single" w:sz="8" w:color="CFF0FC"/>
            </w:tcBorders>
            <w:vMerge w:val="restart"/>
          </w:tcPr>
          <w:p>
            <w:pPr>
              <w:ind w:left="248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165,317</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157,481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250,407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47,702</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463,426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Senior notes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691,497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690,886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Other long-term debt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460,101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287,519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130,266</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1,745,290</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1,566,102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Viasat, Inc. stockholders’ equity</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1,614,224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1,535,635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252,107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285,960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8,376</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1,874,713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1,837,166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9,624</w:t>
            </w:r>
          </w:p>
        </w:tc>
        <w:tc>
          <w:tcPr>
            <w:tcW w:w="2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1,884,337</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1,848,007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3,629,627</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September 30, 2017</w:t>
            </w:r>
          </w:p>
        </w:tc>
        <w:tc>
          <w:tcPr>
            <w:tcW w:w="80" w:type="dxa"/>
            <w:vAlign w:val="bottom"/>
          </w:tcPr>
          <w:p>
            <w:pPr>
              <w:spacing w:after="0"/>
              <w:rPr>
                <w:sz w:val="14"/>
                <w:szCs w:val="14"/>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September 30, 2018</w:t>
            </w:r>
          </w:p>
        </w:tc>
        <w:tc>
          <w:tcPr>
            <w:tcW w:w="1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120" w:type="dxa"/>
            <w:vAlign w:val="bottom"/>
            <w:tcBorders>
              <w:top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rPr>
              <w:t>(In thousands, except per share data)</w:t>
            </w:r>
          </w:p>
        </w:tc>
        <w:tc>
          <w:tcPr>
            <w:tcW w:w="6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280,435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181,783</w:t>
            </w:r>
          </w:p>
        </w:tc>
        <w:tc>
          <w:tcPr>
            <w:tcW w:w="140" w:type="dxa"/>
            <w:vAlign w:val="bottom"/>
          </w:tcPr>
          <w:p>
            <w:pPr>
              <w:spacing w:after="0"/>
              <w:rPr>
                <w:sz w:val="18"/>
                <w:szCs w:val="18"/>
                <w:color w:val="auto"/>
              </w:rPr>
            </w:pPr>
          </w:p>
        </w:tc>
        <w:tc>
          <w:tcPr>
            <w:tcW w:w="4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498,564</w:t>
            </w:r>
          </w:p>
        </w:tc>
        <w:tc>
          <w:tcPr>
            <w:tcW w:w="240" w:type="dxa"/>
            <w:vAlign w:val="bottom"/>
          </w:tcPr>
          <w:p>
            <w:pPr>
              <w:spacing w:after="0"/>
              <w:rPr>
                <w:sz w:val="18"/>
                <w:szCs w:val="18"/>
                <w:color w:val="auto"/>
              </w:rPr>
            </w:pPr>
          </w:p>
        </w:tc>
        <w:tc>
          <w:tcPr>
            <w:tcW w:w="620" w:type="dxa"/>
            <w:vAlign w:val="bottom"/>
          </w:tcPr>
          <w:p>
            <w:pPr>
              <w:jc w:val="right"/>
              <w:ind w:right="433"/>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10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237,039</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211,291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457,779</w:t>
            </w:r>
          </w:p>
        </w:tc>
        <w:tc>
          <w:tcPr>
            <w:tcW w:w="24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425,217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517,474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393,074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956,343</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773,118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216,900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133,850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390,348</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175,230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346,662</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113,120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225,762</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31,360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64,733</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w:t>
            </w:r>
          </w:p>
        </w:tc>
        <w:tc>
          <w:tcPr>
            <w:tcW w:w="24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(21,571)</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(15,860)</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(76,050)</w:t>
            </w:r>
          </w:p>
        </w:tc>
        <w:tc>
          <w:tcPr>
            <w:tcW w:w="6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(33,810)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(14,074)</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(25,398)</w:t>
            </w:r>
          </w:p>
        </w:tc>
        <w:tc>
          <w:tcPr>
            <w:tcW w:w="6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(10,217)</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(10,217)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(35,616)</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(26,097)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(101,383)</w:t>
            </w:r>
          </w:p>
        </w:tc>
        <w:tc>
          <w:tcPr>
            <w:tcW w:w="6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(44,010)</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38,909</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 income of unconsolidated affiliate, net</w:t>
            </w: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24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(25,598)</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(13,892)</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(61,095)</w:t>
            </w:r>
          </w:p>
        </w:tc>
        <w:tc>
          <w:tcPr>
            <w:tcW w:w="6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(23,138)</w:t>
            </w: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Less: net income (loss) attributable to noncontrolling</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Arial" w:cs="Arial" w:eastAsia="Arial" w:hAnsi="Arial"/>
                <w:sz w:val="18"/>
                <w:szCs w:val="18"/>
                <w:color w:val="auto"/>
              </w:rPr>
              <w:t>interests, net of tax</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126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(203)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(1,361)</w:t>
            </w:r>
          </w:p>
        </w:tc>
        <w:tc>
          <w:tcPr>
            <w:tcW w:w="620" w:type="dxa"/>
            <w:vAlign w:val="bottom"/>
          </w:tcPr>
          <w:p>
            <w:pPr>
              <w:spacing w:after="0"/>
              <w:rPr>
                <w:sz w:val="17"/>
                <w:szCs w:val="17"/>
                <w:color w:val="auto"/>
              </w:rPr>
            </w:pPr>
          </w:p>
        </w:tc>
        <w:tc>
          <w:tcPr>
            <w:tcW w:w="9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Viasat, Inc.</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(25,724)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(13,689)</w:t>
            </w:r>
          </w:p>
        </w:tc>
        <w:tc>
          <w:tcPr>
            <w:tcW w:w="4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(59,734)</w:t>
            </w:r>
          </w:p>
        </w:tc>
        <w:tc>
          <w:tcPr>
            <w:tcW w:w="620" w:type="dxa"/>
            <w:vAlign w:val="bottom"/>
            <w:shd w:val="clear" w:color="auto" w:fill="CFF0FC"/>
          </w:tcPr>
          <w:p>
            <w:pPr>
              <w:jc w:val="right"/>
              <w:ind w:right="433"/>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(22,728)</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Basic net loss per share attributable to Viasat, Inc. common</w:t>
            </w: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3" w:lineRule="exact"/>
              <w:rPr>
                <w:sz w:val="20"/>
                <w:szCs w:val="20"/>
                <w:color w:val="auto"/>
              </w:rPr>
            </w:pPr>
            <w:r>
              <w:rPr>
                <w:rFonts w:ascii="Arial" w:cs="Arial" w:eastAsia="Arial" w:hAnsi="Arial"/>
                <w:sz w:val="18"/>
                <w:szCs w:val="18"/>
                <w:color w:val="auto"/>
              </w:rPr>
              <w:t>stockholders</w:t>
            </w:r>
          </w:p>
        </w:tc>
        <w:tc>
          <w:tcPr>
            <w:tcW w:w="52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(0.43)</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(0.24)</w:t>
            </w:r>
          </w:p>
        </w:tc>
        <w:tc>
          <w:tcPr>
            <w:tcW w:w="480" w:type="dxa"/>
            <w:vAlign w:val="bottom"/>
            <w:gridSpan w:val="2"/>
          </w:tcPr>
          <w:p>
            <w:pPr>
              <w:jc w:val="right"/>
              <w:ind w:right="228"/>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(1.00)</w:t>
            </w:r>
          </w:p>
        </w:tc>
        <w:tc>
          <w:tcPr>
            <w:tcW w:w="620" w:type="dxa"/>
            <w:vAlign w:val="bottom"/>
          </w:tcPr>
          <w:p>
            <w:pPr>
              <w:jc w:val="right"/>
              <w:ind w:right="433"/>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per share attributable to Viasat, Inc.</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common stockholders</w:t>
            </w:r>
          </w:p>
        </w:tc>
        <w:tc>
          <w:tcPr>
            <w:tcW w:w="520" w:type="dxa"/>
            <w:vAlign w:val="bottom"/>
            <w:gridSpan w:val="2"/>
            <w:shd w:val="clear" w:color="auto" w:fill="CFF0FC"/>
          </w:tcPr>
          <w:p>
            <w:pPr>
              <w:ind w:left="10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(0.43)</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(0.24)</w:t>
            </w:r>
          </w:p>
        </w:tc>
        <w:tc>
          <w:tcPr>
            <w:tcW w:w="480" w:type="dxa"/>
            <w:vAlign w:val="bottom"/>
            <w:gridSpan w:val="2"/>
            <w:shd w:val="clear" w:color="auto" w:fill="CFF0FC"/>
          </w:tcPr>
          <w:p>
            <w:pPr>
              <w:jc w:val="right"/>
              <w:ind w:right="228"/>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(1.00)</w:t>
            </w:r>
          </w:p>
        </w:tc>
        <w:tc>
          <w:tcPr>
            <w:tcW w:w="620" w:type="dxa"/>
            <w:vAlign w:val="bottom"/>
            <w:shd w:val="clear" w:color="auto" w:fill="CFF0FC"/>
          </w:tcPr>
          <w:p>
            <w:pPr>
              <w:jc w:val="right"/>
              <w:ind w:right="433"/>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Shares used in computing basic net loss per share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59,734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58,229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59,470</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diluted net loss per share</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59,734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59,470</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(25,598)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(13,892)</w:t>
            </w:r>
          </w:p>
        </w:tc>
        <w:tc>
          <w:tcPr>
            <w:tcW w:w="4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(61,095)</w:t>
            </w:r>
          </w:p>
        </w:tc>
        <w:tc>
          <w:tcPr>
            <w:tcW w:w="620" w:type="dxa"/>
            <w:vAlign w:val="bottom"/>
            <w:shd w:val="clear" w:color="auto" w:fill="CFF0FC"/>
          </w:tcPr>
          <w:p>
            <w:pPr>
              <w:jc w:val="right"/>
              <w:ind w:right="433"/>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(23,138)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hedging, net of tax</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(288)</w:t>
            </w:r>
          </w:p>
        </w:tc>
        <w:tc>
          <w:tcPr>
            <w:tcW w:w="6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 net of tax</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(7,104)</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(6,901)</w:t>
            </w:r>
          </w:p>
        </w:tc>
        <w:tc>
          <w:tcPr>
            <w:tcW w:w="6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 net of tax</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(7,066)</w:t>
            </w: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(7,189)</w:t>
            </w:r>
          </w:p>
        </w:tc>
        <w:tc>
          <w:tcPr>
            <w:tcW w:w="6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(32,664)</w:t>
            </w: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(7,554)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(68,284)</w:t>
            </w:r>
          </w:p>
        </w:tc>
        <w:tc>
          <w:tcPr>
            <w:tcW w:w="6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(13,183)</w:t>
            </w: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Less: comprehensive income (loss) attributable to</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noncontrolling interests, net of tax</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126</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(203)</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(1,361)</w:t>
            </w:r>
          </w:p>
        </w:tc>
        <w:tc>
          <w:tcPr>
            <w:tcW w:w="6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Comprehensive loss attributable to Viasat, Inc.</w:t>
            </w:r>
          </w:p>
        </w:tc>
        <w:tc>
          <w:tcPr>
            <w:tcW w:w="1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(32,790)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(7,351)</w:t>
            </w:r>
          </w:p>
        </w:tc>
        <w:tc>
          <w:tcPr>
            <w:tcW w:w="4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(66,923)</w:t>
            </w:r>
          </w:p>
        </w:tc>
        <w:tc>
          <w:tcPr>
            <w:tcW w:w="620" w:type="dxa"/>
            <w:vAlign w:val="bottom"/>
          </w:tcPr>
          <w:p>
            <w:pPr>
              <w:jc w:val="right"/>
              <w:ind w:right="433"/>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(12,773)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00" w:type="dxa"/>
            <w:vAlign w:val="bottom"/>
            <w:gridSpan w:val="5"/>
          </w:tcPr>
          <w:p>
            <w:pPr>
              <w:jc w:val="right"/>
              <w:ind w:right="152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6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920" w:type="dxa"/>
            <w:vAlign w:val="bottom"/>
            <w:tcBorders>
              <w:top w:val="single" w:sz="8" w:color="auto"/>
              <w:bottom w:val="single" w:sz="8" w:color="auto"/>
            </w:tcBorders>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September 30, 2018</w:t>
            </w:r>
          </w:p>
        </w:tc>
        <w:tc>
          <w:tcPr>
            <w:tcW w:w="20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3"/>
                <w:szCs w:val="13"/>
                <w:color w:val="auto"/>
              </w:rPr>
            </w:pPr>
          </w:p>
        </w:tc>
      </w:tr>
      <w:tr>
        <w:trPr>
          <w:trHeight w:val="156"/>
        </w:trPr>
        <w:tc>
          <w:tcPr>
            <w:tcW w:w="6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80" w:type="dxa"/>
            <w:vAlign w:val="bottom"/>
            <w:gridSpan w:val="4"/>
          </w:tcPr>
          <w:p>
            <w:pPr>
              <w:jc w:val="right"/>
              <w:ind w:right="1439"/>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(61,095)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(23,138)</w:t>
            </w: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Adjustments to reconcile net loss to net cash provided by operating activities: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500"/>
              <w:spacing w:after="0"/>
              <w:rPr>
                <w:sz w:val="20"/>
                <w:szCs w:val="20"/>
                <w:color w:val="auto"/>
              </w:rPr>
            </w:pPr>
            <w:r>
              <w:rPr>
                <w:rFonts w:ascii="Arial" w:cs="Arial" w:eastAsia="Arial" w:hAnsi="Arial"/>
                <w:sz w:val="16"/>
                <w:szCs w:val="16"/>
                <w:color w:val="auto"/>
              </w:rPr>
              <w:t>Depreciation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128,990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101,659</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intangible assets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28,281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23,150</w:t>
            </w: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(40,528)</w:t>
            </w:r>
          </w:p>
        </w:tc>
        <w:tc>
          <w:tcPr>
            <w:tcW w:w="200" w:type="dxa"/>
            <w:vAlign w:val="bottom"/>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(21,313)</w:t>
            </w:r>
          </w:p>
        </w:tc>
      </w:tr>
      <w:tr>
        <w:trPr>
          <w:trHeight w:val="203"/>
        </w:trPr>
        <w:tc>
          <w:tcPr>
            <w:tcW w:w="6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 expense</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38,503</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31,490</w:t>
            </w: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500"/>
              <w:spacing w:after="0"/>
              <w:rPr>
                <w:sz w:val="20"/>
                <w:szCs w:val="20"/>
                <w:color w:val="auto"/>
              </w:rPr>
            </w:pPr>
            <w:r>
              <w:rPr>
                <w:rFonts w:ascii="Arial" w:cs="Arial" w:eastAsia="Arial" w:hAnsi="Arial"/>
                <w:sz w:val="16"/>
                <w:szCs w:val="16"/>
                <w:color w:val="auto"/>
              </w:rPr>
              <w:t>Loss on disposition of fixed assets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26,025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17,853</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extinguishment of debt</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10,217</w:t>
            </w: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500"/>
              <w:spacing w:after="0"/>
              <w:rPr>
                <w:sz w:val="20"/>
                <w:szCs w:val="20"/>
                <w:color w:val="auto"/>
              </w:rPr>
            </w:pPr>
            <w:r>
              <w:rPr>
                <w:rFonts w:ascii="Arial" w:cs="Arial" w:eastAsia="Arial" w:hAnsi="Arial"/>
                <w:sz w:val="16"/>
                <w:szCs w:val="16"/>
                <w:color w:val="auto"/>
              </w:rPr>
              <w:t>Other non-cash adjustments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7,775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4,253</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Increase (decrease) in cash resulting from changes in operating assets and liabilities: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(10,595)</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7,657</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(34,173)</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(12,455)</w:t>
            </w:r>
          </w:p>
        </w:tc>
      </w:tr>
      <w:tr>
        <w:trPr>
          <w:trHeight w:val="203"/>
        </w:trPr>
        <w:tc>
          <w:tcPr>
            <w:tcW w:w="684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(9,771)</w:t>
            </w:r>
          </w:p>
        </w:tc>
        <w:tc>
          <w:tcPr>
            <w:tcW w:w="200" w:type="dxa"/>
            <w:vAlign w:val="bottom"/>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(18,277)</w:t>
            </w:r>
          </w:p>
        </w:tc>
      </w:tr>
      <w:tr>
        <w:trPr>
          <w:trHeight w:val="203"/>
        </w:trPr>
        <w:tc>
          <w:tcPr>
            <w:tcW w:w="6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19,908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(7,744)</w:t>
            </w:r>
          </w:p>
        </w:tc>
      </w:tr>
      <w:tr>
        <w:trPr>
          <w:trHeight w:val="203"/>
        </w:trPr>
        <w:tc>
          <w:tcPr>
            <w:tcW w:w="6840" w:type="dxa"/>
            <w:vAlign w:val="bottom"/>
          </w:tcPr>
          <w:p>
            <w:pPr>
              <w:ind w:left="500"/>
              <w:spacing w:after="0"/>
              <w:rPr>
                <w:sz w:val="20"/>
                <w:szCs w:val="20"/>
                <w:color w:val="auto"/>
              </w:rPr>
            </w:pPr>
            <w:r>
              <w:rPr>
                <w:rFonts w:ascii="Arial" w:cs="Arial" w:eastAsia="Arial" w:hAnsi="Arial"/>
                <w:sz w:val="16"/>
                <w:szCs w:val="16"/>
                <w:color w:val="auto"/>
              </w:rPr>
              <w:t>Accrued liabilities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10,396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5,984</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liabilities</w:t>
            </w:r>
          </w:p>
        </w:tc>
        <w:tc>
          <w:tcPr>
            <w:tcW w:w="4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7,576</w:t>
            </w:r>
          </w:p>
        </w:tc>
        <w:tc>
          <w:tcPr>
            <w:tcW w:w="2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66,490</w:t>
            </w:r>
          </w:p>
        </w:tc>
        <w:tc>
          <w:tcPr>
            <w:tcW w:w="120" w:type="dxa"/>
            <w:vAlign w:val="bottom"/>
            <w:shd w:val="clear" w:color="auto" w:fill="CFF0FC"/>
          </w:tcPr>
          <w:p>
            <w:pPr>
              <w:spacing w:after="0"/>
              <w:rPr>
                <w:sz w:val="17"/>
                <w:szCs w:val="17"/>
                <w:color w:val="auto"/>
              </w:rPr>
            </w:pPr>
          </w:p>
        </w:tc>
      </w:tr>
      <w:tr>
        <w:trPr>
          <w:trHeight w:val="196"/>
        </w:trPr>
        <w:tc>
          <w:tcPr>
            <w:tcW w:w="6840" w:type="dxa"/>
            <w:vAlign w:val="bottom"/>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111,292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185,826</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Purchase of property, equipment and satellites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(333,466)</w:t>
            </w:r>
          </w:p>
        </w:tc>
        <w:tc>
          <w:tcPr>
            <w:tcW w:w="200" w:type="dxa"/>
            <w:vAlign w:val="bottom"/>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(206,627)</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patents, licenses and other assets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(21,692)</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(36,969)</w:t>
            </w: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Proceeds from insurance claims on ViaSat-2 satellite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44,394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 of real property</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14,034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Other investing activities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(2,339)</w:t>
            </w:r>
          </w:p>
        </w:tc>
        <w:tc>
          <w:tcPr>
            <w:tcW w:w="200" w:type="dxa"/>
            <w:vAlign w:val="bottom"/>
          </w:tcPr>
          <w:p>
            <w:pPr>
              <w:spacing w:after="0"/>
              <w:rPr>
                <w:sz w:val="17"/>
                <w:szCs w:val="17"/>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68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8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used in investing activities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(299,069)</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(243,596)</w:t>
            </w:r>
          </w:p>
        </w:tc>
      </w:tr>
      <w:tr>
        <w:trPr>
          <w:trHeight w:val="203"/>
        </w:trPr>
        <w:tc>
          <w:tcPr>
            <w:tcW w:w="68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revolving credit facility borrowings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355,000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Payments of revolving credit facility borrowings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(130,000)</w:t>
            </w:r>
          </w:p>
        </w:tc>
        <w:tc>
          <w:tcPr>
            <w:tcW w:w="200" w:type="dxa"/>
            <w:vAlign w:val="bottom"/>
          </w:tcPr>
          <w:p>
            <w:pPr>
              <w:spacing w:after="0"/>
              <w:rPr>
                <w:sz w:val="17"/>
                <w:szCs w:val="17"/>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Ex-Im credit facility borrowings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(56,386)</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Proceeds from Ex-Im credit facility borrowings, net of discount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52,503</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2025 Notes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700,000</w:t>
            </w:r>
          </w:p>
        </w:tc>
        <w:tc>
          <w:tcPr>
            <w:tcW w:w="120" w:type="dxa"/>
            <w:vAlign w:val="bottom"/>
            <w:shd w:val="clear" w:color="auto" w:fill="CFF0FC"/>
          </w:tcPr>
          <w:p>
            <w:pPr>
              <w:spacing w:after="0"/>
              <w:rPr>
                <w:sz w:val="17"/>
                <w:szCs w:val="17"/>
                <w:color w:val="auto"/>
              </w:rPr>
            </w:pP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Repayment of 2020 Notes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(575,000)</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of debt extinguishment costs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(10,602)</w:t>
            </w:r>
          </w:p>
        </w:tc>
      </w:tr>
      <w:tr>
        <w:trPr>
          <w:trHeight w:val="203"/>
        </w:trPr>
        <w:tc>
          <w:tcPr>
            <w:tcW w:w="6840" w:type="dxa"/>
            <w:vAlign w:val="bottom"/>
          </w:tcPr>
          <w:p>
            <w:pPr>
              <w:ind w:left="260"/>
              <w:spacing w:after="0"/>
              <w:rPr>
                <w:sz w:val="20"/>
                <w:szCs w:val="20"/>
                <w:color w:val="auto"/>
              </w:rPr>
            </w:pPr>
            <w:r>
              <w:rPr>
                <w:rFonts w:ascii="Arial" w:cs="Arial" w:eastAsia="Arial" w:hAnsi="Arial"/>
                <w:sz w:val="16"/>
                <w:szCs w:val="16"/>
                <w:color w:val="auto"/>
              </w:rPr>
              <w:t>Payment of debt issuance costs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(8,735)</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common stock under equity plans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11,087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14,871</w:t>
            </w:r>
          </w:p>
        </w:tc>
        <w:tc>
          <w:tcPr>
            <w:tcW w:w="120" w:type="dxa"/>
            <w:vAlign w:val="bottom"/>
            <w:shd w:val="clear" w:color="auto" w:fill="CFF0FC"/>
          </w:tcPr>
          <w:p>
            <w:pPr>
              <w:spacing w:after="0"/>
              <w:rPr>
                <w:sz w:val="17"/>
                <w:szCs w:val="17"/>
                <w:color w:val="auto"/>
              </w:rPr>
            </w:pPr>
          </w:p>
        </w:tc>
      </w:tr>
      <w:tr>
        <w:trPr>
          <w:trHeight w:val="204"/>
        </w:trPr>
        <w:tc>
          <w:tcPr>
            <w:tcW w:w="6840" w:type="dxa"/>
            <w:vAlign w:val="bottom"/>
          </w:tcPr>
          <w:p>
            <w:pPr>
              <w:ind w:left="260"/>
              <w:spacing w:after="0"/>
              <w:rPr>
                <w:sz w:val="20"/>
                <w:szCs w:val="20"/>
                <w:color w:val="auto"/>
              </w:rPr>
            </w:pPr>
            <w:r>
              <w:rPr>
                <w:rFonts w:ascii="Arial" w:cs="Arial" w:eastAsia="Arial" w:hAnsi="Arial"/>
                <w:sz w:val="16"/>
                <w:szCs w:val="16"/>
                <w:color w:val="auto"/>
              </w:rPr>
              <w:t>Purchase of common stock in treasury (immediately retired) related to tax</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6840" w:type="dxa"/>
            <w:vAlign w:val="bottom"/>
          </w:tcPr>
          <w:p>
            <w:pPr>
              <w:ind w:left="380"/>
              <w:spacing w:after="0"/>
              <w:rPr>
                <w:sz w:val="20"/>
                <w:szCs w:val="20"/>
                <w:color w:val="auto"/>
              </w:rPr>
            </w:pPr>
            <w:r>
              <w:rPr>
                <w:rFonts w:ascii="Arial" w:cs="Arial" w:eastAsia="Arial" w:hAnsi="Arial"/>
                <w:sz w:val="16"/>
                <w:szCs w:val="16"/>
                <w:color w:val="auto"/>
              </w:rPr>
              <w:t>withholdings for share-based awards</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(6,551)</w:t>
            </w:r>
          </w:p>
        </w:tc>
        <w:tc>
          <w:tcPr>
            <w:tcW w:w="200" w:type="dxa"/>
            <w:vAlign w:val="bottom"/>
          </w:tcPr>
          <w:p>
            <w:pPr>
              <w:spacing w:after="0"/>
              <w:rPr>
                <w:sz w:val="16"/>
                <w:szCs w:val="16"/>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(2,483)</w:t>
            </w: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financing activities</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(3,886)</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(757)</w:t>
            </w:r>
          </w:p>
        </w:tc>
      </w:tr>
      <w:tr>
        <w:trPr>
          <w:trHeight w:val="196"/>
        </w:trPr>
        <w:tc>
          <w:tcPr>
            <w:tcW w:w="6840" w:type="dxa"/>
            <w:vAlign w:val="bottom"/>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169,264</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169,797</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w:t>
            </w: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(1,306)</w:t>
            </w:r>
          </w:p>
        </w:tc>
        <w:tc>
          <w:tcPr>
            <w:tcW w:w="20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FF0FC"/>
          </w:tcPr>
          <w:p>
            <w:pPr>
              <w:spacing w:after="0"/>
              <w:rPr>
                <w:sz w:val="17"/>
                <w:szCs w:val="17"/>
                <w:color w:val="auto"/>
              </w:rPr>
            </w:pPr>
          </w:p>
        </w:tc>
      </w:tr>
      <w:tr>
        <w:trPr>
          <w:trHeight w:val="20"/>
        </w:trPr>
        <w:tc>
          <w:tcPr>
            <w:tcW w:w="6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840" w:type="dxa"/>
            <w:vAlign w:val="bottom"/>
          </w:tcPr>
          <w:p>
            <w:pPr>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6"/>
                <w:szCs w:val="16"/>
                <w:color w:val="auto"/>
              </w:rPr>
              <w:t>(19,819)</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112,610</w:t>
            </w:r>
          </w:p>
        </w:tc>
        <w:tc>
          <w:tcPr>
            <w:tcW w:w="120" w:type="dxa"/>
            <w:vAlign w:val="bottom"/>
          </w:tcPr>
          <w:p>
            <w:pPr>
              <w:spacing w:after="0"/>
              <w:rPr>
                <w:sz w:val="17"/>
                <w:szCs w:val="17"/>
                <w:color w:val="auto"/>
              </w:rPr>
            </w:pPr>
          </w:p>
        </w:tc>
      </w:tr>
      <w:tr>
        <w:trPr>
          <w:trHeight w:val="203"/>
        </w:trPr>
        <w:tc>
          <w:tcPr>
            <w:tcW w:w="68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4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71,446</w:t>
            </w:r>
          </w:p>
        </w:tc>
        <w:tc>
          <w:tcPr>
            <w:tcW w:w="2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130,098</w:t>
            </w:r>
          </w:p>
        </w:tc>
        <w:tc>
          <w:tcPr>
            <w:tcW w:w="120" w:type="dxa"/>
            <w:vAlign w:val="bottom"/>
            <w:shd w:val="clear" w:color="auto" w:fill="CFF0FC"/>
          </w:tcPr>
          <w:p>
            <w:pPr>
              <w:spacing w:after="0"/>
              <w:rPr>
                <w:sz w:val="17"/>
                <w:szCs w:val="17"/>
                <w:color w:val="auto"/>
              </w:rPr>
            </w:pPr>
          </w:p>
        </w:tc>
      </w:tr>
      <w:tr>
        <w:trPr>
          <w:trHeight w:val="236"/>
        </w:trPr>
        <w:tc>
          <w:tcPr>
            <w:tcW w:w="6840" w:type="dxa"/>
            <w:vAlign w:val="bottom"/>
          </w:tcPr>
          <w:p>
            <w:pPr>
              <w:spacing w:after="0"/>
              <w:rPr>
                <w:sz w:val="20"/>
                <w:szCs w:val="20"/>
                <w:color w:val="auto"/>
              </w:rPr>
            </w:pPr>
            <w:r>
              <w:rPr>
                <w:rFonts w:ascii="Arial" w:cs="Arial" w:eastAsia="Arial" w:hAnsi="Arial"/>
                <w:sz w:val="16"/>
                <w:szCs w:val="16"/>
                <w:color w:val="auto"/>
              </w:rPr>
              <w:t>Cash and cash equivalents and restricted cash at end of period</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51,627</w:t>
            </w:r>
          </w:p>
        </w:tc>
        <w:tc>
          <w:tcPr>
            <w:tcW w:w="2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242,708</w:t>
            </w:r>
          </w:p>
        </w:tc>
        <w:tc>
          <w:tcPr>
            <w:tcW w:w="120" w:type="dxa"/>
            <w:vAlign w:val="bottom"/>
          </w:tcPr>
          <w:p>
            <w:pPr>
              <w:spacing w:after="0"/>
              <w:rPr>
                <w:sz w:val="20"/>
                <w:szCs w:val="20"/>
                <w:color w:val="auto"/>
              </w:rPr>
            </w:pPr>
          </w:p>
        </w:tc>
      </w:tr>
      <w:tr>
        <w:trPr>
          <w:trHeight w:val="18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4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64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6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r>
      <w:tr>
        <w:trPr>
          <w:trHeight w:val="204"/>
        </w:trPr>
        <w:tc>
          <w:tcPr>
            <w:tcW w:w="6840" w:type="dxa"/>
            <w:vAlign w:val="bottom"/>
          </w:tcPr>
          <w:p>
            <w:pPr>
              <w:ind w:left="260"/>
              <w:spacing w:after="0"/>
              <w:rPr>
                <w:sz w:val="20"/>
                <w:szCs w:val="20"/>
                <w:color w:val="auto"/>
              </w:rPr>
            </w:pPr>
            <w:r>
              <w:rPr>
                <w:rFonts w:ascii="Arial" w:cs="Arial" w:eastAsia="Arial" w:hAnsi="Arial"/>
                <w:sz w:val="16"/>
                <w:szCs w:val="16"/>
                <w:color w:val="auto"/>
              </w:rPr>
              <w:t>Issuance of common stock in satisfaction of certain accrued employee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6840" w:type="dxa"/>
            <w:vAlign w:val="bottom"/>
          </w:tcPr>
          <w:p>
            <w:pPr>
              <w:ind w:left="380"/>
              <w:spacing w:after="0"/>
              <w:rPr>
                <w:sz w:val="20"/>
                <w:szCs w:val="20"/>
                <w:color w:val="auto"/>
              </w:rPr>
            </w:pPr>
            <w:r>
              <w:rPr>
                <w:rFonts w:ascii="Arial" w:cs="Arial" w:eastAsia="Arial" w:hAnsi="Arial"/>
                <w:sz w:val="16"/>
                <w:szCs w:val="16"/>
                <w:color w:val="auto"/>
              </w:rPr>
              <w:t>compensation liabilities</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32,129</w:t>
            </w:r>
          </w:p>
        </w:tc>
        <w:tc>
          <w:tcPr>
            <w:tcW w:w="28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16,409</w:t>
            </w:r>
          </w:p>
        </w:tc>
        <w:tc>
          <w:tcPr>
            <w:tcW w:w="120" w:type="dxa"/>
            <w:vAlign w:val="bottom"/>
          </w:tcPr>
          <w:p>
            <w:pPr>
              <w:spacing w:after="0"/>
              <w:rPr>
                <w:sz w:val="16"/>
                <w:szCs w:val="16"/>
                <w:color w:val="auto"/>
              </w:rPr>
            </w:pPr>
          </w:p>
        </w:tc>
      </w:tr>
      <w:tr>
        <w:trPr>
          <w:trHeight w:val="203"/>
        </w:trPr>
        <w:tc>
          <w:tcPr>
            <w:tcW w:w="6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expenditures not paid for</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13,003</w:t>
            </w:r>
          </w:p>
        </w:tc>
        <w:tc>
          <w:tcPr>
            <w:tcW w:w="120" w:type="dxa"/>
            <w:vAlign w:val="bottom"/>
            <w:shd w:val="clear" w:color="auto" w:fill="CFF0FC"/>
          </w:tcPr>
          <w:p>
            <w:pPr>
              <w:spacing w:after="0"/>
              <w:rPr>
                <w:sz w:val="17"/>
                <w:szCs w:val="17"/>
                <w:color w:val="auto"/>
              </w:rPr>
            </w:pPr>
          </w:p>
        </w:tc>
      </w:tr>
      <w:tr>
        <w:trPr>
          <w:trHeight w:val="210"/>
        </w:trPr>
        <w:tc>
          <w:tcPr>
            <w:tcW w:w="6840" w:type="dxa"/>
            <w:vAlign w:val="bottom"/>
          </w:tcPr>
          <w:p>
            <w:pPr>
              <w:ind w:left="260"/>
              <w:spacing w:after="0"/>
              <w:rPr>
                <w:sz w:val="20"/>
                <w:szCs w:val="20"/>
                <w:color w:val="auto"/>
              </w:rPr>
            </w:pPr>
            <w:r>
              <w:rPr>
                <w:rFonts w:ascii="Arial" w:cs="Arial" w:eastAsia="Arial" w:hAnsi="Arial"/>
                <w:sz w:val="16"/>
                <w:szCs w:val="16"/>
                <w:color w:val="auto"/>
              </w:rPr>
              <w:t>Exposure fees on Ex-Im credit facility financed through Ex-Im credit facility</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5,764</w:t>
            </w:r>
          </w:p>
        </w:tc>
        <w:tc>
          <w:tcPr>
            <w:tcW w:w="120" w:type="dxa"/>
            <w:vAlign w:val="bottom"/>
          </w:tcPr>
          <w:p>
            <w:pPr>
              <w:spacing w:after="0"/>
              <w:rPr>
                <w:sz w:val="18"/>
                <w:szCs w:val="18"/>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Viasat, Inc. Stockholders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Other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 in</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Issued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Subsidiaries</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40" w:type="dxa"/>
            <w:vAlign w:val="bottom"/>
            <w:tcBorders>
              <w:top w:val="single" w:sz="8" w:color="auto"/>
            </w:tcBorders>
            <w:gridSpan w:val="7"/>
          </w:tcPr>
          <w:p>
            <w:pPr>
              <w:jc w:val="right"/>
              <w:ind w:right="600"/>
              <w:spacing w:after="0"/>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Balance at March 31, 2018</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58,905,274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$ 1,535,635</w:t>
            </w:r>
          </w:p>
        </w:tc>
        <w:tc>
          <w:tcPr>
            <w:tcW w:w="20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$ 285,960</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10,841</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$ 1,848,007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101,000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3,703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Issuance of stock under Employee Stock</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Purchase Plan</w:t>
            </w: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132,180</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7,384</w:t>
            </w:r>
          </w:p>
        </w:tc>
        <w:tc>
          <w:tcPr>
            <w:tcW w:w="200" w:type="dxa"/>
            <w:vAlign w:val="bottom"/>
            <w:tcBorders>
              <w:right w:val="single" w:sz="8" w:color="CFF0FC"/>
            </w:tcBorders>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7,384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43,945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Shares and fully-vested RSUs issued in</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settlement of</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certain accrued employee compensation</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liabilities, net</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of shares withheld for taxes which have</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been retired</w:t>
            </w: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438,433</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27,701</w:t>
            </w:r>
          </w:p>
        </w:tc>
        <w:tc>
          <w:tcPr>
            <w:tcW w:w="200" w:type="dxa"/>
            <w:vAlign w:val="bottom"/>
            <w:tcBorders>
              <w:right w:val="single" w:sz="8" w:color="CFF0FC"/>
            </w:tcBorders>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27,701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00" w:type="dxa"/>
            <w:vAlign w:val="bottom"/>
          </w:tcPr>
          <w:p>
            <w:pPr>
              <w:spacing w:after="0"/>
              <w:rPr>
                <w:sz w:val="20"/>
                <w:szCs w:val="20"/>
                <w:color w:val="auto"/>
              </w:rPr>
            </w:pPr>
            <w:r>
              <w:rPr>
                <w:rFonts w:ascii="Arial" w:cs="Arial" w:eastAsia="Arial" w:hAnsi="Arial"/>
                <w:sz w:val="18"/>
                <w:szCs w:val="18"/>
                <w:color w:val="auto"/>
              </w:rPr>
              <w:t>RSU awards vesting, net of shares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line="202" w:lineRule="exact"/>
              <w:rPr>
                <w:sz w:val="20"/>
                <w:szCs w:val="20"/>
                <w:color w:val="auto"/>
              </w:rPr>
            </w:pPr>
            <w:r>
              <w:rPr>
                <w:rFonts w:ascii="Arial" w:cs="Arial" w:eastAsia="Arial" w:hAnsi="Arial"/>
                <w:sz w:val="18"/>
                <w:szCs w:val="18"/>
                <w:color w:val="auto"/>
              </w:rPr>
              <w:t>withheld for taxes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60"/>
              <w:spacing w:after="0" w:line="203" w:lineRule="exact"/>
              <w:rPr>
                <w:sz w:val="20"/>
                <w:szCs w:val="20"/>
                <w:color w:val="auto"/>
              </w:rPr>
            </w:pPr>
            <w:r>
              <w:rPr>
                <w:rFonts w:ascii="Arial" w:cs="Arial" w:eastAsia="Arial" w:hAnsi="Arial"/>
                <w:sz w:val="18"/>
                <w:szCs w:val="18"/>
                <w:color w:val="auto"/>
              </w:rPr>
              <w:t>which have been retired</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73,342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(2,123)</w:t>
            </w:r>
          </w:p>
        </w:tc>
        <w:tc>
          <w:tcPr>
            <w:tcW w:w="10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5"/>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 adjustment upon</w:t>
            </w: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adoption of new</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revenue recognition guidance (ASU</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2014-09)</w:t>
            </w: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25,881</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25,881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 noncontrolling interest activity</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(2,021)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(59,734)</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(1,361)</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(61,095)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(7,189)</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59,650,229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$ 1,614,224</w:t>
            </w:r>
          </w:p>
        </w:tc>
        <w:tc>
          <w:tcPr>
            <w:tcW w:w="200" w:type="dxa"/>
            <w:vAlign w:val="bottom"/>
            <w:tcBorders>
              <w:right w:val="single" w:sz="8" w:color="CFF0FC"/>
            </w:tcBorders>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$ 252,107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9,624</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$ 1,884,337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accompanying condensed consolidated balance sheet at September 30, 2018, the condensed consolidated statements of operations and comprehensive income (loss) for the three and six months ended September 30, 2018 and 2017, the condensed consolidated statements of cash flows for the six months ended September 30, 2018 and 2017 and the condensed consolidated statement of equity for the six months ended September 30, 2018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2018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2018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2"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subsidiaries, TrellisWare Technologies, Inc. and Euro Broadband Retail Sàrl.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9"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240" w:firstLine="518"/>
        <w:spacing w:after="0"/>
        <w:rPr>
          <w:sz w:val="20"/>
          <w:szCs w:val="20"/>
          <w:color w:val="auto"/>
        </w:rPr>
      </w:pPr>
      <w:r>
        <w:rPr>
          <w:rFonts w:ascii="Arial" w:cs="Arial" w:eastAsia="Arial" w:hAnsi="Arial"/>
          <w:sz w:val="18"/>
          <w:szCs w:val="18"/>
          <w:color w:val="auto"/>
        </w:rPr>
        <w:t>Effective April 1, 2018, the Company adopted Accounting Standards Update (ASU) 2014-09, Revenue from Contracts with Customers (commonly referred to as Accounting Standards Codification (ASC) 606). This update established ASC 606, Revenue from Contracts with Customers and ASC 340-40, Other Assets and Deferred Costs – Contracts with Customers.</w:t>
      </w:r>
    </w:p>
    <w:p>
      <w:pPr>
        <w:spacing w:after="0" w:line="189"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In order to assess the impact of the new accounting standards, the Company applied the new standards to all open contracts existing as of April 1, 2018. The Company elected the practical expedient to reflect the aggregate effect of all contract modifications occurring before April 1, 2018 when identifying the satisfied and unsatisfied performance obligations, determining the transaction price and allocating the transaction price to the satisfied and unsatisfied performance obligations. The aggregated effect of applying this practical expedient did not have a significant impact on the Company’s conclusions.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To reflect the adoption of the new standards, the Company elected to use the “modified retrospective method,” which resulted in the Company recording the retrospective cumulative effect to the opening balance of retained earnings. The following table presents the summary of the impact of adopting the new standards: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336"/>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 of</w:t>
            </w:r>
          </w:p>
        </w:tc>
      </w:tr>
      <w:tr>
        <w:trPr>
          <w:trHeight w:val="162"/>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336"/>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660" w:type="dxa"/>
            <w:vAlign w:val="bottom"/>
          </w:tcPr>
          <w:p>
            <w:pPr>
              <w:jc w:val="center"/>
              <w:ind w:right="176"/>
              <w:spacing w:after="0"/>
              <w:rPr>
                <w:sz w:val="20"/>
                <w:szCs w:val="20"/>
                <w:color w:val="auto"/>
              </w:rPr>
            </w:pPr>
            <w:r>
              <w:rPr>
                <w:rFonts w:ascii="Arial" w:cs="Arial" w:eastAsia="Arial" w:hAnsi="Arial"/>
                <w:sz w:val="14"/>
                <w:szCs w:val="14"/>
                <w:b w:val="1"/>
                <w:bCs w:val="1"/>
                <w:color w:val="auto"/>
              </w:rPr>
              <w:t>Adjustments Due to</w:t>
            </w:r>
          </w:p>
        </w:tc>
        <w:tc>
          <w:tcPr>
            <w:tcW w:w="42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April 1,</w:t>
            </w:r>
          </w:p>
        </w:tc>
      </w:tr>
      <w:tr>
        <w:trPr>
          <w:trHeight w:val="175"/>
        </w:trPr>
        <w:tc>
          <w:tcPr>
            <w:tcW w:w="4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rPr>
              <w:t>ASC 606</w:t>
            </w: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center"/>
              <w:ind w:right="176"/>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267,665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(5,664)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262,001</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196,307</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1,623</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197,930</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77,135</w:t>
            </w:r>
          </w:p>
        </w:tc>
        <w:tc>
          <w:tcPr>
            <w:tcW w:w="240" w:type="dxa"/>
            <w:vAlign w:val="bottom"/>
          </w:tcPr>
          <w:p>
            <w:pPr>
              <w:spacing w:after="0"/>
              <w:rPr>
                <w:sz w:val="18"/>
                <w:szCs w:val="18"/>
                <w:color w:val="auto"/>
              </w:rPr>
            </w:pPr>
          </w:p>
        </w:tc>
        <w:tc>
          <w:tcPr>
            <w:tcW w:w="1660" w:type="dxa"/>
            <w:vAlign w:val="bottom"/>
          </w:tcPr>
          <w:p>
            <w:pPr>
              <w:jc w:val="right"/>
              <w:ind w:right="96"/>
              <w:spacing w:after="0"/>
              <w:rPr>
                <w:sz w:val="20"/>
                <w:szCs w:val="20"/>
                <w:color w:val="auto"/>
              </w:rPr>
            </w:pPr>
            <w:r>
              <w:rPr>
                <w:rFonts w:ascii="Arial" w:cs="Arial" w:eastAsia="Arial" w:hAnsi="Arial"/>
                <w:sz w:val="18"/>
                <w:szCs w:val="18"/>
                <w:color w:val="auto"/>
              </w:rPr>
              <w:t>18,098</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95,233</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686,134</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17,738</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703,872</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Accrued liabilities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263,676</w:t>
            </w:r>
          </w:p>
        </w:tc>
        <w:tc>
          <w:tcPr>
            <w:tcW w:w="240" w:type="dxa"/>
            <w:vAlign w:val="bottom"/>
          </w:tcPr>
          <w:p>
            <w:pPr>
              <w:spacing w:after="0"/>
              <w:rPr>
                <w:sz w:val="18"/>
                <w:szCs w:val="18"/>
                <w:color w:val="auto"/>
              </w:rPr>
            </w:pPr>
          </w:p>
        </w:tc>
        <w:tc>
          <w:tcPr>
            <w:tcW w:w="1660" w:type="dxa"/>
            <w:vAlign w:val="bottom"/>
          </w:tcPr>
          <w:p>
            <w:pPr>
              <w:jc w:val="right"/>
              <w:ind w:right="96"/>
              <w:spacing w:after="0"/>
              <w:rPr>
                <w:sz w:val="20"/>
                <w:szCs w:val="20"/>
                <w:color w:val="auto"/>
              </w:rPr>
            </w:pPr>
            <w:r>
              <w:rPr>
                <w:rFonts w:ascii="Arial" w:cs="Arial" w:eastAsia="Arial" w:hAnsi="Arial"/>
                <w:sz w:val="18"/>
                <w:szCs w:val="18"/>
                <w:color w:val="auto"/>
              </w:rPr>
              <w:t>5,916</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269,592</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Retained earnings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285,960</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25,879</w:t>
            </w:r>
          </w:p>
        </w:tc>
        <w:tc>
          <w:tcPr>
            <w:tcW w:w="4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311,839</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140" w:firstLine="518"/>
        <w:spacing w:after="0" w:line="246" w:lineRule="auto"/>
        <w:rPr>
          <w:sz w:val="20"/>
          <w:szCs w:val="20"/>
          <w:color w:val="auto"/>
        </w:rPr>
      </w:pPr>
      <w:r>
        <w:rPr>
          <w:rFonts w:ascii="Arial" w:cs="Arial" w:eastAsia="Arial" w:hAnsi="Arial"/>
          <w:sz w:val="18"/>
          <w:szCs w:val="18"/>
          <w:color w:val="auto"/>
        </w:rPr>
        <w:t>The key impact of adoption is the deferral of commissions primarily in the Company’s satellite services segment, which were historically expensed as incurred as further described below.</w:t>
      </w:r>
    </w:p>
    <w:p>
      <w:pPr>
        <w:spacing w:after="0" w:line="183" w:lineRule="exact"/>
        <w:rPr>
          <w:sz w:val="20"/>
          <w:szCs w:val="20"/>
          <w:color w:val="auto"/>
        </w:rPr>
      </w:pPr>
    </w:p>
    <w:p>
      <w:pPr>
        <w:ind w:right="140" w:firstLine="518"/>
        <w:spacing w:after="0" w:line="234" w:lineRule="auto"/>
        <w:rPr>
          <w:sz w:val="20"/>
          <w:szCs w:val="20"/>
          <w:color w:val="auto"/>
        </w:rPr>
      </w:pPr>
      <w:r>
        <w:rPr>
          <w:rFonts w:ascii="Arial" w:cs="Arial" w:eastAsia="Arial" w:hAnsi="Arial"/>
          <w:sz w:val="18"/>
          <w:szCs w:val="18"/>
          <w:color w:val="auto"/>
        </w:rPr>
        <w:t>The Company applied the five-step model under ASC 606 to its contracts with its customers to determine the impact of the new standard. Under this model the Company (1) identifies the contract with the customer, (2) identifies its performance obligations in the contract,</w:t>
      </w:r>
    </w:p>
    <w:p>
      <w:pPr>
        <w:spacing w:after="0" w:line="2" w:lineRule="exact"/>
        <w:rPr>
          <w:sz w:val="20"/>
          <w:szCs w:val="20"/>
          <w:color w:val="auto"/>
        </w:rPr>
      </w:pPr>
    </w:p>
    <w:p>
      <w:pPr>
        <w:ind w:right="300" w:firstLine="8"/>
        <w:spacing w:after="0" w:line="239"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requirements to develop and deliver complex equipment built to customer specifications under long-term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connectivity services including leasing of related broadband equipment.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From a recognition perspective, the leasing of broadband equipment is evaluated in accordance with the authoritative guidance for leases (ASC 840). The Company’s accounting for equipment leases involves specific determinations under ASC 840, which may involve complex provisions and significant judgments. In accordance with ASC 840, the Company applies the following criteria to determine the nature of the lease (e.g., as an operating or sales type lease):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20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20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When estimates of total costs to be incurred on a performance obligation exceed total estimates of revenue to be earned, a provision for the entire loss on the performance obligation is recognized in the period the loss is determined.</w:t>
      </w:r>
    </w:p>
    <w:p>
      <w:pPr>
        <w:spacing w:after="0" w:line="19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2016 through 2018. As of September 30, 2018,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2018 and March 31, 2018, the Company had $2.6 million and $1.6 million, respectively, in contract-related reserves for its estimate of potential refunds to customers for potential cost adjustments on several multi-year U.S. government cost reimbursable contracts (see Note 8).</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90"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satellite services segment, do not have minimum service purchase requirements and therefore are not included in the Company’s remaining performance obligations. As of September 30, 2018, the aggregate amount of the transaction price allocated to remaining performance obligations was $1.9 billion, of which the Company expects to recognize a little over half over the next twelve months, with the balance recognized thereafter.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three and six months ended</w:t>
      </w:r>
    </w:p>
    <w:p>
      <w:pPr>
        <w:spacing w:after="0"/>
        <w:rPr>
          <w:sz w:val="20"/>
          <w:szCs w:val="20"/>
          <w:color w:val="auto"/>
        </w:rPr>
      </w:pPr>
      <w:r>
        <w:rPr>
          <w:rFonts w:ascii="Arial" w:cs="Arial" w:eastAsia="Arial" w:hAnsi="Arial"/>
          <w:sz w:val="18"/>
          <w:szCs w:val="18"/>
          <w:color w:val="auto"/>
        </w:rPr>
        <w:t>September 30,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 September 30, 2018</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Satellite Services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180" w:type="dxa"/>
            <w:vAlign w:val="bottom"/>
            <w:gridSpan w:val="2"/>
            <w:shd w:val="clear" w:color="auto" w:fill="CFF0FC"/>
          </w:tcPr>
          <w:p>
            <w:pPr>
              <w:jc w:val="right"/>
              <w:ind w:right="242"/>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104,190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176,245</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280,435</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162,962</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63,747</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237,039</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4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162,962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114,520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239,992</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517,474</w:t>
            </w:r>
          </w:p>
        </w:tc>
        <w:tc>
          <w:tcPr>
            <w:tcW w:w="100" w:type="dxa"/>
            <w:vAlign w:val="bottom"/>
            <w:shd w:val="clear" w:color="auto" w:fill="CFF0FC"/>
          </w:tcPr>
          <w:p>
            <w:pPr>
              <w:spacing w:after="0"/>
              <w:rPr>
                <w:sz w:val="18"/>
                <w:szCs w:val="18"/>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26"/>
        </w:trPr>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Six Months Ended September 30, 2018</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Satellite Services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180" w:type="dxa"/>
            <w:vAlign w:val="bottom"/>
            <w:gridSpan w:val="2"/>
            <w:shd w:val="clear" w:color="auto" w:fill="CFF0FC"/>
          </w:tcPr>
          <w:p>
            <w:pPr>
              <w:jc w:val="right"/>
              <w:ind w:right="242"/>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189,323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309,241</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498,564</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316,523</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20,263</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120,993</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457,779</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180" w:type="dxa"/>
            <w:vAlign w:val="bottom"/>
            <w:gridSpan w:val="2"/>
            <w:shd w:val="clear" w:color="auto" w:fill="CFF0FC"/>
          </w:tcPr>
          <w:p>
            <w:pPr>
              <w:jc w:val="right"/>
              <w:ind w:right="242"/>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316,523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209,586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430,234</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956,343</w:t>
            </w:r>
          </w:p>
        </w:tc>
        <w:tc>
          <w:tcPr>
            <w:tcW w:w="100" w:type="dxa"/>
            <w:vAlign w:val="bottom"/>
            <w:shd w:val="clear" w:color="auto" w:fill="CFF0FC"/>
          </w:tcPr>
          <w:p>
            <w:pPr>
              <w:spacing w:after="0"/>
              <w:rPr>
                <w:sz w:val="18"/>
                <w:szCs w:val="18"/>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Revenues from the U.S. government as an individual customer comprised approximately 29% of total revenues for the three and six months ended September 30, 2018, mainly reported within the government systems segment. The Company’s commercial customers, mainly reported within the commercial networks and satellite services segments, comprised approximately 71% of total revenues for the three and six months ended September 30, 2018.</w:t>
      </w:r>
    </w:p>
    <w:p>
      <w:pPr>
        <w:spacing w:after="0" w:line="188"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IFC services and worldwide managed network services.</w:t>
      </w:r>
    </w:p>
    <w:p>
      <w:pPr>
        <w:spacing w:after="0" w:line="18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90% and 89% of the Company’s total revenues for these segments for the three and six months ended September 30, 2018,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95" w:lineRule="exact"/>
        <w:rPr>
          <w:sz w:val="20"/>
          <w:szCs w:val="20"/>
          <w:color w:val="auto"/>
        </w:rPr>
      </w:pPr>
    </w:p>
    <w:p>
      <w:pPr>
        <w:ind w:right="300" w:firstLine="518"/>
        <w:spacing w:after="0" w:line="238"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17% of its total revenues for the three and six months ended September 30, 2018.</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six months ended September 30, 2018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right"/>
              <w:ind w:right="11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4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5"/>
                <w:szCs w:val="15"/>
                <w:color w:val="auto"/>
              </w:rPr>
            </w:pPr>
          </w:p>
        </w:tc>
      </w:tr>
      <w:tr>
        <w:trPr>
          <w:trHeight w:val="169"/>
        </w:trPr>
        <w:tc>
          <w:tcPr>
            <w:tcW w:w="45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60" w:type="dxa"/>
            <w:vAlign w:val="bottom"/>
            <w:gridSpan w:val="5"/>
          </w:tcPr>
          <w:p>
            <w:pPr>
              <w:ind w:left="130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3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470,220</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848,392</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 U.S. customers</w:t>
            </w:r>
          </w:p>
        </w:tc>
        <w:tc>
          <w:tcPr>
            <w:tcW w:w="29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47,254</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107,951</w:t>
            </w:r>
          </w:p>
        </w:tc>
        <w:tc>
          <w:tcPr>
            <w:tcW w:w="100" w:type="dxa"/>
            <w:vAlign w:val="bottom"/>
            <w:tcBorders>
              <w:bottom w:val="single" w:sz="8" w:color="CFF0FC"/>
            </w:tcBorders>
          </w:tcPr>
          <w:p>
            <w:pPr>
              <w:spacing w:after="0"/>
              <w:rPr>
                <w:sz w:val="18"/>
                <w:szCs w:val="18"/>
                <w:color w:val="auto"/>
              </w:rPr>
            </w:pPr>
          </w:p>
        </w:tc>
      </w:tr>
      <w:tr>
        <w:trPr>
          <w:trHeight w:val="21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517,474</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956,343</w:t>
            </w:r>
          </w:p>
        </w:tc>
        <w:tc>
          <w:tcPr>
            <w:tcW w:w="100" w:type="dxa"/>
            <w:vAlign w:val="bottom"/>
            <w:shd w:val="clear" w:color="auto" w:fill="CFF0FC"/>
          </w:tcPr>
          <w:p>
            <w:pPr>
              <w:spacing w:after="0"/>
              <w:rPr>
                <w:sz w:val="18"/>
                <w:szCs w:val="18"/>
                <w:color w:val="auto"/>
              </w:rPr>
            </w:pP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29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Contract balances consist of contract asset and contract liability.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 or delivered products are billed. The Company receives payments from customers based on a billing schedule established in the Company’s contracts.</w:t>
      </w:r>
    </w:p>
    <w:p>
      <w:pPr>
        <w:spacing w:after="0" w:line="189"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September 30, 2018 and April 1,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320"/>
              <w:spacing w:after="0"/>
              <w:rPr>
                <w:sz w:val="20"/>
                <w:szCs w:val="20"/>
                <w:color w:val="auto"/>
              </w:rPr>
            </w:pPr>
            <w:r>
              <w:rPr>
                <w:rFonts w:ascii="Arial" w:cs="Arial" w:eastAsia="Arial" w:hAnsi="Arial"/>
                <w:sz w:val="14"/>
                <w:szCs w:val="14"/>
                <w:b w:val="1"/>
                <w:bCs w:val="1"/>
                <w:color w:val="auto"/>
              </w:rPr>
              <w:t>As of</w:t>
            </w:r>
          </w:p>
        </w:tc>
        <w:tc>
          <w:tcPr>
            <w:tcW w:w="64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As of</w:t>
            </w:r>
          </w:p>
        </w:tc>
      </w:tr>
      <w:tr>
        <w:trPr>
          <w:trHeight w:val="162"/>
        </w:trPr>
        <w:tc>
          <w:tcPr>
            <w:tcW w:w="5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April 1,</w:t>
            </w:r>
          </w:p>
        </w:tc>
      </w:tr>
      <w:tr>
        <w:trPr>
          <w:trHeight w:val="175"/>
        </w:trPr>
        <w:tc>
          <w:tcPr>
            <w:tcW w:w="5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3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r>
      <w:tr>
        <w:trPr>
          <w:trHeight w:val="210"/>
        </w:trPr>
        <w:tc>
          <w:tcPr>
            <w:tcW w:w="5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81,592</w:t>
            </w:r>
          </w:p>
        </w:tc>
        <w:tc>
          <w:tcPr>
            <w:tcW w:w="64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79,492</w:t>
            </w:r>
          </w:p>
        </w:tc>
        <w:tc>
          <w:tcPr>
            <w:tcW w:w="10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jc w:val="right"/>
              <w:ind w:right="80"/>
              <w:spacing w:after="0"/>
              <w:rPr>
                <w:sz w:val="20"/>
                <w:szCs w:val="20"/>
                <w:color w:val="auto"/>
              </w:rPr>
            </w:pPr>
            <w:r>
              <w:rPr>
                <w:rFonts w:ascii="Arial" w:cs="Arial" w:eastAsia="Arial" w:hAnsi="Arial"/>
                <w:sz w:val="18"/>
                <w:szCs w:val="18"/>
                <w:color w:val="auto"/>
              </w:rPr>
              <w:t>108,977</w:t>
            </w:r>
          </w:p>
        </w:tc>
        <w:tc>
          <w:tcPr>
            <w:tcW w:w="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127,355</w:t>
            </w:r>
          </w:p>
        </w:tc>
        <w:tc>
          <w:tcPr>
            <w:tcW w:w="10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1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81,740</w:t>
            </w:r>
          </w:p>
        </w:tc>
        <w:tc>
          <w:tcPr>
            <w:tcW w:w="6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77,831</w:t>
            </w: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580" w:firstLine="518"/>
        <w:spacing w:after="0" w:line="246" w:lineRule="auto"/>
        <w:rPr>
          <w:sz w:val="20"/>
          <w:szCs w:val="20"/>
          <w:color w:val="auto"/>
        </w:rPr>
      </w:pPr>
      <w:r>
        <w:rPr>
          <w:rFonts w:ascii="Arial" w:cs="Arial" w:eastAsia="Arial" w:hAnsi="Arial"/>
          <w:sz w:val="18"/>
          <w:szCs w:val="18"/>
          <w:color w:val="auto"/>
        </w:rPr>
        <w:t>During the three and six months ended September 30, 2018, the Company recognized revenue of $31.5 million and $82.1 million, respectively, related to the Company’s collections in excess of revenues and deferred revenues at April 1, 2018.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and deferred costs – contracts with customers</w:t>
      </w:r>
    </w:p>
    <w:p>
      <w:pPr>
        <w:spacing w:after="0" w:line="9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adoption of ASU 2014-09 also included the establishment of ASC 340-40, Other Assets and Deferred Costs – Contracts with Customers. The new standard requires the recognition of an asset from the incremental costs of obtaining a contract with a customer, if the Company expects to recover those costs. The incremental costs of obtaining a contract are those costs that the Company incurs to obtain a contract with a customer that it would not have incurred if the contract had not been obtained. ASC 340-40 also requires the recognition of an asset from the costs incurred to fulfill a contract when (1) the costs relate directly to a contract or to an anticipated contract that the Company can specifically identify, (2) the costs generate or enhance resources of the Company that will be used in satisfying (or in continuing to satisfy) performance obligations in the future, and (3) the costs are expected to be recovered. Adoption of the standard has resulted in the recognition of an asset related to commission costs incurred primarily in the Company’s satellite services segment, and recognition of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the Company elected the practical expedient and expenses incremental costs immediately. The Company’s deferred customer contract acquisition costs and costs to fulfill contract balances were $48.4 million and $7.4 million as of September 30, 2018, respectively. Of the Company’s total deferred customer contract acquisition costs and costs to fulfill contracts, $19.1 million was included in prepaid expenses and other current assets and $36.7 million was included in other assets on the Company’s condensed consolidated balance sheet as of September 30, 2018. For total deferred customer contract acquisition costs and contract fulfillment costs, the Company’s amortization and reduction of carrying value associated with contract termination was $10.6 million and $20.3 million, for the three and six months ended September 30, 2018,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Comparative results</w:t>
      </w:r>
    </w:p>
    <w:p>
      <w:pPr>
        <w:spacing w:after="0" w:line="95"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The Company adopted ASC 606 as of April 1, 2018 using the “modified retrospective method” under which the Company is required to provide additional disclosures comparing results to previous accounting standards. Accordingly, the following table presents the Company’s reported results under ASC 606 and the Company’s pro forma results using the historical accounting method under ASC 605 for the three and six months ended September 30, 2018 and as of September 30, 2018:</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5"/>
          </w:tcPr>
          <w:p>
            <w:pPr>
              <w:jc w:val="center"/>
              <w:ind w:right="113"/>
              <w:spacing w:after="0"/>
              <w:rPr>
                <w:sz w:val="20"/>
                <w:szCs w:val="20"/>
                <w:color w:val="auto"/>
              </w:rPr>
            </w:pPr>
            <w:r>
              <w:rPr>
                <w:rFonts w:ascii="Arial" w:cs="Arial" w:eastAsia="Arial" w:hAnsi="Arial"/>
                <w:sz w:val="14"/>
                <w:szCs w:val="14"/>
                <w:b w:val="1"/>
                <w:bCs w:val="1"/>
                <w:color w:val="auto"/>
              </w:rPr>
              <w:t>Three Months Ended September 30, 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50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Historical</w:t>
            </w:r>
          </w:p>
        </w:tc>
        <w:tc>
          <w:tcPr>
            <w:tcW w:w="20" w:type="dxa"/>
            <w:vAlign w:val="bottom"/>
          </w:tcPr>
          <w:p>
            <w:pPr>
              <w:spacing w:after="0"/>
              <w:rPr>
                <w:sz w:val="13"/>
                <w:szCs w:val="13"/>
                <w:color w:val="auto"/>
              </w:rPr>
            </w:pPr>
          </w:p>
        </w:tc>
      </w:tr>
      <w:tr>
        <w:trPr>
          <w:trHeight w:val="162"/>
        </w:trPr>
        <w:tc>
          <w:tcPr>
            <w:tcW w:w="5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ind w:right="332"/>
              <w:spacing w:after="0"/>
              <w:rPr>
                <w:sz w:val="20"/>
                <w:szCs w:val="20"/>
                <w:color w:val="auto"/>
              </w:rPr>
            </w:pPr>
            <w:r>
              <w:rPr>
                <w:rFonts w:ascii="Arial" w:cs="Arial" w:eastAsia="Arial" w:hAnsi="Arial"/>
                <w:sz w:val="14"/>
                <w:szCs w:val="14"/>
                <w:b w:val="1"/>
                <w:bCs w:val="1"/>
                <w:color w:val="auto"/>
              </w:rPr>
              <w:t>Impact of</w:t>
            </w:r>
          </w:p>
        </w:tc>
        <w:tc>
          <w:tcPr>
            <w:tcW w:w="2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Accounting</w:t>
            </w:r>
          </w:p>
        </w:tc>
        <w:tc>
          <w:tcPr>
            <w:tcW w:w="20" w:type="dxa"/>
            <w:vAlign w:val="bottom"/>
          </w:tcPr>
          <w:p>
            <w:pPr>
              <w:spacing w:after="0"/>
              <w:rPr>
                <w:sz w:val="14"/>
                <w:szCs w:val="14"/>
                <w:color w:val="auto"/>
              </w:rPr>
            </w:pPr>
          </w:p>
        </w:tc>
      </w:tr>
      <w:tr>
        <w:trPr>
          <w:trHeight w:val="175"/>
        </w:trPr>
        <w:tc>
          <w:tcPr>
            <w:tcW w:w="5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As Reported</w:t>
            </w: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rPr>
              <w:t>ASC 606</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Method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(In thousands, except per share data)</w:t>
            </w:r>
          </w:p>
        </w:tc>
        <w:tc>
          <w:tcPr>
            <w:tcW w:w="20" w:type="dxa"/>
            <w:vAlign w:val="bottom"/>
          </w:tcPr>
          <w:p>
            <w:pPr>
              <w:spacing w:after="0"/>
              <w:rPr>
                <w:sz w:val="14"/>
                <w:szCs w:val="14"/>
                <w:color w:val="auto"/>
              </w:rPr>
            </w:pPr>
          </w:p>
        </w:tc>
      </w:tr>
      <w:tr>
        <w:trPr>
          <w:trHeight w:val="193"/>
        </w:trPr>
        <w:tc>
          <w:tcPr>
            <w:tcW w:w="5020" w:type="dxa"/>
            <w:vAlign w:val="bottom"/>
            <w:shd w:val="clear" w:color="auto" w:fill="CFF0FC"/>
          </w:tcPr>
          <w:p>
            <w:pPr>
              <w:spacing w:after="0" w:line="194" w:lineRule="exact"/>
              <w:rPr>
                <w:sz w:val="20"/>
                <w:szCs w:val="20"/>
                <w:color w:val="auto"/>
              </w:rPr>
            </w:pPr>
            <w:r>
              <w:rPr>
                <w:rFonts w:ascii="Arial" w:cs="Arial" w:eastAsia="Arial" w:hAnsi="Arial"/>
                <w:sz w:val="18"/>
                <w:szCs w:val="18"/>
                <w:b w:val="1"/>
                <w:bCs w:val="1"/>
                <w:color w:val="auto"/>
              </w:rPr>
              <w:t>Condensed Consolidated Statements of Operations</w:t>
            </w:r>
          </w:p>
        </w:tc>
        <w:tc>
          <w:tcPr>
            <w:tcW w:w="1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and Comprehensive Income (Loss):</w:t>
            </w:r>
          </w:p>
        </w:tc>
        <w:tc>
          <w:tcPr>
            <w:tcW w:w="1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Product revenues</w:t>
            </w: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280,435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(4,779)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275,656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revenues</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237,039</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236,528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Total revenues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517,474</w:t>
            </w:r>
          </w:p>
        </w:tc>
        <w:tc>
          <w:tcPr>
            <w:tcW w:w="32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(5,290)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512,184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216,900</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(3,396)</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213,504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175,230</w:t>
            </w:r>
          </w:p>
        </w:tc>
        <w:tc>
          <w:tcPr>
            <w:tcW w:w="32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175,282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113,120</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3,871</w:t>
            </w: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116,991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Independent research and development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31,360</w:t>
            </w:r>
          </w:p>
        </w:tc>
        <w:tc>
          <w:tcPr>
            <w:tcW w:w="32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(21,571)</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(7,317)</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(28,888)</w:t>
            </w: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(14,074)</w:t>
            </w:r>
          </w:p>
        </w:tc>
        <w:tc>
          <w:tcPr>
            <w:tcW w:w="32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(13,063)</w:t>
            </w:r>
          </w:p>
        </w:tc>
        <w:tc>
          <w:tcPr>
            <w:tcW w:w="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(35,616)</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(6,306)</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(41,922)</w:t>
            </w: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9,704</w:t>
            </w:r>
          </w:p>
        </w:tc>
        <w:tc>
          <w:tcPr>
            <w:tcW w:w="320" w:type="dxa"/>
            <w:vAlign w:val="bottom"/>
          </w:tcPr>
          <w:p>
            <w:pPr>
              <w:spacing w:after="0"/>
              <w:rPr>
                <w:sz w:val="18"/>
                <w:szCs w:val="18"/>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1,940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(25,598)</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(4,366)</w:t>
            </w:r>
          </w:p>
        </w:tc>
        <w:tc>
          <w:tcPr>
            <w:tcW w:w="2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(29,964)</w:t>
            </w:r>
          </w:p>
        </w:tc>
        <w:tc>
          <w:tcPr>
            <w:tcW w:w="20" w:type="dxa"/>
            <w:vAlign w:val="bottom"/>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loss attributable to Viasat, Inc.</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(25,724)</w:t>
            </w:r>
          </w:p>
        </w:tc>
        <w:tc>
          <w:tcPr>
            <w:tcW w:w="32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(4,366)</w:t>
            </w: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(30,090)</w:t>
            </w:r>
          </w:p>
        </w:tc>
        <w:tc>
          <w:tcPr>
            <w:tcW w:w="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rPr>
              <w:t>Basic net loss per share attributable to Viasat, Inc.</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020" w:type="dxa"/>
            <w:vAlign w:val="bottom"/>
          </w:tcPr>
          <w:p>
            <w:pPr>
              <w:ind w:left="160"/>
              <w:spacing w:after="0" w:line="203" w:lineRule="exact"/>
              <w:rPr>
                <w:sz w:val="20"/>
                <w:szCs w:val="20"/>
                <w:color w:val="auto"/>
              </w:rPr>
            </w:pPr>
            <w:r>
              <w:rPr>
                <w:rFonts w:ascii="Arial" w:cs="Arial" w:eastAsia="Arial" w:hAnsi="Arial"/>
                <w:sz w:val="18"/>
                <w:szCs w:val="18"/>
                <w:color w:val="auto"/>
              </w:rPr>
              <w:t>common stockholders</w:t>
            </w:r>
          </w:p>
        </w:tc>
        <w:tc>
          <w:tcPr>
            <w:tcW w:w="18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line="203" w:lineRule="exact"/>
              <w:rPr>
                <w:sz w:val="20"/>
                <w:szCs w:val="20"/>
                <w:color w:val="auto"/>
              </w:rPr>
            </w:pPr>
            <w:r>
              <w:rPr>
                <w:rFonts w:ascii="Arial" w:cs="Arial" w:eastAsia="Arial" w:hAnsi="Arial"/>
                <w:sz w:val="18"/>
                <w:szCs w:val="18"/>
                <w:color w:val="auto"/>
              </w:rPr>
              <w:t>(0.43)</w:t>
            </w:r>
          </w:p>
        </w:tc>
        <w:tc>
          <w:tcPr>
            <w:tcW w:w="3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line="203" w:lineRule="exact"/>
              <w:rPr>
                <w:sz w:val="20"/>
                <w:szCs w:val="20"/>
                <w:color w:val="auto"/>
              </w:rPr>
            </w:pPr>
            <w:r>
              <w:rPr>
                <w:rFonts w:ascii="Arial" w:cs="Arial" w:eastAsia="Arial" w:hAnsi="Arial"/>
                <w:sz w:val="18"/>
                <w:szCs w:val="18"/>
                <w:color w:val="auto"/>
              </w:rPr>
              <w:t>(0.07)</w:t>
            </w: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(0.50)</w:t>
            </w:r>
          </w:p>
        </w:tc>
        <w:tc>
          <w:tcPr>
            <w:tcW w:w="20" w:type="dxa"/>
            <w:vAlign w:val="bottom"/>
          </w:tcPr>
          <w:p>
            <w:pPr>
              <w:spacing w:after="0"/>
              <w:rPr>
                <w:sz w:val="17"/>
                <w:szCs w:val="17"/>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per share attributable to Viasat, Inc.</w:t>
            </w:r>
          </w:p>
        </w:tc>
        <w:tc>
          <w:tcPr>
            <w:tcW w:w="1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0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common stockholders</w:t>
            </w:r>
          </w:p>
        </w:tc>
        <w:tc>
          <w:tcPr>
            <w:tcW w:w="188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3"/>
              <w:spacing w:after="0" w:line="203" w:lineRule="exact"/>
              <w:rPr>
                <w:sz w:val="20"/>
                <w:szCs w:val="20"/>
                <w:color w:val="auto"/>
              </w:rPr>
            </w:pPr>
            <w:r>
              <w:rPr>
                <w:rFonts w:ascii="Arial" w:cs="Arial" w:eastAsia="Arial" w:hAnsi="Arial"/>
                <w:sz w:val="18"/>
                <w:szCs w:val="18"/>
                <w:color w:val="auto"/>
              </w:rPr>
              <w:t>(0.43)</w:t>
            </w:r>
          </w:p>
        </w:tc>
        <w:tc>
          <w:tcPr>
            <w:tcW w:w="3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2"/>
              <w:spacing w:after="0" w:line="203" w:lineRule="exact"/>
              <w:rPr>
                <w:sz w:val="20"/>
                <w:szCs w:val="20"/>
                <w:color w:val="auto"/>
              </w:rPr>
            </w:pPr>
            <w:r>
              <w:rPr>
                <w:rFonts w:ascii="Arial" w:cs="Arial" w:eastAsia="Arial" w:hAnsi="Arial"/>
                <w:sz w:val="18"/>
                <w:szCs w:val="18"/>
                <w:color w:val="auto"/>
              </w:rPr>
              <w:t>(0.07)</w:t>
            </w: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(0.50)</w:t>
            </w:r>
          </w:p>
        </w:tc>
        <w:tc>
          <w:tcPr>
            <w:tcW w:w="20" w:type="dxa"/>
            <w:vAlign w:val="bottom"/>
          </w:tcPr>
          <w:p>
            <w:pPr>
              <w:spacing w:after="0"/>
              <w:rPr>
                <w:sz w:val="17"/>
                <w:szCs w:val="17"/>
                <w:color w:val="auto"/>
              </w:rPr>
            </w:pPr>
          </w:p>
        </w:tc>
      </w:tr>
      <w:tr>
        <w:trPr>
          <w:trHeight w:val="432"/>
        </w:trPr>
        <w:tc>
          <w:tcPr>
            <w:tcW w:w="5020" w:type="dxa"/>
            <w:vAlign w:val="bottom"/>
          </w:tcPr>
          <w:p>
            <w:pPr>
              <w:spacing w:after="0"/>
              <w:rPr>
                <w:sz w:val="24"/>
                <w:szCs w:val="24"/>
                <w:color w:val="auto"/>
              </w:rPr>
            </w:pPr>
          </w:p>
        </w:tc>
        <w:tc>
          <w:tcPr>
            <w:tcW w:w="1700" w:type="dxa"/>
            <w:vAlign w:val="bottom"/>
          </w:tcPr>
          <w:p>
            <w:pPr>
              <w:jc w:val="right"/>
              <w:ind w:right="81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50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right="1580" w:hanging="149"/>
        <w:spacing w:after="0" w:line="255" w:lineRule="auto"/>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Service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service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Independent 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 from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Viasat,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Basic net loss per share attributable to Viasat, Inc.</w:t>
      </w:r>
    </w:p>
    <w:p>
      <w:pPr>
        <w:ind w:left="160"/>
        <w:spacing w:after="0"/>
        <w:rPr>
          <w:sz w:val="20"/>
          <w:szCs w:val="20"/>
          <w:color w:val="auto"/>
        </w:rPr>
      </w:pPr>
      <w:r>
        <w:rPr>
          <w:rFonts w:ascii="Arial" w:cs="Arial" w:eastAsia="Arial" w:hAnsi="Arial"/>
          <w:sz w:val="18"/>
          <w:szCs w:val="18"/>
          <w:color w:val="auto"/>
        </w:rPr>
        <w:t>common stockholders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Diluted net loss per share attributable to Viasat, Inc.</w:t>
      </w:r>
    </w:p>
    <w:p>
      <w:pPr>
        <w:ind w:left="160"/>
        <w:spacing w:after="0"/>
        <w:rPr>
          <w:sz w:val="20"/>
          <w:szCs w:val="20"/>
          <w:color w:val="auto"/>
        </w:rPr>
      </w:pPr>
      <w:r>
        <w:rPr>
          <w:rFonts w:ascii="Arial" w:cs="Arial" w:eastAsia="Arial" w:hAnsi="Arial"/>
          <w:sz w:val="18"/>
          <w:szCs w:val="18"/>
          <w:color w:val="auto"/>
        </w:rPr>
        <w:t>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Retained earnings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Six Months Ended September 30, 2018</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14"/>
              <w:spacing w:after="0" w:line="156" w:lineRule="exact"/>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3"/>
                <w:szCs w:val="13"/>
                <w:color w:val="auto"/>
              </w:rPr>
            </w:pPr>
          </w:p>
        </w:tc>
      </w:tr>
      <w:tr>
        <w:trPr>
          <w:trHeight w:val="162"/>
        </w:trPr>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center"/>
              <w:ind w:right="313"/>
              <w:spacing w:after="0"/>
              <w:rPr>
                <w:sz w:val="20"/>
                <w:szCs w:val="20"/>
                <w:color w:val="auto"/>
              </w:rPr>
            </w:pPr>
            <w:r>
              <w:rPr>
                <w:rFonts w:ascii="Arial" w:cs="Arial" w:eastAsia="Arial" w:hAnsi="Arial"/>
                <w:sz w:val="14"/>
                <w:szCs w:val="14"/>
                <w:b w:val="1"/>
                <w:bCs w:val="1"/>
                <w:color w:val="auto"/>
              </w:rPr>
              <w:t>Impact of</w:t>
            </w:r>
          </w:p>
        </w:tc>
        <w:tc>
          <w:tcPr>
            <w:tcW w:w="2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Accounting</w:t>
            </w:r>
          </w:p>
        </w:tc>
      </w:tr>
      <w:tr>
        <w:trPr>
          <w:trHeight w:val="175"/>
        </w:trPr>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As Reported</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rPr>
              <w:t>ASC 606</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Method</w:t>
            </w:r>
          </w:p>
        </w:tc>
        <w:tc>
          <w:tcPr>
            <w:tcW w:w="60" w:type="dxa"/>
            <w:vAlign w:val="bottom"/>
          </w:tcPr>
          <w:p>
            <w:pPr>
              <w:spacing w:after="0"/>
              <w:rPr>
                <w:sz w:val="15"/>
                <w:szCs w:val="15"/>
                <w:color w:val="auto"/>
              </w:rPr>
            </w:pPr>
          </w:p>
        </w:tc>
      </w:tr>
      <w:tr>
        <w:trPr>
          <w:trHeight w:val="184"/>
        </w:trPr>
        <w:tc>
          <w:tcPr>
            <w:tcW w:w="180" w:type="dxa"/>
            <w:vAlign w:val="bottom"/>
          </w:tcPr>
          <w:p>
            <w:pPr>
              <w:spacing w:after="0"/>
              <w:rPr>
                <w:sz w:val="16"/>
                <w:szCs w:val="16"/>
                <w:color w:val="auto"/>
              </w:rPr>
            </w:pPr>
          </w:p>
        </w:tc>
        <w:tc>
          <w:tcPr>
            <w:tcW w:w="44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632"/>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498,564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(4,200)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494,364</w:t>
            </w:r>
          </w:p>
        </w:tc>
        <w:tc>
          <w:tcPr>
            <w:tcW w:w="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457,779</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(1,577)</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456,202</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956,343</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(5,777)</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950,566</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390,348</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(3,147)</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387,201</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346,662</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346,592</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225,762</w:t>
            </w:r>
          </w:p>
        </w:tc>
        <w:tc>
          <w:tcPr>
            <w:tcW w:w="340" w:type="dxa"/>
            <w:vAlign w:val="bottom"/>
          </w:tcPr>
          <w:p>
            <w:pPr>
              <w:spacing w:after="0"/>
              <w:rPr>
                <w:sz w:val="18"/>
                <w:szCs w:val="18"/>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6,210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231,972</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64,733</w:t>
            </w:r>
          </w:p>
        </w:tc>
        <w:tc>
          <w:tcPr>
            <w:tcW w:w="340" w:type="dxa"/>
            <w:vAlign w:val="bottom"/>
          </w:tcPr>
          <w:p>
            <w:pPr>
              <w:spacing w:after="0"/>
              <w:rPr>
                <w:sz w:val="18"/>
                <w:szCs w:val="18"/>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4,245</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68,978</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(76,050)</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(13,015)</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(89,065)</w:t>
            </w: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(25,398)</w:t>
            </w:r>
          </w:p>
        </w:tc>
        <w:tc>
          <w:tcPr>
            <w:tcW w:w="340" w:type="dxa"/>
            <w:vAlign w:val="bottom"/>
          </w:tcPr>
          <w:p>
            <w:pPr>
              <w:spacing w:after="0"/>
              <w:rPr>
                <w:sz w:val="18"/>
                <w:szCs w:val="18"/>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2,003</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(23,395)</w:t>
            </w: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(101,383)</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(11,012)</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(112,395)</w:t>
            </w: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38,909</w:t>
            </w:r>
          </w:p>
        </w:tc>
        <w:tc>
          <w:tcPr>
            <w:tcW w:w="340" w:type="dxa"/>
            <w:vAlign w:val="bottom"/>
          </w:tcPr>
          <w:p>
            <w:pPr>
              <w:spacing w:after="0"/>
              <w:rPr>
                <w:sz w:val="18"/>
                <w:szCs w:val="18"/>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1,755</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40,664</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(61,095)</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(9,257)</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(70,352)</w:t>
            </w:r>
          </w:p>
        </w:tc>
      </w:tr>
      <w:tr>
        <w:trPr>
          <w:trHeight w:val="217"/>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(59,734)</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(9,257)</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(68,991)</w:t>
            </w:r>
          </w:p>
        </w:tc>
      </w:tr>
      <w:tr>
        <w:trPr>
          <w:trHeight w:val="635"/>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41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(0.16)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365"/>
        </w:trPr>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September 30, 2018</w:t>
            </w: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Historical</w:t>
            </w:r>
          </w:p>
        </w:tc>
      </w:tr>
      <w:tr>
        <w:trPr>
          <w:trHeight w:val="162"/>
        </w:trPr>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center"/>
              <w:ind w:right="313"/>
              <w:spacing w:after="0"/>
              <w:rPr>
                <w:sz w:val="20"/>
                <w:szCs w:val="20"/>
                <w:color w:val="auto"/>
              </w:rPr>
            </w:pPr>
            <w:r>
              <w:rPr>
                <w:rFonts w:ascii="Arial" w:cs="Arial" w:eastAsia="Arial" w:hAnsi="Arial"/>
                <w:sz w:val="14"/>
                <w:szCs w:val="14"/>
                <w:b w:val="1"/>
                <w:bCs w:val="1"/>
                <w:color w:val="auto"/>
              </w:rPr>
              <w:t>Impact of</w:t>
            </w:r>
          </w:p>
        </w:tc>
        <w:tc>
          <w:tcPr>
            <w:tcW w:w="2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Accounting</w:t>
            </w:r>
          </w:p>
        </w:tc>
      </w:tr>
      <w:tr>
        <w:trPr>
          <w:trHeight w:val="175"/>
        </w:trPr>
        <w:tc>
          <w:tcPr>
            <w:tcW w:w="180" w:type="dxa"/>
            <w:vAlign w:val="bottom"/>
          </w:tcPr>
          <w:p>
            <w:pPr>
              <w:spacing w:after="0"/>
              <w:rPr>
                <w:sz w:val="15"/>
                <w:szCs w:val="15"/>
                <w:color w:val="auto"/>
              </w:rPr>
            </w:pPr>
          </w:p>
        </w:tc>
        <w:tc>
          <w:tcPr>
            <w:tcW w:w="1240" w:type="dxa"/>
            <w:vAlign w:val="bottom"/>
          </w:tcPr>
          <w:p>
            <w:pPr>
              <w:jc w:val="right"/>
              <w:ind w:right="232"/>
              <w:spacing w:after="0"/>
              <w:rPr>
                <w:sz w:val="20"/>
                <w:szCs w:val="20"/>
                <w:color w:val="auto"/>
              </w:rPr>
            </w:pPr>
            <w:r>
              <w:rPr>
                <w:rFonts w:ascii="Arial" w:cs="Arial" w:eastAsia="Arial" w:hAnsi="Arial"/>
                <w:sz w:val="14"/>
                <w:szCs w:val="14"/>
                <w:b w:val="1"/>
                <w:bCs w:val="1"/>
                <w:color w:val="auto"/>
              </w:rPr>
              <w:t>As Reported</w:t>
            </w:r>
          </w:p>
        </w:tc>
        <w:tc>
          <w:tcPr>
            <w:tcW w:w="340" w:type="dxa"/>
            <w:vAlign w:val="bottom"/>
          </w:tcPr>
          <w:p>
            <w:pPr>
              <w:spacing w:after="0"/>
              <w:rPr>
                <w:sz w:val="15"/>
                <w:szCs w:val="15"/>
                <w:color w:val="auto"/>
              </w:rPr>
            </w:pPr>
          </w:p>
        </w:tc>
        <w:tc>
          <w:tcPr>
            <w:tcW w:w="1440" w:type="dxa"/>
            <w:vAlign w:val="bottom"/>
          </w:tcPr>
          <w:p>
            <w:pPr>
              <w:jc w:val="center"/>
              <w:ind w:right="293"/>
              <w:spacing w:after="0"/>
              <w:rPr>
                <w:sz w:val="20"/>
                <w:szCs w:val="20"/>
                <w:color w:val="auto"/>
              </w:rPr>
            </w:pPr>
            <w:r>
              <w:rPr>
                <w:rFonts w:ascii="Arial" w:cs="Arial" w:eastAsia="Arial" w:hAnsi="Arial"/>
                <w:sz w:val="14"/>
                <w:szCs w:val="14"/>
                <w:b w:val="1"/>
                <w:bCs w:val="1"/>
                <w:color w:val="auto"/>
              </w:rPr>
              <w:t>ASC 606</w:t>
            </w:r>
          </w:p>
        </w:tc>
        <w:tc>
          <w:tcPr>
            <w:tcW w:w="22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Method</w:t>
            </w:r>
          </w:p>
        </w:tc>
      </w:tr>
      <w:tr>
        <w:trPr>
          <w:trHeight w:val="184"/>
        </w:trPr>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268,803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2,322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271,125</w:t>
            </w:r>
          </w:p>
        </w:tc>
        <w:tc>
          <w:tcPr>
            <w:tcW w:w="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232,078</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(2,125)</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229,953</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233,258</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(16,952)</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216,306</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744,740</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(23,865)</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720,875</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250,407</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(5,483)</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244,924</w:t>
            </w:r>
          </w:p>
        </w:tc>
        <w:tc>
          <w:tcPr>
            <w:tcW w:w="60" w:type="dxa"/>
            <w:vAlign w:val="bottom"/>
          </w:tcPr>
          <w:p>
            <w:pPr>
              <w:spacing w:after="0"/>
              <w:rPr>
                <w:sz w:val="18"/>
                <w:szCs w:val="18"/>
                <w:color w:val="auto"/>
              </w:rPr>
            </w:pPr>
          </w:p>
        </w:tc>
      </w:tr>
      <w:tr>
        <w:trPr>
          <w:trHeight w:val="217"/>
        </w:trPr>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252,107</w:t>
            </w:r>
          </w:p>
        </w:tc>
        <w:tc>
          <w:tcPr>
            <w:tcW w:w="340" w:type="dxa"/>
            <w:vAlign w:val="bottom"/>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(35,136)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216,971</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-4373245</wp:posOffset>
            </wp:positionV>
            <wp:extent cx="724662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-3970020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-3695700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-3421380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-3146425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-2872105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-2597785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-2323465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-1920240</wp:posOffset>
            </wp:positionV>
            <wp:extent cx="7246620" cy="26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-968375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-694055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-419735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-4261485</wp:posOffset>
            </wp:positionH>
            <wp:positionV relativeFrom="paragraph">
              <wp:posOffset>-145415</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39" w:lineRule="exact"/>
        <w:rPr>
          <w:sz w:val="20"/>
          <w:szCs w:val="20"/>
          <w:color w:val="auto"/>
        </w:rPr>
      </w:pPr>
    </w:p>
    <w:p>
      <w:pPr>
        <w:sectPr>
          <w:pgSz w:w="11900" w:h="16838" w:orient="portrait"/>
          <w:cols w:equalWidth="0" w:num="2">
            <w:col w:w="6000" w:space="720"/>
            <w:col w:w="4700"/>
          </w:cols>
          <w:pgMar w:left="240" w:top="121" w:right="239" w:bottom="1440" w:gutter="0" w:footer="0" w:header="0"/>
          <w:type w:val="continuous"/>
        </w:sectPr>
      </w:pPr>
    </w:p>
    <w:p>
      <w:pPr>
        <w:ind w:firstLine="518"/>
        <w:spacing w:after="0" w:line="239"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(SG&amp;A) expenses. Advertising expenses for the three months ended September 30, 2018 and 2017 were $10.3 million and $2.3 million, respectively, and for the six months ended September 30, 2018 and 2017 were $17.0 million and $3.5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85"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Restricted cash relates to ViaSat-2 satellite insurance claim proceeds held by the trustee under the Company’s direct loan facility with the Export-Import Bank of the United States for ViaSat-2 (the Ex-Im Credit Facility) pending repayment of borrowings under the Ex-Im Credit Facility with such proceeds (see Note 6 — Senior Notes and Other Long-Term Debt for more information).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right="180" w:firstLine="518"/>
        <w:spacing w:after="0"/>
        <w:rPr>
          <w:sz w:val="20"/>
          <w:szCs w:val="20"/>
          <w:color w:val="auto"/>
        </w:rPr>
      </w:pPr>
      <w:r>
        <w:rPr>
          <w:rFonts w:ascii="Arial" w:cs="Arial" w:eastAsia="Arial" w:hAnsi="Arial"/>
          <w:sz w:val="18"/>
          <w:szCs w:val="18"/>
          <w:color w:val="auto"/>
        </w:rPr>
        <w:t>In accordance with the authoritative guidance for the statement of cash flows (ASU 230), the following table provides a reconciliation of cash and cash equivalents and restricted cash reported within the condensed consolidated balance sheets that total to the amounts shown in the condensed 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As of</w:t>
            </w:r>
          </w:p>
        </w:tc>
        <w:tc>
          <w:tcPr>
            <w:tcW w:w="42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As of</w:t>
            </w:r>
          </w:p>
        </w:tc>
      </w:tr>
      <w:tr>
        <w:trPr>
          <w:trHeight w:val="175"/>
        </w:trPr>
        <w:tc>
          <w:tcPr>
            <w:tcW w:w="6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September 30, 2018</w:t>
            </w:r>
          </w:p>
        </w:tc>
        <w:tc>
          <w:tcPr>
            <w:tcW w:w="420" w:type="dxa"/>
            <w:vAlign w:val="bottom"/>
          </w:tcPr>
          <w:p>
            <w:pPr>
              <w:spacing w:after="0"/>
              <w:rPr>
                <w:sz w:val="15"/>
                <w:szCs w:val="15"/>
                <w:color w:val="auto"/>
              </w:rPr>
            </w:pPr>
          </w:p>
        </w:tc>
        <w:tc>
          <w:tcPr>
            <w:tcW w:w="17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March 31, 2018</w:t>
            </w:r>
          </w:p>
        </w:tc>
      </w:tr>
      <w:tr>
        <w:trPr>
          <w:trHeight w:val="223"/>
        </w:trPr>
        <w:tc>
          <w:tcPr>
            <w:tcW w:w="68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44,458</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71,446</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7,169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68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and cash equivalents and restricted cash</w:t>
            </w:r>
          </w:p>
        </w:tc>
        <w:tc>
          <w:tcPr>
            <w:tcW w:w="240" w:type="dxa"/>
            <w:vAlign w:val="bottom"/>
            <w:tcBorders>
              <w:top w:val="single" w:sz="8" w:color="auto"/>
            </w:tcBorders>
            <w:shd w:val="clear" w:color="auto" w:fill="CFF0FC"/>
          </w:tcPr>
          <w:p>
            <w:pPr>
              <w:spacing w:after="0"/>
              <w:rPr>
                <w:sz w:val="18"/>
                <w:szCs w:val="18"/>
                <w:color w:val="auto"/>
              </w:rPr>
            </w:pPr>
          </w:p>
        </w:tc>
        <w:tc>
          <w:tcPr>
            <w:tcW w:w="18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820" w:type="dxa"/>
            <w:vAlign w:val="bottom"/>
            <w:tcBorders>
              <w:bottom w:val="single" w:sz="8" w:color="CFF0FC"/>
            </w:tcBorders>
            <w:shd w:val="clear" w:color="auto" w:fill="CFF0FC"/>
          </w:tcPr>
          <w:p>
            <w:pPr>
              <w:ind w:left="260"/>
              <w:spacing w:after="0" w:line="203" w:lineRule="exact"/>
              <w:rPr>
                <w:sz w:val="20"/>
                <w:szCs w:val="20"/>
                <w:color w:val="auto"/>
              </w:rPr>
            </w:pPr>
            <w:r>
              <w:rPr>
                <w:rFonts w:ascii="Arial" w:cs="Arial" w:eastAsia="Arial" w:hAnsi="Arial"/>
                <w:sz w:val="18"/>
                <w:szCs w:val="18"/>
                <w:color w:val="auto"/>
              </w:rPr>
              <w:t>shown in the consolidated statements of cash flows</w:t>
            </w:r>
          </w:p>
        </w:tc>
        <w:tc>
          <w:tcPr>
            <w:tcW w:w="240" w:type="dxa"/>
            <w:vAlign w:val="bottom"/>
            <w:tcBorders>
              <w:bottom w:val="single" w:sz="8" w:color="auto"/>
            </w:tcBorders>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51,627</w:t>
            </w:r>
          </w:p>
        </w:tc>
        <w:tc>
          <w:tcPr>
            <w:tcW w:w="3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71,446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Costs related to internally developed software for internal uses are capitalized after the preliminary project stage is complete and are amortized over the estimated useful lives of the assets.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24 years. Leasehold improvements are capitalized and amortized using the straight-line method over the shorter of the lease term or the life of the improvement.</w:t>
      </w:r>
    </w:p>
    <w:p>
      <w:pPr>
        <w:spacing w:after="0" w:line="160"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ViaSat-3 class satellites, gateway and networking equipment and other assets under construction, the Company capitalized $7.5 million and $ 13.7 million of interest expense for the three and six months ended September 30, 2018, respectively. With respect to the ViaSat-2 satellite, ViaSat-3 class satellites, gateway and networking equipment and other assets under construction, the Company capitalized $16.1 million and $30.7 million of interest expense for the three and six months ended September 30, 2017, respectively.</w:t>
      </w:r>
    </w:p>
    <w:p>
      <w:pPr>
        <w:spacing w:after="0" w:line="15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 owns three satellites in service: ViaSat-2 (its second-generation high-capacity Ka-band spot-beam satellite, which was placed into service in the fourth quarter of fiscal year 2018), ViaSat-1 (its first-generation high-capacity Ka-band spot-beam satellite, which was placed into service in January 2012) and WildBlue-1 (which was placed into service in March 2007). The Company currently has two third-generation ViaSat-3 class satellites under construction.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September 30, 2018 were $ 341.3 million and $133.2 million, respectively. The total cost and accumulated depreciation of CPE units included in property and equipment, net, as of March 31, 2018 were $298.7 million and $129.0 million, respectively.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the fourth quarter of fiscal year 2018, shortly before the launch of commercial broadband services on the satellite, the Company reported an antenna deployment issue. The Company worked with the satellite manufacturer to determine the root cause of the antenna deployment issue, potential correcting measures, and resulting damage. In the second quarter of fiscal year 2019, the root cause analysis was completed. Based on that analysis, the Company recorded a reduction to the carrying value of the ViaSat-2 satellite of $177.4 million, with a corresponding insurance claim receivable of $177.4 million, based on the Company’s estimated ViaSat-2 output capabilities as compared to the anticipated, potential and configured capacity of the ViaSat-2 satellite. As of September 30, 2018, the Company had received $44.4 million in insurance recovery proceeds related to such claims and the remaining $133.0 million, as probable, was recorded as a receivable. The ViaSat-2 satellite was primarily financed by the Ex-Im Credit Facility (see Note 6 — Senior Notes and Other Long-Term Debt for more information). Pursuant to the terms of the Ex-Im Credit Facility, insurance proceeds received from such claims will be used to pay down outstanding borrowings under the Ex-Im Credit Facility upon receipt. Subsequent to the end of the fiscal second quarter, the Company received an additional $57.8 million related to its outstanding ViaSat-2 insurance claims.</w:t>
      </w:r>
    </w:p>
    <w:p>
      <w:pPr>
        <w:spacing w:after="0" w:line="151"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w:t>
      </w:r>
    </w:p>
    <w:p>
      <w:pPr>
        <w:spacing w:after="0" w:line="234" w:lineRule="auto"/>
        <w:rPr>
          <w:sz w:val="20"/>
          <w:szCs w:val="20"/>
          <w:color w:val="auto"/>
        </w:rPr>
      </w:pPr>
      <w:r>
        <w:rPr>
          <w:rFonts w:ascii="Arial" w:cs="Arial" w:eastAsia="Arial" w:hAnsi="Arial"/>
          <w:sz w:val="18"/>
          <w:szCs w:val="18"/>
          <w:color w:val="auto"/>
        </w:rPr>
        <w:t>that have finite lives is provided for by the straight-line method over the shorter of the legal or estimated economic life. Total capitalized costs of</w:t>
      </w:r>
    </w:p>
    <w:p>
      <w:pPr>
        <w:spacing w:after="0" w:line="235" w:lineRule="auto"/>
        <w:rPr>
          <w:sz w:val="20"/>
          <w:szCs w:val="20"/>
          <w:color w:val="auto"/>
        </w:rPr>
      </w:pPr>
      <w:r>
        <w:rPr>
          <w:rFonts w:ascii="Arial" w:cs="Arial" w:eastAsia="Arial" w:hAnsi="Arial"/>
          <w:sz w:val="18"/>
          <w:szCs w:val="18"/>
          <w:color w:val="auto"/>
        </w:rPr>
        <w:t>$3.2 million related to patents were included in other assets as of September 30, 2018 and March 31, 2018. The Company capitalized costs of</w:t>
      </w:r>
    </w:p>
    <w:p>
      <w:pPr>
        <w:spacing w:after="0" w:line="235" w:lineRule="auto"/>
        <w:rPr>
          <w:sz w:val="20"/>
          <w:szCs w:val="20"/>
          <w:color w:val="auto"/>
        </w:rPr>
      </w:pPr>
      <w:r>
        <w:rPr>
          <w:rFonts w:ascii="Arial" w:cs="Arial" w:eastAsia="Arial" w:hAnsi="Arial"/>
          <w:sz w:val="18"/>
          <w:szCs w:val="18"/>
          <w:color w:val="auto"/>
        </w:rPr>
        <w:t>$16.4 million and $15.4 million related to acquiring and obtaining orbital slots and other licenses included in other assets as of September 30,</w:t>
      </w:r>
    </w:p>
    <w:p>
      <w:pPr>
        <w:spacing w:after="0" w:line="235" w:lineRule="auto"/>
        <w:rPr>
          <w:sz w:val="20"/>
          <w:szCs w:val="20"/>
          <w:color w:val="auto"/>
        </w:rPr>
      </w:pPr>
      <w:r>
        <w:rPr>
          <w:rFonts w:ascii="Arial" w:cs="Arial" w:eastAsia="Arial" w:hAnsi="Arial"/>
          <w:sz w:val="18"/>
          <w:szCs w:val="18"/>
          <w:color w:val="auto"/>
        </w:rPr>
        <w:t>2018 and March 31, 2018, respectively. Accumulated amortization related to these assets was $2.8 million and $2.5 million as of</w:t>
      </w:r>
    </w:p>
    <w:p>
      <w:pPr>
        <w:spacing w:after="0" w:line="235" w:lineRule="auto"/>
        <w:rPr>
          <w:sz w:val="20"/>
          <w:szCs w:val="20"/>
          <w:color w:val="auto"/>
        </w:rPr>
      </w:pPr>
      <w:r>
        <w:rPr>
          <w:rFonts w:ascii="Arial" w:cs="Arial" w:eastAsia="Arial" w:hAnsi="Arial"/>
          <w:sz w:val="18"/>
          <w:szCs w:val="18"/>
          <w:color w:val="auto"/>
        </w:rPr>
        <w:t>September 30, 2018 and March 31, 2018, respectively. Amortization expense related to these assets was an insignificant amount for the three</w:t>
      </w:r>
    </w:p>
    <w:p>
      <w:pPr>
        <w:spacing w:after="0" w:line="235" w:lineRule="auto"/>
        <w:rPr>
          <w:sz w:val="20"/>
          <w:szCs w:val="20"/>
          <w:color w:val="auto"/>
        </w:rPr>
      </w:pPr>
      <w:r>
        <w:rPr>
          <w:rFonts w:ascii="Arial" w:cs="Arial" w:eastAsia="Arial" w:hAnsi="Arial"/>
          <w:sz w:val="18"/>
          <w:szCs w:val="18"/>
          <w:color w:val="auto"/>
        </w:rPr>
        <w:t>and six months ended September 30, 2018 and 2017. If a patent, orbital slot or orbital license is rejected, abandoned or otherwise invalidated,</w:t>
      </w:r>
    </w:p>
    <w:p>
      <w:pPr>
        <w:spacing w:after="0" w:line="235" w:lineRule="auto"/>
        <w:rPr>
          <w:sz w:val="20"/>
          <w:szCs w:val="20"/>
          <w:color w:val="auto"/>
        </w:rPr>
      </w:pPr>
      <w:r>
        <w:rPr>
          <w:rFonts w:ascii="Arial" w:cs="Arial" w:eastAsia="Arial" w:hAnsi="Arial"/>
          <w:sz w:val="18"/>
          <w:szCs w:val="18"/>
          <w:color w:val="auto"/>
        </w:rPr>
        <w:t>the unamortized cost is expensed in that period. During the three and six months ended September 30, 2018 and 2017, the Company did not</w:t>
      </w:r>
    </w:p>
    <w:p>
      <w:pPr>
        <w:spacing w:after="0"/>
        <w:rPr>
          <w:sz w:val="20"/>
          <w:szCs w:val="20"/>
          <w:color w:val="auto"/>
        </w:rPr>
      </w:pPr>
      <w:r>
        <w:rPr>
          <w:rFonts w:ascii="Arial" w:cs="Arial" w:eastAsia="Arial" w:hAnsi="Arial"/>
          <w:sz w:val="18"/>
          <w:szCs w:val="18"/>
          <w:color w:val="auto"/>
        </w:rPr>
        <w:t>write off any significant costs due to abandonment or impairment.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September 30, 2018 and 2017, no debt issuance costs were capitalized.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and the the Ex-Im Credit Facility are recorded as a direct deduction from the carrying amount of the related debt, consistent with debt discounts, in accordance with the authoritative guidance for imputation of interest (ASC 835-30).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9"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$244.7 million and $246.8 million related to software developed for resale were included in other assets as of September 30, 2018 and March 31, 2018, respectively. The Company capitalized $9.6 million and $21.0 million of costs related to software developed for resale for the three and six months ended September 30, 2018, respectively. The Company capitalized $20.0 million and $37.8 million of costs related to software developed for resale for the three and six months ended September 30, 2017, respectively. Amortization expense for capitalized software development costs was $11.7 million and $23.1 million for the three and six months ended September 30, 2018, respectively, and $6.6 million and $16.3 million for the three and six months ended September 30,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$4.9 million and $ 4.5 million in accrued liabilities in the condensed consolidated balance sheets as of September 30, 2018 and March 31, 2018,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8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September 30, 2018 and March 31, 2018, no such amounts were accrued related to the aforementioned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9"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99"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2018 and March 31, 2018, the Company had no shares of common stock held in treasury.</w:t>
      </w:r>
    </w:p>
    <w:p>
      <w:pPr>
        <w:spacing w:after="0" w:line="158"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During the six months ended September 30, 2018 and 2017, the Company issued 308,731 and 106,741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six months ended September 30, 2018 and 2017, the Company repurchased 103,337 and 36,666 shares of common stock, respectively, at cost and with a total value of $6.6 million and $2.5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85"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51"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During the three and six months ended September 30, 2018 and 2017, the Company settled certain foreign exchange contracts and in connection therewith for each period recognized an insignificant gain or loss recorded in cost of revenues based on the nature of the underlying transactions. The fair value of the Company’s foreign currency forward contracts was an insignificant amount recorded as an accrued liability as of September 30, 2018 and an other current asset as of March 31, 2018. The notional value of foreign currency forward contracts outstanding was $4.8 million as of September 30, 2018 and an insignificant amount as of March 31, 2018.</w:t>
      </w:r>
    </w:p>
    <w:p>
      <w:pPr>
        <w:spacing w:after="0" w:line="149"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As of September 30, 2018, the estimated net amount of unrealized gains or losses related to foreign currency forward contracts that was expected to be reclassified to earnings within the next 12 months was insignificant. The Company’s foreign currency forward contracts outstanding as of September 30, 2018 will mature within approximately 21 months from their inception. There were no gains or losses from ineffectiveness of these derivative instruments recorded for the three and six months ended September 30, 2018 and 2017.</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w:t>
      </w:r>
    </w:p>
    <w:p>
      <w:pPr>
        <w:spacing w:after="0" w:line="1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forfeitures as they occur. The Company recognized $19.4 million and $38.5 million of stock-based compensation expense for the three and six months ended September 30, 2018, respectively. The Company recognized $16.0 million and $31.5 million of stock-based compensation expense for the three and six months ended September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The Company calculates its provision for income taxes at the end of each interim reporting period on the basis of an estimated annual effective tax rate adjusted for tax items that are discrete to each period.</w:t>
      </w:r>
    </w:p>
    <w:p>
      <w:pPr>
        <w:spacing w:after="0" w:line="14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 xml:space="preserve">In May 2014, the Financial Accounting Standards Board (FASB) issued ASU 2014-09, Revenue from Contracts with Customers. ASU 2014-09 requires an entity to recognize the amount of revenue to which it expects to be entitled for the transfer of promised goods or services to a customer. This guidance replaced most existing revenue recognition guidance and became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In December 2016, the FASB issued ASU 2016-20, Technical Corrections and Improvements to ASC 606, Revenue from Contracts with Customers, which provides for correction or improvement to the guidance previously issued in ASU 2014-09. These standards permit the use of either the retrospective or cumulative effect transition method. The Company adopted this standard effective as of April 1, 2018 utilizing the “modified retrospective method.” For additional information see Note 1 –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(ASC 825-10). ASU 2016-01 requires that most equity investments (except those accounted for under the equity method for accounting or those that result in consolidation of the investee) be measured at fair value, with subsequent changes in fair value recognized in net income (loss). The new guidance also impacts financial liabilities under the fair value option and the presentation and disclosure requirements for financial instruments. The new guidance was required to be applied by means of a cumulative-effect adjustment to the balance sheet as of the beginning of the fiscal year of adoption. In February 2018, the FASB issued ASU 2018-03, Technical Corrections and Improvements to Financial Instruments – Overall (ASC 825-10), which clarified certain aspects of the guidance issued in ASU 2016-01. ASU 2016-01 became effective for the Company in fiscal year 2019. The Company adopted the guidance in ASU 2016-01 beginning in the first quarter of fiscal year 2019 on a modified retrospective basis and adopted the guidance in ASU 2018-03 beginning in the second quarter of fiscal year 2019. The guidance in both ASU 2016-01 and ASU 2018-03 did not have a material impact on the Company’s consolidated financial statements and disclosures.</w:t>
      </w:r>
    </w:p>
    <w:p>
      <w:pPr>
        <w:spacing w:after="0" w:line="152"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February 2016, the FASB issued ASU 2016-02, Leases (ASC 842). ASU 2016-02 requires lessees to recognize most leases on their balance sheets as lease liabilities with corresponding right-of-use assets and eliminates certain real estate-specific provisions. In January 2018, the FASB issued ASU 2018-01, Leases (ASC 842). ASU 2018-01 permits an entity to elect an optional transition practical expedient to not evaluate land easements that exist or expired before the entity’s adoption of ASC 842 and that were not previously accounted for as leases under ASC 840. In July 2018, the FASB issued ASU 2018-10, Codification Improvements to ASC 842, Leases, which was issued to provide more detailed guidance and additional clarification for implementing ASU 2016-02. In July 2018, the FASB issued ASU 2018-11, Leases (ASC 842): Targeted Improvements, which provides an additional (and optional) transition method whereby the new lease standard is applied at the adoption date and recognized as an adjustment to retained earnings. The new guidance will become effective for the Company beginning in the first quarter of fiscal year 2020, with early adoption permitted. The Company is currently evaluating the method of adoption as well as the impact of this standard on its consolidated financial statements and disclosures.</w:t>
      </w:r>
    </w:p>
    <w:p>
      <w:pPr>
        <w:spacing w:after="0" w:line="14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49"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In August 2016, the FASB issued ASU 2016-15, Statement of Cash Flows (ASC 230). ASU 2016-15 makes eight targeted changes to how companies present and classify certain cash receipts and cash payments in the statement of cash flows. The new standard became effective for the Company beginning in fiscal year 2019, with early adoption permitted. The new standard required adoption on a retrospective basis unless impracticable to apply, in which case the Company would have been required to apply the amendments prospectively as of the earliest date practicable. The Company early adopted the guidance on a retrospective basis in the second quarter of fiscal year 2018 and as a result cash payments for debt prepayment and extinguishment were classified as cash outflows for financing activities in fiscal year 2018. Otherwise the adoption of this guidance did not have a material impact on the Company’s consolidated financial statements and disclosures.</w:t>
      </w:r>
    </w:p>
    <w:p>
      <w:pPr>
        <w:spacing w:after="0" w:line="149"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October 2016, the FASB issued ASU 2016-16, Income Taxes (ASC 740). ASU 2016-16 requires that an entity should recognize the income tax consequences of an intra-entity transfer of an asset other than inventory when the transfer occurs as opposed to when the asset has been sold to an outside party. The new standard became effective for the Company beginning in the first quarter of fiscal year 2019. The new standard requires adoption on a modified retrospective basis through a cumulative-effect adjustment directly to retained earnings as of the beginning of the period. The Company adopted this guidance beginning in the first quarter of fiscal year 2019 on a modified retrospective basis and the guidance did not have a material impact on the Company’s consolidated financial statements and disclosures.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In January 2017, the FASB issued ASU 2017-01, Business Combinations: Clarifying the Definition of a Business (ASC 805). ASU 2017-01 clarifies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The new standard became effective for the Company beginning in the first quarter of fiscal year 2019. The Company adopted this guidance beginning in the first quarter of fiscal year 2019 on a prospective basis and the guidance did not have a material impact on the Company’s consolidated financial statements and disclosures.</w:t>
      </w:r>
    </w:p>
    <w:p>
      <w:pPr>
        <w:spacing w:after="0" w:line="151"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is currently evaluating the impact of this standard on its consolidated financial statements and disclosures.</w:t>
      </w:r>
    </w:p>
    <w:p>
      <w:pPr>
        <w:spacing w:after="0" w:line="148"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February 2017, the FASB issued ASU 2017-05, Other Income — Gains and Losses from the Derecognition of Nonfinancial Assets (ASC 610-20): Clarifying the Scope of Asset Derecognition Guidance and Accounting for Partial Sales of Nonfinancial Assets. ASU 2017-05 clarifies the scope and accounting of a financial asset that meets the definition of an “in-substance nonfinancial asset” and defines the term “in-substance nonfinancial asset.” ASU 2017-05 also adds guidance for partial sales of nonfinancial assets. The standard became effective for the Company beginning in the first quarter of fiscal year 2019. The Company adopted this guidance beginning in the first quarter of fiscal year 2019 on a prospective basis and the guidance did not have a material impact on the Company’s consolidated financial statements and disclosures.</w:t>
      </w:r>
    </w:p>
    <w:p>
      <w:pPr>
        <w:spacing w:after="0" w:line="15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standard will become effective for the Company beginning in fiscal year 2020, with early adoption permitted. The Company is currently evaluating the impact of this standard on its consolidated financial statements and disclosures.</w:t>
      </w:r>
    </w:p>
    <w:p>
      <w:pPr>
        <w:spacing w:after="0" w:line="149"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In May 2017, the FASB issued ASU 2017-09, Compensation — Stock Compensation (ASC 718): Scope of Modification Accounting. ASU 2017-09 provides guidance about which changes to the terms or conditions of a share-based payment award require an entity to apply modification accounting. The standard became effective for the Company beginning in the first quarter of fiscal year 2019. The Company early adopted this standard beginning in the fourth quarter of fiscal year 2018. The guidance did not have a material impact on the Company’s consolidated financial statements and disclosures.</w:t>
      </w:r>
    </w:p>
    <w:p>
      <w:pPr>
        <w:spacing w:after="0" w:line="149"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August 2017, the FASB issued ASU 2017-12, Derivatives and Hedging (ASC 815): Targeted Improvements to Accounting for Hedging Activities. ASU 2017-12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The standard will become effective for the Company beginning in fiscal year 2020, with early adoption permitted. The Company is currently evaluating the impact of this standard on its consolidated financial statements and disclosures.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In June 2018, the FASB issued ASU 2018-07, Compensation – Stock Compensation (ASC 718): Improvements to Nonemployee Share-Based Payment Accounting. ASU 2018-07 simplifies the accounting for nonemployee share-based payment transactions. Consequently, the accounting for share-based payments to nonemployees and employees will be substantially aligned. The new standard will become effective for the Company beginning in fiscal year 2020, with early adoption permitted. The Company early adopted the guidance in the first quarter of fiscal year 2019 and the guidance did not have a material impact on the Company’s consolidated financial statements and disclosures.</w:t>
      </w:r>
    </w:p>
    <w:p>
      <w:pPr>
        <w:spacing w:after="0" w:line="149" w:lineRule="exact"/>
        <w:rPr>
          <w:sz w:val="20"/>
          <w:szCs w:val="20"/>
          <w:color w:val="auto"/>
        </w:rPr>
      </w:pPr>
    </w:p>
    <w:p>
      <w:pPr>
        <w:ind w:right="60" w:firstLine="518"/>
        <w:spacing w:after="0" w:line="234" w:lineRule="auto"/>
        <w:rPr>
          <w:sz w:val="20"/>
          <w:szCs w:val="20"/>
          <w:color w:val="auto"/>
        </w:rPr>
      </w:pPr>
      <w:r>
        <w:rPr>
          <w:rFonts w:ascii="Arial" w:cs="Arial" w:eastAsia="Arial" w:hAnsi="Arial"/>
          <w:sz w:val="18"/>
          <w:szCs w:val="18"/>
          <w:color w:val="auto"/>
        </w:rPr>
        <w:t>In July 2018, the FASB issued ASU 2018-09, Codification Improvements, which is related to a project by the FASB to facilitate codification updates for technical corrections, clarifications and other minor improvements. The new standard contains amendments that affect a wide variety of topics in the ASC. The effective date of the standard is dependent on the facts and circumstances of each amendment. Some amendments do not require transition guidance and were effective upon the issuance of this standard. A majority of the amendments in</w:t>
      </w:r>
    </w:p>
    <w:p>
      <w:pPr>
        <w:spacing w:after="0" w:line="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ASU 2018-09 will become effective for the Company beginning in fiscal year 2020. The Company is currently evaluating the impact of this standard on its consolidated financial statements and disclosures, however this standard has not and is not expected to have a material impact on its consolidated financial statements and disclosures.</w:t>
      </w:r>
    </w:p>
    <w:p>
      <w:pPr>
        <w:spacing w:after="0" w:line="149" w:lineRule="exact"/>
        <w:rPr>
          <w:sz w:val="20"/>
          <w:szCs w:val="20"/>
          <w:color w:val="auto"/>
        </w:rPr>
      </w:pPr>
    </w:p>
    <w:p>
      <w:pPr>
        <w:ind w:right="180" w:firstLine="518"/>
        <w:spacing w:after="0" w:line="239" w:lineRule="auto"/>
        <w:rPr>
          <w:sz w:val="20"/>
          <w:szCs w:val="20"/>
          <w:color w:val="auto"/>
        </w:rPr>
      </w:pPr>
      <w:r>
        <w:rPr>
          <w:rFonts w:ascii="Arial" w:cs="Arial" w:eastAsia="Arial" w:hAnsi="Arial"/>
          <w:sz w:val="18"/>
          <w:szCs w:val="18"/>
          <w:color w:val="auto"/>
        </w:rPr>
        <w:t>In August 2018, the FASB issued ASU 2018-13, Fair Value Measurement (ASC 820): Disclosure Framework—Changes to the Disclosure Requirements for Fair Value Measurement, which modifies the disclosure requirements for fair value measurements by removing, modifying, or adding certain disclosures. The new standard will become effective for the Company beginning in fiscal year 2021, with early adoption permitted. The Company is currently evaluating the impact of this standard on its consolidated financial statements and disclosures.</w:t>
      </w:r>
    </w:p>
    <w:p>
      <w:pPr>
        <w:spacing w:after="0" w:line="148"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August 2018, the FASB issued ASU 2018-15, Intangibles—Goodwill and Other—Internal-Use Software (ASC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new standard will become effective for the Company beginning in fiscal year 2021, with early adoption permitted. The Company early adopted the guidance in the second quarter of fiscal year 2019 and the adoption of the guidance did not have a material impact on the Company’s consolidated financial statements and disclosures.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As of</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5"/>
        </w:trPr>
        <w:tc>
          <w:tcPr>
            <w:tcW w:w="6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spacing w:after="0"/>
              <w:rPr>
                <w:sz w:val="20"/>
                <w:szCs w:val="20"/>
                <w:color w:val="auto"/>
              </w:rPr>
            </w:pPr>
            <w:r>
              <w:rPr>
                <w:rFonts w:ascii="Arial" w:cs="Arial" w:eastAsia="Arial" w:hAnsi="Arial"/>
                <w:sz w:val="13"/>
                <w:szCs w:val="13"/>
                <w:color w:val="auto"/>
              </w:rPr>
              <w:t>Accounts receivable, net:</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Billed</w:t>
            </w:r>
          </w:p>
        </w:tc>
        <w:tc>
          <w:tcPr>
            <w:tcW w:w="18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188,915</w:t>
            </w:r>
          </w:p>
        </w:tc>
        <w:tc>
          <w:tcPr>
            <w:tcW w:w="180" w:type="dxa"/>
            <w:vAlign w:val="bottom"/>
          </w:tcPr>
          <w:p>
            <w:pPr>
              <w:spacing w:after="0"/>
              <w:rPr>
                <w:sz w:val="12"/>
                <w:szCs w:val="12"/>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184,536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Unbilled</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81,592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85,156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Allowance for doubtful accounts</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(1,704)</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7"/>
              <w:spacing w:after="0" w:line="143" w:lineRule="exact"/>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268,803</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267,665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Inventories:</w:t>
            </w:r>
          </w:p>
        </w:tc>
        <w:tc>
          <w:tcPr>
            <w:tcW w:w="1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Raw materials</w:t>
            </w:r>
          </w:p>
        </w:tc>
        <w:tc>
          <w:tcPr>
            <w:tcW w:w="182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74,995</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Work in process</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51,704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47,465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Finished goods</w:t>
            </w:r>
          </w:p>
        </w:tc>
        <w:tc>
          <w:tcPr>
            <w:tcW w:w="16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105,379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86,590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20" w:type="dxa"/>
            <w:vAlign w:val="bottom"/>
          </w:tcPr>
          <w:p>
            <w:pPr>
              <w:spacing w:after="0"/>
              <w:rPr>
                <w:sz w:val="15"/>
                <w:szCs w:val="15"/>
                <w:color w:val="auto"/>
              </w:rPr>
            </w:pPr>
          </w:p>
        </w:tc>
        <w:tc>
          <w:tcPr>
            <w:tcW w:w="1820" w:type="dxa"/>
            <w:vAlign w:val="bottom"/>
            <w:gridSpan w:val="2"/>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1380" w:type="dxa"/>
            <w:vAlign w:val="bottom"/>
          </w:tcPr>
          <w:p>
            <w:pPr>
              <w:jc w:val="right"/>
              <w:spacing w:after="0" w:line="143" w:lineRule="exact"/>
              <w:rPr>
                <w:sz w:val="20"/>
                <w:szCs w:val="20"/>
                <w:color w:val="auto"/>
              </w:rPr>
            </w:pPr>
            <w:r>
              <w:rPr>
                <w:rFonts w:ascii="Arial" w:cs="Arial" w:eastAsia="Arial" w:hAnsi="Arial"/>
                <w:sz w:val="13"/>
                <w:szCs w:val="13"/>
                <w:color w:val="auto"/>
              </w:rPr>
              <w:t>232,078</w:t>
            </w:r>
          </w:p>
        </w:tc>
        <w:tc>
          <w:tcPr>
            <w:tcW w:w="180" w:type="dxa"/>
            <w:vAlign w:val="bottom"/>
          </w:tcPr>
          <w:p>
            <w:pPr>
              <w:spacing w:after="0"/>
              <w:rPr>
                <w:sz w:val="15"/>
                <w:szCs w:val="15"/>
                <w:color w:val="auto"/>
              </w:rPr>
            </w:pPr>
          </w:p>
        </w:tc>
        <w:tc>
          <w:tcPr>
            <w:tcW w:w="52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0" w:type="dxa"/>
            <w:vAlign w:val="bottom"/>
          </w:tcPr>
          <w:p>
            <w:pPr>
              <w:jc w:val="right"/>
              <w:spacing w:after="0" w:line="143" w:lineRule="exact"/>
              <w:rPr>
                <w:sz w:val="20"/>
                <w:szCs w:val="20"/>
                <w:color w:val="auto"/>
              </w:rPr>
            </w:pPr>
            <w:r>
              <w:rPr>
                <w:rFonts w:ascii="Arial" w:cs="Arial" w:eastAsia="Arial" w:hAnsi="Arial"/>
                <w:sz w:val="13"/>
                <w:szCs w:val="13"/>
                <w:color w:val="auto"/>
              </w:rPr>
              <w:t>196,307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Prepaid expenses and other current assets:</w:t>
            </w:r>
          </w:p>
        </w:tc>
        <w:tc>
          <w:tcPr>
            <w:tcW w:w="16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Prepaid expenses</w:t>
            </w:r>
          </w:p>
        </w:tc>
        <w:tc>
          <w:tcPr>
            <w:tcW w:w="18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80,984</w:t>
            </w:r>
          </w:p>
        </w:tc>
        <w:tc>
          <w:tcPr>
            <w:tcW w:w="180" w:type="dxa"/>
            <w:vAlign w:val="bottom"/>
          </w:tcPr>
          <w:p>
            <w:pPr>
              <w:spacing w:after="0"/>
              <w:rPr>
                <w:sz w:val="12"/>
                <w:szCs w:val="12"/>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68,516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Insurance receivable</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133,020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19,254</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233,258</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77,135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Satellites, net:</w:t>
            </w:r>
          </w:p>
        </w:tc>
        <w:tc>
          <w:tcPr>
            <w:tcW w:w="1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Satellites (estimated useful life of 10-17 years)</w:t>
            </w:r>
          </w:p>
        </w:tc>
        <w:tc>
          <w:tcPr>
            <w:tcW w:w="182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978,098</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1,152,503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Capital lease of satellite capacity — Anik F2 (estimated useful life of 10 years)</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99,090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99,090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Satellites under construction</w:t>
            </w:r>
          </w:p>
        </w:tc>
        <w:tc>
          <w:tcPr>
            <w:tcW w:w="16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459,222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362,342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Arial" w:cs="Arial" w:eastAsia="Arial" w:hAnsi="Arial"/>
                <w:sz w:val="13"/>
                <w:szCs w:val="13"/>
                <w:color w:val="auto"/>
              </w:rPr>
              <w:t>1,536,410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line="143" w:lineRule="exact"/>
              <w:rPr>
                <w:sz w:val="20"/>
                <w:szCs w:val="20"/>
                <w:color w:val="auto"/>
              </w:rPr>
            </w:pPr>
            <w:r>
              <w:rPr>
                <w:rFonts w:ascii="Arial" w:cs="Arial" w:eastAsia="Arial" w:hAnsi="Arial"/>
                <w:sz w:val="13"/>
                <w:szCs w:val="13"/>
                <w:color w:val="auto"/>
              </w:rPr>
              <w:t>1,613,935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Less: accumulated depreciation and amortization</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(412,336)</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(373,948)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jc w:val="right"/>
              <w:ind w:right="57"/>
              <w:spacing w:after="0" w:line="143" w:lineRule="exact"/>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line="143" w:lineRule="exact"/>
              <w:rPr>
                <w:sz w:val="20"/>
                <w:szCs w:val="20"/>
                <w:color w:val="auto"/>
              </w:rPr>
            </w:pPr>
            <w:r>
              <w:rPr>
                <w:rFonts w:ascii="Arial" w:cs="Arial" w:eastAsia="Arial" w:hAnsi="Arial"/>
                <w:sz w:val="13"/>
                <w:szCs w:val="13"/>
                <w:color w:val="auto"/>
              </w:rPr>
              <w:t>1,124,074</w:t>
            </w:r>
          </w:p>
        </w:tc>
        <w:tc>
          <w:tcPr>
            <w:tcW w:w="180" w:type="dxa"/>
            <w:vAlign w:val="bottom"/>
          </w:tcPr>
          <w:p>
            <w:pPr>
              <w:spacing w:after="0"/>
              <w:rPr>
                <w:sz w:val="15"/>
                <w:szCs w:val="15"/>
                <w:color w:val="auto"/>
              </w:rPr>
            </w:pPr>
          </w:p>
        </w:tc>
        <w:tc>
          <w:tcPr>
            <w:tcW w:w="52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0" w:type="dxa"/>
            <w:vAlign w:val="bottom"/>
          </w:tcPr>
          <w:p>
            <w:pPr>
              <w:jc w:val="right"/>
              <w:spacing w:after="0" w:line="143" w:lineRule="exact"/>
              <w:rPr>
                <w:sz w:val="20"/>
                <w:szCs w:val="20"/>
                <w:color w:val="auto"/>
              </w:rPr>
            </w:pPr>
            <w:r>
              <w:rPr>
                <w:rFonts w:ascii="Arial" w:cs="Arial" w:eastAsia="Arial" w:hAnsi="Arial"/>
                <w:sz w:val="13"/>
                <w:szCs w:val="13"/>
                <w:color w:val="auto"/>
              </w:rPr>
              <w:t>1,239,987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Property and equipment, net:</w:t>
            </w:r>
          </w:p>
        </w:tc>
        <w:tc>
          <w:tcPr>
            <w:tcW w:w="16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Equipment and software (estimated useful life of 2-7 years)</w:t>
            </w:r>
          </w:p>
        </w:tc>
        <w:tc>
          <w:tcPr>
            <w:tcW w:w="18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939,026</w:t>
            </w:r>
          </w:p>
        </w:tc>
        <w:tc>
          <w:tcPr>
            <w:tcW w:w="180" w:type="dxa"/>
            <w:vAlign w:val="bottom"/>
          </w:tcPr>
          <w:p>
            <w:pPr>
              <w:spacing w:after="0"/>
              <w:rPr>
                <w:sz w:val="12"/>
                <w:szCs w:val="12"/>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864,140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CPE leased equipment (estimated useful life of 4-5 years)</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341,308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298,746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Furniture and fixtures (estimated useful life of 7 years)</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39,952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35,234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Leasehold improvements (estimated useful life of 2-17 years)</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115,300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Building (estimated useful life of 24 years)</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8,923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Land</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Construction in progress</w:t>
            </w:r>
          </w:p>
        </w:tc>
        <w:tc>
          <w:tcPr>
            <w:tcW w:w="16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158,173</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108,192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1,604,973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1,442,398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Less: accumulated depreciation</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(778,674)</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3"/>
                <w:szCs w:val="13"/>
                <w:color w:val="auto"/>
              </w:rPr>
              <w:t>(719,910)</w:t>
            </w:r>
          </w:p>
        </w:tc>
        <w:tc>
          <w:tcPr>
            <w:tcW w:w="0" w:type="dxa"/>
            <w:vAlign w:val="bottom"/>
          </w:tcPr>
          <w:p>
            <w:pPr>
              <w:spacing w:after="0"/>
              <w:rPr>
                <w:sz w:val="1"/>
                <w:szCs w:val="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7"/>
              <w:spacing w:after="0" w:line="143" w:lineRule="exact"/>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826,299</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722,488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Other acquired intangible assets, net:</w:t>
            </w:r>
          </w:p>
        </w:tc>
        <w:tc>
          <w:tcPr>
            <w:tcW w:w="1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Technology (weighted average useful life of 6 years)</w:t>
            </w:r>
          </w:p>
        </w:tc>
        <w:tc>
          <w:tcPr>
            <w:tcW w:w="182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89,094</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90,652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Contracts and customer relationships (weighted average useful life of 7 years)</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103,421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103,808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 co-location rights (weighted average useful life of 9 years)</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Trade name (weighted average useful life of 3 years)</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5,940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5,940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(weighted average useful life of 6 years)</w:t>
            </w:r>
          </w:p>
        </w:tc>
        <w:tc>
          <w:tcPr>
            <w:tcW w:w="16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10,035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10,137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Arial" w:cs="Arial" w:eastAsia="Arial" w:hAnsi="Arial"/>
                <w:sz w:val="13"/>
                <w:szCs w:val="13"/>
                <w:color w:val="auto"/>
              </w:rPr>
              <w:t>217,090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line="143" w:lineRule="exact"/>
              <w:rPr>
                <w:sz w:val="20"/>
                <w:szCs w:val="20"/>
                <w:color w:val="auto"/>
              </w:rPr>
            </w:pPr>
            <w:r>
              <w:rPr>
                <w:rFonts w:ascii="Arial" w:cs="Arial" w:eastAsia="Arial" w:hAnsi="Arial"/>
                <w:sz w:val="13"/>
                <w:szCs w:val="13"/>
                <w:color w:val="auto"/>
              </w:rPr>
              <w:t>219,137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Less: accumulated amortization</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(191,018)</w:t>
            </w: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(187,275)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jc w:val="right"/>
              <w:ind w:right="57"/>
              <w:spacing w:after="0" w:line="143" w:lineRule="exact"/>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line="143" w:lineRule="exact"/>
              <w:rPr>
                <w:sz w:val="20"/>
                <w:szCs w:val="20"/>
                <w:color w:val="auto"/>
              </w:rPr>
            </w:pPr>
            <w:r>
              <w:rPr>
                <w:rFonts w:ascii="Arial" w:cs="Arial" w:eastAsia="Arial" w:hAnsi="Arial"/>
                <w:sz w:val="13"/>
                <w:szCs w:val="13"/>
                <w:color w:val="auto"/>
              </w:rPr>
              <w:t>26,072</w:t>
            </w:r>
          </w:p>
        </w:tc>
        <w:tc>
          <w:tcPr>
            <w:tcW w:w="180" w:type="dxa"/>
            <w:vAlign w:val="bottom"/>
          </w:tcPr>
          <w:p>
            <w:pPr>
              <w:spacing w:after="0"/>
              <w:rPr>
                <w:sz w:val="15"/>
                <w:szCs w:val="15"/>
                <w:color w:val="auto"/>
              </w:rPr>
            </w:pPr>
          </w:p>
        </w:tc>
        <w:tc>
          <w:tcPr>
            <w:tcW w:w="52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0" w:type="dxa"/>
            <w:vAlign w:val="bottom"/>
          </w:tcPr>
          <w:p>
            <w:pPr>
              <w:jc w:val="right"/>
              <w:spacing w:after="0" w:line="143" w:lineRule="exact"/>
              <w:rPr>
                <w:sz w:val="20"/>
                <w:szCs w:val="20"/>
                <w:color w:val="auto"/>
              </w:rPr>
            </w:pPr>
            <w:r>
              <w:rPr>
                <w:rFonts w:ascii="Arial" w:cs="Arial" w:eastAsia="Arial" w:hAnsi="Arial"/>
                <w:sz w:val="13"/>
                <w:szCs w:val="13"/>
                <w:color w:val="auto"/>
              </w:rPr>
              <w:t>31,862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Other assets:</w:t>
            </w:r>
          </w:p>
        </w:tc>
        <w:tc>
          <w:tcPr>
            <w:tcW w:w="16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Investment in unconsolidated affiliate</w:t>
            </w:r>
          </w:p>
        </w:tc>
        <w:tc>
          <w:tcPr>
            <w:tcW w:w="18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160,559</w:t>
            </w:r>
          </w:p>
        </w:tc>
        <w:tc>
          <w:tcPr>
            <w:tcW w:w="180" w:type="dxa"/>
            <w:vAlign w:val="bottom"/>
          </w:tcPr>
          <w:p>
            <w:pPr>
              <w:spacing w:after="0"/>
              <w:rPr>
                <w:sz w:val="12"/>
                <w:szCs w:val="12"/>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163,835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income taxes</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255,292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222,274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Capitalized software costs, net</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244,729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246,792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Patents, orbital slots and other licenses, net</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16,800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67,360</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37,133</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744,740</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686,134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Accrued liabilities:</w:t>
            </w:r>
          </w:p>
        </w:tc>
        <w:tc>
          <w:tcPr>
            <w:tcW w:w="1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Collections in excess of revenues and deferred revenues</w:t>
            </w:r>
          </w:p>
        </w:tc>
        <w:tc>
          <w:tcPr>
            <w:tcW w:w="182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108,977</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121,439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Accrued employee compensation</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28,614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vacation</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40,032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Warranty reserve, current portion</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5,196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67,588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51,752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20" w:type="dxa"/>
            <w:vAlign w:val="bottom"/>
          </w:tcPr>
          <w:p>
            <w:pPr>
              <w:spacing w:after="0"/>
              <w:rPr>
                <w:sz w:val="15"/>
                <w:szCs w:val="15"/>
                <w:color w:val="auto"/>
              </w:rPr>
            </w:pPr>
          </w:p>
        </w:tc>
        <w:tc>
          <w:tcPr>
            <w:tcW w:w="1820" w:type="dxa"/>
            <w:vAlign w:val="bottom"/>
            <w:gridSpan w:val="2"/>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1380" w:type="dxa"/>
            <w:vAlign w:val="bottom"/>
          </w:tcPr>
          <w:p>
            <w:pPr>
              <w:jc w:val="right"/>
              <w:spacing w:after="0" w:line="143" w:lineRule="exact"/>
              <w:rPr>
                <w:sz w:val="20"/>
                <w:szCs w:val="20"/>
                <w:color w:val="auto"/>
              </w:rPr>
            </w:pPr>
            <w:r>
              <w:rPr>
                <w:rFonts w:ascii="Arial" w:cs="Arial" w:eastAsia="Arial" w:hAnsi="Arial"/>
                <w:sz w:val="13"/>
                <w:szCs w:val="13"/>
                <w:color w:val="auto"/>
              </w:rPr>
              <w:t>250,407</w:t>
            </w:r>
          </w:p>
        </w:tc>
        <w:tc>
          <w:tcPr>
            <w:tcW w:w="180" w:type="dxa"/>
            <w:vAlign w:val="bottom"/>
          </w:tcPr>
          <w:p>
            <w:pPr>
              <w:spacing w:after="0"/>
              <w:rPr>
                <w:sz w:val="15"/>
                <w:szCs w:val="15"/>
                <w:color w:val="auto"/>
              </w:rPr>
            </w:pPr>
          </w:p>
        </w:tc>
        <w:tc>
          <w:tcPr>
            <w:tcW w:w="52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0" w:type="dxa"/>
            <w:vAlign w:val="bottom"/>
          </w:tcPr>
          <w:p>
            <w:pPr>
              <w:jc w:val="right"/>
              <w:spacing w:after="0" w:line="143" w:lineRule="exact"/>
              <w:rPr>
                <w:sz w:val="20"/>
                <w:szCs w:val="20"/>
                <w:color w:val="auto"/>
              </w:rPr>
            </w:pPr>
            <w:r>
              <w:rPr>
                <w:rFonts w:ascii="Arial" w:cs="Arial" w:eastAsia="Arial" w:hAnsi="Arial"/>
                <w:sz w:val="13"/>
                <w:szCs w:val="13"/>
                <w:color w:val="auto"/>
              </w:rPr>
              <w:t>263,676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Other liabilities:</w:t>
            </w:r>
          </w:p>
        </w:tc>
        <w:tc>
          <w:tcPr>
            <w:tcW w:w="16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3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Deferred revenues, long-term portion</w:t>
            </w:r>
          </w:p>
        </w:tc>
        <w:tc>
          <w:tcPr>
            <w:tcW w:w="18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81,740</w:t>
            </w:r>
          </w:p>
        </w:tc>
        <w:tc>
          <w:tcPr>
            <w:tcW w:w="180" w:type="dxa"/>
            <w:vAlign w:val="bottom"/>
          </w:tcPr>
          <w:p>
            <w:pPr>
              <w:spacing w:after="0"/>
              <w:rPr>
                <w:sz w:val="12"/>
                <w:szCs w:val="12"/>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77,831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rent, long-term portion</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15,378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60"/>
              <w:spacing w:after="0"/>
              <w:rPr>
                <w:sz w:val="20"/>
                <w:szCs w:val="20"/>
                <w:color w:val="auto"/>
              </w:rPr>
            </w:pPr>
            <w:r>
              <w:rPr>
                <w:rFonts w:ascii="Arial" w:cs="Arial" w:eastAsia="Arial" w:hAnsi="Arial"/>
                <w:sz w:val="13"/>
                <w:szCs w:val="13"/>
                <w:color w:val="auto"/>
              </w:rPr>
              <w:t>Warranty reserve, long-term portion</w:t>
            </w: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 performance incentive obligations, long-term portion</w:t>
            </w:r>
          </w:p>
        </w:tc>
        <w:tc>
          <w:tcPr>
            <w:tcW w:w="1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25,465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16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5,971</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13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130,266</w:t>
            </w:r>
          </w:p>
        </w:tc>
        <w:tc>
          <w:tcPr>
            <w:tcW w:w="18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121,240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85"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4"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4" w:lineRule="exact"/>
        <w:rPr>
          <w:rFonts w:ascii="Arial" w:cs="Arial" w:eastAsia="Arial" w:hAnsi="Arial"/>
          <w:sz w:val="18"/>
          <w:szCs w:val="18"/>
          <w:color w:val="auto"/>
        </w:rPr>
      </w:pPr>
    </w:p>
    <w:p>
      <w:pPr>
        <w:ind w:left="1040" w:hanging="519"/>
        <w:spacing w:after="0" w:line="24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right="360" w:firstLine="518"/>
        <w:spacing w:after="0"/>
        <w:rPr>
          <w:sz w:val="20"/>
          <w:szCs w:val="20"/>
          <w:color w:val="auto"/>
        </w:rPr>
      </w:pPr>
      <w:r>
        <w:rPr>
          <w:rFonts w:ascii="Arial" w:cs="Arial" w:eastAsia="Arial" w:hAnsi="Arial"/>
          <w:sz w:val="18"/>
          <w:szCs w:val="18"/>
          <w:color w:val="auto"/>
        </w:rPr>
        <w:t>The Company had no assets and an insignificant amount of liabilities (Level 2) measured at fair value on a recurring basis as of September 30, 2018, and had an insignificant amount of assets (Level 1) and no liabilities measured at fair value on a recurring basis as of March 31, 2018.</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380" w:firstLine="518"/>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7"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4"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as well as $700.0 million in aggregate principal amount of 2025 Notes. Long-term debt related to the Revolving Credit Facility is reported at the outstanding principal amount of borrowings, while long-term debt related to the Ex-Im Credit Facility and the Company’s current and former senior notes (including the 2025 Notes) is reported at amortized cost. However, for disclosure purposes, the Company is required to measure the fair value of outstanding debt on a recurring basis. As of September 30, 2018 and March 31, 2018, the estimated fair value of the Company’s outstanding long-term debt related to the 2025 Notes was determined based on actual or estimated bids and offers for the 2025 Notes in an over-the-counter market (Level 2) and was $662.6 million and $674.0 million, respectively. The fair value of the Company’s long-term debt related to the Revolving Credit Facility approximates its carrying amount due to its variable interest rate, which approximates a market interest rate. As of September 30, 2018 and March 31, 2018, the fair value of the Company’s long-term debt related to the Ex-Im Credit Facility was determined based on a discounted cash flow analysis using observable market interest rates for instruments with similar terms (Level 2) and was approximately $292.5 million and $347.4 million, respectively.</w:t>
      </w:r>
    </w:p>
    <w:p>
      <w:pPr>
        <w:spacing w:after="0" w:line="133" w:lineRule="exact"/>
        <w:rPr>
          <w:sz w:val="20"/>
          <w:szCs w:val="20"/>
          <w:color w:val="auto"/>
        </w:rPr>
      </w:pPr>
    </w:p>
    <w:p>
      <w:pPr>
        <w:ind w:right="180" w:firstLine="518"/>
        <w:spacing w:after="0" w:line="239"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the manufacturers of the ViaSat-1 and ViaSat-2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Company to make monthly in-orbit satellite performance incentive payments, including interest, through approximately fiscal year 2028, subject to the continued satisfactory performance of the applicable satellites. The Company records the net present value of these expected future payments as a liability and as a component of the cost of the satellite.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September 30, 2018 and March 31, 2018, the Company’s estimated satellite performance incentive obligations relating to the ViaSat-1 and ViaSat-2 satellites, including accrued interest, were $33.5 million and $21.0 million, respectively.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Loss Per Share</w:t>
      </w:r>
    </w:p>
    <w:p>
      <w:pPr>
        <w:spacing w:after="0" w:line="9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and six months ended September 30, 2018 and 2017, as the Company incurred a net loss attributable to Viasat, Inc. common stockholders for such periods and inclusion of potentially dilutive weighted average shares of common stock would be antidilutive. Potentially dilutive weighted average shares of common stock excluded from the calculation for the three and six months ended September 30, 2018 were 1,313,881</w:t>
      </w:r>
      <w:r>
        <w:rPr>
          <w:sz w:val="1"/>
          <w:szCs w:val="1"/>
          <w:color w:val="auto"/>
        </w:rPr>
        <w:drawing>
          <wp:inline distT="0" distB="0" distL="0" distR="0">
            <wp:extent cx="34290" cy="1047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104775"/>
                    </a:xfrm>
                    <a:prstGeom prst="rect">
                      <a:avLst/>
                    </a:prstGeom>
                    <a:noFill/>
                    <a:ln>
                      <a:noFill/>
                    </a:ln>
                  </pic:spPr>
                </pic:pic>
              </a:graphicData>
            </a:graphic>
          </wp:inline>
        </w:drawing>
      </w:r>
      <w:r>
        <w:rPr>
          <w:rFonts w:ascii="Arial" w:cs="Arial" w:eastAsia="Arial" w:hAnsi="Arial"/>
          <w:sz w:val="18"/>
          <w:szCs w:val="18"/>
          <w:color w:val="auto"/>
        </w:rPr>
        <w:t>and 1,309,180 shares relating to stock options (other than TSR performance stock options), respectively, 630,254 and 480,518 shares relating to restricted stock units, respectively, and 138,478 and 205,030 shares relating to certain terms of the ViaSat 401(k) Profit Sharing Plan and Employee Stock Purchase Plan, respectively. Potentially dilutive weighted average shares of common stock excluded from the calculation for the three and six months ended September 30, 2017 were 1,400,231 and 1,381,582 shares relating to stock options, respectively, 598,245 and 545,821 shares relating to restricted stock units, respectively, and 114,770 and 159,524 shares relating to certain terms of the ViaSat 401(k) Profit Sharing Plan and Employee Stock Purchase Plan, respectively. No shares relating to TSR performance stock options were excluded from the calculation for the three and six months ended September 30, 2018. The Company began granting TSR performance stock options to executive officers in the third quarter of fiscal year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85" w:lineRule="exact"/>
        <w:rPr>
          <w:sz w:val="20"/>
          <w:szCs w:val="20"/>
          <w:color w:val="auto"/>
        </w:rPr>
      </w:pPr>
    </w:p>
    <w:p>
      <w:pPr>
        <w:ind w:right="60" w:firstLine="518"/>
        <w:spacing w:after="0" w:line="246" w:lineRule="auto"/>
        <w:rPr>
          <w:sz w:val="20"/>
          <w:szCs w:val="20"/>
          <w:color w:val="auto"/>
        </w:rPr>
      </w:pPr>
      <w:r>
        <w:rPr>
          <w:rFonts w:ascii="Arial" w:cs="Arial" w:eastAsia="Arial" w:hAnsi="Arial"/>
          <w:sz w:val="18"/>
          <w:szCs w:val="18"/>
          <w:color w:val="auto"/>
        </w:rPr>
        <w:t>During the six months ended September 30, 2018, the increase in the Company’s goodwill related to an insignificant acquisition, partially offset by the effects of foreign currency translation recorded within all three of the Company’s segments.</w:t>
      </w:r>
    </w:p>
    <w:p>
      <w:pPr>
        <w:spacing w:after="0" w:line="143"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$2.4 million and $ 3.3 million for the three months ended September 30, 2018 and 2017, respectively, and $4.9 million and $6.6 million for the six months ended September 30, 2018 and 2017, respectively.</w:t>
      </w:r>
    </w:p>
    <w:p>
      <w:pPr>
        <w:spacing w:after="0" w:line="149"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272"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2018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w:t>
            </w:r>
          </w:p>
        </w:tc>
        <w:tc>
          <w:tcPr>
            <w:tcW w:w="60" w:type="dxa"/>
            <w:vAlign w:val="bottom"/>
            <w:shd w:val="clear" w:color="auto" w:fill="CFF0FC"/>
          </w:tcPr>
          <w:p>
            <w:pPr>
              <w:spacing w:after="0"/>
              <w:rPr>
                <w:sz w:val="18"/>
                <w:szCs w:val="18"/>
                <w:color w:val="auto"/>
              </w:rPr>
            </w:pPr>
          </w:p>
        </w:tc>
      </w:tr>
      <w:tr>
        <w:trPr>
          <w:trHeight w:val="216"/>
        </w:trPr>
        <w:tc>
          <w:tcPr>
            <w:tcW w:w="4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2019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4,602</w:t>
            </w:r>
          </w:p>
        </w:tc>
        <w:tc>
          <w:tcPr>
            <w:tcW w:w="60" w:type="dxa"/>
            <w:vAlign w:val="bottom"/>
            <w:shd w:val="clear" w:color="auto" w:fill="CFF0FC"/>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7,556</w:t>
            </w:r>
          </w:p>
        </w:tc>
        <w:tc>
          <w:tcPr>
            <w:tcW w:w="60" w:type="dxa"/>
            <w:vAlign w:val="bottom"/>
          </w:tcPr>
          <w:p>
            <w:pPr>
              <w:spacing w:after="0"/>
              <w:rPr>
                <w:sz w:val="18"/>
                <w:szCs w:val="18"/>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60" w:type="dxa"/>
            <w:vAlign w:val="bottom"/>
            <w:shd w:val="clear" w:color="auto" w:fill="CFF0FC"/>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3,335</w:t>
            </w:r>
          </w:p>
        </w:tc>
        <w:tc>
          <w:tcPr>
            <w:tcW w:w="60" w:type="dxa"/>
            <w:vAlign w:val="bottom"/>
          </w:tcPr>
          <w:p>
            <w:pPr>
              <w:spacing w:after="0"/>
              <w:rPr>
                <w:sz w:val="18"/>
                <w:szCs w:val="18"/>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60" w:type="dxa"/>
            <w:vAlign w:val="bottom"/>
            <w:shd w:val="clear" w:color="auto" w:fill="CFF0FC"/>
          </w:tcPr>
          <w:p>
            <w:pPr>
              <w:spacing w:after="0"/>
              <w:rPr>
                <w:sz w:val="18"/>
                <w:szCs w:val="18"/>
                <w:color w:val="auto"/>
              </w:rPr>
            </w:pPr>
          </w:p>
        </w:tc>
      </w:tr>
      <w:tr>
        <w:trPr>
          <w:trHeight w:val="216"/>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60" w:type="dxa"/>
            <w:vAlign w:val="bottom"/>
            <w:tcBorders>
              <w:bottom w:val="single" w:sz="8" w:color="CFF0FC"/>
            </w:tcBorders>
          </w:tcPr>
          <w:p>
            <w:pPr>
              <w:spacing w:after="0"/>
              <w:rPr>
                <w:sz w:val="18"/>
                <w:szCs w:val="18"/>
                <w:color w:val="auto"/>
              </w:rPr>
            </w:pPr>
          </w:p>
        </w:tc>
      </w:tr>
      <w:tr>
        <w:trPr>
          <w:trHeight w:val="210"/>
        </w:trPr>
        <w:tc>
          <w:tcPr>
            <w:tcW w:w="46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26,072</w:t>
            </w:r>
          </w:p>
        </w:tc>
        <w:tc>
          <w:tcPr>
            <w:tcW w:w="60" w:type="dxa"/>
            <w:vAlign w:val="bottom"/>
            <w:shd w:val="clear" w:color="auto" w:fill="CFF0FC"/>
          </w:tcPr>
          <w:p>
            <w:pPr>
              <w:spacing w:after="0"/>
              <w:rPr>
                <w:sz w:val="18"/>
                <w:szCs w:val="18"/>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September 30, 2018 and March 31,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1460" w:type="dxa"/>
            <w:vAlign w:val="bottom"/>
            <w:gridSpan w:val="2"/>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720"/>
              <w:spacing w:after="0"/>
              <w:rPr>
                <w:sz w:val="20"/>
                <w:szCs w:val="20"/>
                <w:color w:val="auto"/>
              </w:rPr>
            </w:pPr>
            <w:r>
              <w:rPr>
                <w:rFonts w:ascii="Arial" w:cs="Arial" w:eastAsia="Arial" w:hAnsi="Arial"/>
                <w:sz w:val="18"/>
                <w:szCs w:val="18"/>
                <w:color w:val="auto"/>
              </w:rPr>
              <w:t>Revolving Credit Facility</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306,015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362,401</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ind w:left="1720"/>
              <w:spacing w:after="0"/>
              <w:rPr>
                <w:sz w:val="20"/>
                <w:szCs w:val="20"/>
                <w:color w:val="auto"/>
              </w:rPr>
            </w:pPr>
            <w:r>
              <w:rPr>
                <w:rFonts w:ascii="Arial" w:cs="Arial" w:eastAsia="Arial" w:hAnsi="Arial"/>
                <w:sz w:val="18"/>
                <w:szCs w:val="18"/>
                <w:color w:val="auto"/>
              </w:rPr>
              <w:t>Total debt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1,231,015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1,062,401</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(31,715)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(38,696)</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w:t>
            </w:r>
          </w:p>
        </w:tc>
        <w:tc>
          <w:tcPr>
            <w:tcW w:w="1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47,702</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45,300</w:t>
            </w:r>
          </w:p>
        </w:tc>
        <w:tc>
          <w:tcPr>
            <w:tcW w:w="80" w:type="dxa"/>
            <w:vAlign w:val="bottom"/>
            <w:tcBorders>
              <w:bottom w:val="single" w:sz="8" w:color="CFF0FC"/>
            </w:tcBorders>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460" w:type="dxa"/>
            <w:vAlign w:val="bottom"/>
            <w:gridSpan w:val="2"/>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1,151,598</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978,405</w:t>
            </w: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bottom w:val="single" w:sz="8" w:color="CFF0FC"/>
            </w:tcBorders>
            <w:vMerge w:val="restart"/>
          </w:tcPr>
          <w:p>
            <w:pPr>
              <w:jc w:val="right"/>
              <w:ind w:right="770"/>
              <w:spacing w:after="0"/>
              <w:rPr>
                <w:sz w:val="20"/>
                <w:szCs w:val="20"/>
                <w:color w:val="auto"/>
              </w:rPr>
            </w:pPr>
            <w:r>
              <w:rPr>
                <w:rFonts w:ascii="Arial" w:cs="Arial" w:eastAsia="Arial" w:hAnsi="Arial"/>
                <w:sz w:val="18"/>
                <w:szCs w:val="18"/>
                <w:color w:val="auto"/>
              </w:rPr>
              <w:t>25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72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9" w:lineRule="exact"/>
        <w:rPr>
          <w:sz w:val="20"/>
          <w:szCs w:val="20"/>
          <w:color w:val="auto"/>
        </w:rPr>
      </w:pPr>
    </w:p>
    <w:p>
      <w:pPr>
        <w:ind w:right="100" w:firstLine="518"/>
        <w:spacing w:after="0" w:line="246" w:lineRule="auto"/>
        <w:rPr>
          <w:sz w:val="20"/>
          <w:szCs w:val="20"/>
          <w:color w:val="auto"/>
        </w:rPr>
      </w:pPr>
      <w:r>
        <w:rPr>
          <w:rFonts w:ascii="Arial" w:cs="Arial" w:eastAsia="Arial" w:hAnsi="Arial"/>
          <w:sz w:val="18"/>
          <w:szCs w:val="18"/>
          <w:color w:val="auto"/>
        </w:rPr>
        <w:t>As of September 30, 2018, the Revolving Credit Facility provided an $800.0 million revolving line of credit (including up to $150.0 million of letters of credit), with a maturity date of May 24, 2021.</w:t>
      </w:r>
    </w:p>
    <w:p>
      <w:pPr>
        <w:spacing w:after="0" w:line="14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At September 30, 2018, the weighted average effective interest rate on the Company’s outstanding borrowings under the Revolving Credit Facility was 4.88%.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September 30, 2018, none of the Company’s subsidiaries guaranteed the Revolving Credit Facility.</w:t>
      </w:r>
    </w:p>
    <w:p>
      <w:pPr>
        <w:spacing w:after="0" w:line="154" w:lineRule="exact"/>
        <w:rPr>
          <w:sz w:val="20"/>
          <w:szCs w:val="20"/>
          <w:color w:val="auto"/>
        </w:rPr>
      </w:pPr>
    </w:p>
    <w:p>
      <w:pPr>
        <w:jc w:val="both"/>
        <w:ind w:right="180" w:firstLine="518"/>
        <w:spacing w:after="0"/>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49"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The Company was in compliance with its financial covenants under the Revolving Credit Facility as of September 30, 2018. At September 30, 2018, the Company had $225.0 million in principal amount of outstanding borrowings under the Revolving Credit Facility and $20.0 million outstanding under standby letters of credit, leaving borrowing availability under the Revolving Credit Facility as of September 30, 2018 of $555.0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5"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As of September 30, 2018, the Ex-Im Credit Facility provided a $ 362.4 million senior secured direct loan facility, which was fully drawn. Of the $362.4 million in principal amount of borrowings made under the Ex-Im Credit Facility, $ 321.2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As of September 30, 2018, the Company had $306.0 million in principal amount of outstanding borrowings under the Ex-Im Credit Facility.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w:t>
      </w:r>
    </w:p>
    <w:p>
      <w:pPr>
        <w:spacing w:after="0" w:line="234" w:lineRule="auto"/>
        <w:rPr>
          <w:sz w:val="20"/>
          <w:szCs w:val="20"/>
          <w:color w:val="auto"/>
        </w:rPr>
      </w:pPr>
      <w:r>
        <w:rPr>
          <w:rFonts w:ascii="Arial" w:cs="Arial" w:eastAsia="Arial" w:hAnsi="Arial"/>
          <w:sz w:val="18"/>
          <w:szCs w:val="18"/>
          <w:color w:val="auto"/>
        </w:rPr>
        <w:t>rate on the Company’s outstanding borrowings under the Ex-Im Credit Facility, which takes into account timing and amount of borrowings,</w:t>
      </w:r>
    </w:p>
    <w:p>
      <w:pPr>
        <w:spacing w:after="0" w:line="235" w:lineRule="auto"/>
        <w:rPr>
          <w:sz w:val="20"/>
          <w:szCs w:val="20"/>
          <w:color w:val="auto"/>
        </w:rPr>
      </w:pPr>
      <w:r>
        <w:rPr>
          <w:rFonts w:ascii="Arial" w:cs="Arial" w:eastAsia="Arial" w:hAnsi="Arial"/>
          <w:sz w:val="18"/>
          <w:szCs w:val="18"/>
          <w:color w:val="auto"/>
        </w:rPr>
        <w:t>exposure fees, debt issuance costs and other fees, is 4.6%. Borrowings under the Ex-Im Credit Facility are required to be repaid in 16</w:t>
      </w:r>
    </w:p>
    <w:p>
      <w:pPr>
        <w:spacing w:after="0" w:line="235" w:lineRule="auto"/>
        <w:rPr>
          <w:sz w:val="20"/>
          <w:szCs w:val="20"/>
          <w:color w:val="auto"/>
        </w:rPr>
      </w:pPr>
      <w:r>
        <w:rPr>
          <w:rFonts w:ascii="Arial" w:cs="Arial" w:eastAsia="Arial" w:hAnsi="Arial"/>
          <w:sz w:val="18"/>
          <w:szCs w:val="18"/>
          <w:color w:val="auto"/>
        </w:rPr>
        <w:t>approximately equal semi-annual principal installments, which commenced on April 15, 2018, with a maturity date of October 15, 2025.</w:t>
      </w:r>
    </w:p>
    <w:p>
      <w:pPr>
        <w:spacing w:after="0" w:line="235" w:lineRule="auto"/>
        <w:rPr>
          <w:sz w:val="20"/>
          <w:szCs w:val="20"/>
          <w:color w:val="auto"/>
        </w:rPr>
      </w:pPr>
      <w:r>
        <w:rPr>
          <w:rFonts w:ascii="Arial" w:cs="Arial" w:eastAsia="Arial" w:hAnsi="Arial"/>
          <w:sz w:val="18"/>
          <w:szCs w:val="18"/>
          <w:color w:val="auto"/>
        </w:rPr>
        <w:t>Pursuant to the terms of the Ex-Im Credit Facility, certain insurance proceeds related to the ViaSat-2 satellite must be used to pay down</w:t>
      </w:r>
    </w:p>
    <w:p>
      <w:pPr>
        <w:spacing w:after="0" w:line="235" w:lineRule="auto"/>
        <w:rPr>
          <w:sz w:val="20"/>
          <w:szCs w:val="20"/>
          <w:color w:val="auto"/>
        </w:rPr>
      </w:pPr>
      <w:r>
        <w:rPr>
          <w:rFonts w:ascii="Arial" w:cs="Arial" w:eastAsia="Arial" w:hAnsi="Arial"/>
          <w:sz w:val="18"/>
          <w:szCs w:val="18"/>
          <w:color w:val="auto"/>
        </w:rPr>
        <w:t>outstanding borrowings under the Ex-Im Credit Facility upon receipt. During the second quarter of fiscal year 2019, the Company received</w:t>
      </w:r>
    </w:p>
    <w:p>
      <w:pPr>
        <w:spacing w:after="0" w:line="235" w:lineRule="auto"/>
        <w:rPr>
          <w:sz w:val="20"/>
          <w:szCs w:val="20"/>
          <w:color w:val="auto"/>
        </w:rPr>
      </w:pPr>
      <w:r>
        <w:rPr>
          <w:rFonts w:ascii="Arial" w:cs="Arial" w:eastAsia="Arial" w:hAnsi="Arial"/>
          <w:sz w:val="18"/>
          <w:szCs w:val="18"/>
          <w:color w:val="auto"/>
        </w:rPr>
        <w:t>$44.4 million of insurance proceeds related to the ViaSat-2 satellite, of which $37.2 million was used to pay down outstanding borrowings under</w:t>
      </w:r>
    </w:p>
    <w:p>
      <w:pPr>
        <w:spacing w:after="0" w:line="235" w:lineRule="auto"/>
        <w:rPr>
          <w:sz w:val="20"/>
          <w:szCs w:val="20"/>
          <w:color w:val="auto"/>
        </w:rPr>
      </w:pPr>
      <w:r>
        <w:rPr>
          <w:rFonts w:ascii="Arial" w:cs="Arial" w:eastAsia="Arial" w:hAnsi="Arial"/>
          <w:sz w:val="18"/>
          <w:szCs w:val="18"/>
          <w:color w:val="auto"/>
        </w:rPr>
        <w:t>the Ex-Im Credit Facility during the second quarter of fiscal year 2019. As of September 30, 2018, $7.2 million of such insurance proceeds was</w:t>
      </w:r>
    </w:p>
    <w:p>
      <w:pPr>
        <w:spacing w:after="0" w:line="235" w:lineRule="auto"/>
        <w:rPr>
          <w:sz w:val="20"/>
          <w:szCs w:val="20"/>
          <w:color w:val="auto"/>
        </w:rPr>
      </w:pPr>
      <w:r>
        <w:rPr>
          <w:rFonts w:ascii="Arial" w:cs="Arial" w:eastAsia="Arial" w:hAnsi="Arial"/>
          <w:sz w:val="18"/>
          <w:szCs w:val="18"/>
          <w:color w:val="auto"/>
        </w:rPr>
        <w:t>held by the trustee pending payment under the Ex-Im Credit Facility and therefore was recorded as restricted cash in the Company’s</w:t>
      </w:r>
    </w:p>
    <w:p>
      <w:pPr>
        <w:spacing w:after="0" w:line="235" w:lineRule="auto"/>
        <w:rPr>
          <w:sz w:val="20"/>
          <w:szCs w:val="20"/>
          <w:color w:val="auto"/>
        </w:rPr>
      </w:pPr>
      <w:r>
        <w:rPr>
          <w:rFonts w:ascii="Arial" w:cs="Arial" w:eastAsia="Arial" w:hAnsi="Arial"/>
          <w:sz w:val="18"/>
          <w:szCs w:val="18"/>
          <w:color w:val="auto"/>
        </w:rPr>
        <w:t>condensed consolidated balance sheet. Subsequent to the end of the fiscal second quarter, the Company received an additional $57.8 million</w:t>
      </w:r>
    </w:p>
    <w:p>
      <w:pPr>
        <w:spacing w:after="0" w:line="234" w:lineRule="auto"/>
        <w:rPr>
          <w:sz w:val="20"/>
          <w:szCs w:val="20"/>
          <w:color w:val="auto"/>
        </w:rPr>
      </w:pPr>
      <w:r>
        <w:rPr>
          <w:rFonts w:ascii="Arial" w:cs="Arial" w:eastAsia="Arial" w:hAnsi="Arial"/>
          <w:sz w:val="18"/>
          <w:szCs w:val="18"/>
          <w:color w:val="auto"/>
        </w:rPr>
        <w:t>related to our outstanding ViaSat-2 insurance claims, which will also be used to pay down outstanding borrowings under Ex-Im Credit Facility</w:t>
      </w:r>
    </w:p>
    <w:p>
      <w:pPr>
        <w:spacing w:after="0" w:line="235" w:lineRule="auto"/>
        <w:rPr>
          <w:sz w:val="20"/>
          <w:szCs w:val="20"/>
          <w:color w:val="auto"/>
        </w:rPr>
      </w:pPr>
      <w:r>
        <w:rPr>
          <w:rFonts w:ascii="Arial" w:cs="Arial" w:eastAsia="Arial" w:hAnsi="Arial"/>
          <w:sz w:val="18"/>
          <w:szCs w:val="18"/>
          <w:color w:val="auto"/>
        </w:rPr>
        <w:t>(see Note 1 – Property, equipment and satellites for more information). The Ex-Im Credit Facility is guaranteed by Viasat and is secured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first-priority liens on the ViaSat-2 satellite and related assets, as well as a pledge of the capital stock of the borrower under the facility.</w:t>
      </w:r>
    </w:p>
    <w:p>
      <w:pPr>
        <w:spacing w:after="0" w:line="158"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September 30, 2018.</w:t>
      </w:r>
    </w:p>
    <w:p>
      <w:pPr>
        <w:spacing w:after="0" w:line="148" w:lineRule="exact"/>
        <w:rPr>
          <w:sz w:val="20"/>
          <w:szCs w:val="20"/>
          <w:color w:val="auto"/>
        </w:rPr>
      </w:pPr>
    </w:p>
    <w:p>
      <w:pPr>
        <w:ind w:right="780" w:firstLine="518"/>
        <w:spacing w:after="0" w:line="246"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statements. The discount of $42.3 million (comprising the initial $6.0 million pre-exposure fee, $35.3 million of completion exposure fees, and other customary fees) and deferred financing cost associated with the issuance of the borrowings under the Ex-Im Credit Facility is amortized to interest expense on an effective interest rate basis over the term of the borrowings under the Ex-Im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8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September 30, 2018,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2025 Notes, and are senior in right of payment to all of their existing and future subordinated indebtedness.</w:t>
      </w:r>
    </w:p>
    <w:p>
      <w:pPr>
        <w:spacing w:after="0" w:line="149"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9"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w:t>
      </w:r>
    </w:p>
    <w:p>
      <w:pPr>
        <w:spacing w:after="0" w:line="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101.406%, and at any time on or after September 15, 2022 at a redemption price of 100%, in each case plus accrued and unpaid interest, if any, thereon to the redemption date.</w:t>
      </w:r>
    </w:p>
    <w:p>
      <w:pPr>
        <w:spacing w:after="0" w:line="143" w:lineRule="exact"/>
        <w:rPr>
          <w:sz w:val="20"/>
          <w:szCs w:val="20"/>
          <w:color w:val="auto"/>
        </w:rPr>
      </w:pPr>
    </w:p>
    <w:p>
      <w:pPr>
        <w:jc w:val="both"/>
        <w:ind w:right="480"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5"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In connection with the Company’s issuance of the 2025 Notes in September 2017, the Company repurchased and redeemed all of its $575.0 million in aggregate principal amount of 6.875% Notes due 2020 (the 2020 Notes) then outstanding through a cash tender offer and redemption, and the indenture governing the 2020 Notes was satisfied and discharged in accordance with its terms. In September 2017, the Company repurchased $ 298.2 million in aggregate principal amount of the 2020 Notes pursuant to the tender offer. The total cash payment to repurchase the tendered 2020</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Notes in the tender offer, including accrued and unpaid interest to, but excluding, the repurchase date, was $309.3 million. Also in</w:t>
      </w:r>
    </w:p>
    <w:p>
      <w:pPr>
        <w:ind w:right="20"/>
        <w:spacing w:after="0" w:line="239" w:lineRule="auto"/>
        <w:rPr>
          <w:sz w:val="20"/>
          <w:szCs w:val="20"/>
          <w:color w:val="auto"/>
        </w:rPr>
      </w:pPr>
      <w:r>
        <w:rPr>
          <w:rFonts w:ascii="Arial" w:cs="Arial" w:eastAsia="Arial" w:hAnsi="Arial"/>
          <w:sz w:val="18"/>
          <w:szCs w:val="18"/>
          <w:color w:val="auto"/>
        </w:rPr>
        <w:t>September 2017, in connection with the redemption of the remaining $ 276.8 million in aggregate principal amount of 2020 Notes, the Company irrevocably deposited $287.4 million with Wilmington Trust, as trustee, as trust funds solely for the benefit of the holders of such 2020 Notes. The redemption price for the 2020 Notes was 101.719% of the principal amount so redeemed, plus accrued and unpaid interest to, but excluding, the redemption date of October 5, 2017.</w:t>
      </w:r>
    </w:p>
    <w:p>
      <w:pPr>
        <w:spacing w:after="0" w:line="148"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In connection with the satisfaction and discharge of the indenture governing the 2020 Notes, all of the obligations of the Company (other than certain customary provisions of the indenture that expressly survive pursuant to the terms of the indenture) were discharged in September 2017.</w:t>
      </w:r>
    </w:p>
    <w:p>
      <w:pPr>
        <w:spacing w:after="0" w:line="14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the Company recognized a $10.2 million loss on extinguishment of debt during the three and six months ended September 30, 2017, which was comprised of $10.6 million in cash payments (including tender offer consideration, redemption premium and related professional fees), net of $0.4 million in non-cash gain (including unamortized premium, net of unamortized debt issuance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85"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September 30, 2018 and 2017:</w:t>
      </w:r>
    </w:p>
    <w:p>
      <w:pPr>
        <w:spacing w:after="0" w:line="276"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5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r>
      <w:tr>
        <w:trPr>
          <w:trHeight w:val="156"/>
        </w:trPr>
        <w:tc>
          <w:tcPr>
            <w:tcW w:w="5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80" w:type="dxa"/>
            <w:vAlign w:val="bottom"/>
            <w:gridSpan w:val="2"/>
          </w:tcPr>
          <w:p>
            <w:pPr>
              <w:jc w:val="right"/>
              <w:ind w:right="26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11,058</w:t>
            </w:r>
          </w:p>
        </w:tc>
        <w:tc>
          <w:tcPr>
            <w:tcW w:w="80" w:type="dxa"/>
            <w:vAlign w:val="bottom"/>
            <w:shd w:val="clear" w:color="auto" w:fill="CFF0FC"/>
          </w:tcPr>
          <w:p>
            <w:pPr>
              <w:spacing w:after="0"/>
              <w:rPr>
                <w:sz w:val="18"/>
                <w:szCs w:val="18"/>
                <w:color w:val="auto"/>
              </w:rPr>
            </w:pPr>
          </w:p>
        </w:tc>
      </w:tr>
      <w:tr>
        <w:trPr>
          <w:trHeight w:val="216"/>
        </w:trPr>
        <w:tc>
          <w:tcPr>
            <w:tcW w:w="5000" w:type="dxa"/>
            <w:vAlign w:val="bottom"/>
          </w:tcPr>
          <w:p>
            <w:pPr>
              <w:ind w:left="240"/>
              <w:spacing w:after="0"/>
              <w:rPr>
                <w:sz w:val="20"/>
                <w:szCs w:val="20"/>
                <w:color w:val="auto"/>
              </w:rPr>
            </w:pPr>
            <w:r>
              <w:rPr>
                <w:rFonts w:ascii="Arial" w:cs="Arial" w:eastAsia="Arial" w:hAnsi="Arial"/>
                <w:sz w:val="18"/>
                <w:szCs w:val="18"/>
                <w:color w:val="auto"/>
              </w:rPr>
              <w:t>Change in liability for warranties issued in period</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r>
      <w:tr>
        <w:trPr>
          <w:trHeight w:val="215"/>
        </w:trPr>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made (in cash or in kind) during the</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0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period</w:t>
            </w: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(1,730)</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(2,617)</w:t>
            </w: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80" w:lineRule="exact"/>
        <w:rPr>
          <w:sz w:val="20"/>
          <w:szCs w:val="20"/>
          <w:color w:val="auto"/>
        </w:rPr>
      </w:pPr>
    </w:p>
    <w:p>
      <w:pPr>
        <w:ind w:right="220" w:firstLine="518"/>
        <w:spacing w:after="0" w:line="237" w:lineRule="auto"/>
        <w:rPr>
          <w:sz w:val="20"/>
          <w:szCs w:val="20"/>
          <w:color w:val="auto"/>
        </w:rPr>
      </w:pPr>
      <w:r>
        <w:rPr>
          <w:rFonts w:ascii="Arial" w:cs="Arial" w:eastAsia="Arial" w:hAnsi="Arial"/>
          <w:sz w:val="18"/>
          <w:szCs w:val="18"/>
          <w:color w:val="auto"/>
        </w:rPr>
        <w:t>In July 2016, the Company entered into two separate agreements with Boeing for the construction and purchase of two ViaSat-3 class satellites and the integration of Viasat’s payload technologies into the satellites. The aggregate purchase price for the two satellites is approximately $379.5 million (subject to purchase price adjustments based on factors such as launch delay and early delivery), plus an additional amount for launch support services to be performed by Boeing. In addition, under one of these agreements, the Company has the option to order up to two additional ViaSat-3 class satellites. The first ViaSat-3 class satellite is expected to provide broadband services over the Americas, and the second is expected to provide broadband services over the Europe, Middle East and Africa (EMEA) region.</w:t>
      </w:r>
    </w:p>
    <w:p>
      <w:pPr>
        <w:spacing w:after="0" w:line="19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2016 through 2018. As of September 30, 2018,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2018 and March 31, 2018, the Company had $2.6 million and $1.6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9"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The Company calculates its provision for income taxes at the end of each interim reporting period on the basis of an estimated annual effective tax rate adjusted for tax items that are discrete to each period.</w:t>
      </w:r>
    </w:p>
    <w:p>
      <w:pPr>
        <w:spacing w:after="0" w:line="14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For the three and six months ended September 30, 2018, the Company recorded an income tax benefit of $9.7 million and $38.9 million, respectively, resulting in an effective tax benefit rate of 27.2% and 38.4%, respectively. For the three and six months ended September 30, 2017, the Company recorded an income tax benefit of $11.5 million and $20.6 million, respectively, resulting in an effective tax benefit rate of 43.9% and 46.9%, respectively. The effective tax benefit rate in each period differed from the U.S. statutory rate due primarily to the benefit of research and development tax credits.</w:t>
      </w:r>
    </w:p>
    <w:p>
      <w:pPr>
        <w:spacing w:after="0" w:line="14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48"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For the three and six months ended September 30, 2018, the Company’s gross unrecognized tax benefits increased by an insignificant amount and $5.5 million, respectively. In the next 12 months it is reasonably possible that the amount of unrecognized tax benefits will not change significantly.</w:t>
      </w:r>
    </w:p>
    <w:p>
      <w:pPr>
        <w:spacing w:after="0" w:line="149" w:lineRule="exact"/>
        <w:rPr>
          <w:sz w:val="20"/>
          <w:szCs w:val="20"/>
          <w:color w:val="auto"/>
        </w:rPr>
      </w:pPr>
    </w:p>
    <w:p>
      <w:pPr>
        <w:ind w:right="160" w:firstLine="518"/>
        <w:spacing w:after="0"/>
        <w:rPr>
          <w:sz w:val="20"/>
          <w:szCs w:val="20"/>
          <w:color w:val="auto"/>
        </w:rPr>
      </w:pPr>
      <w:r>
        <w:rPr>
          <w:rFonts w:ascii="Arial" w:cs="Arial" w:eastAsia="Arial" w:hAnsi="Arial"/>
          <w:sz w:val="18"/>
          <w:szCs w:val="18"/>
          <w:color w:val="auto"/>
        </w:rPr>
        <w:t>On December 22, 2017, H.R. 1, informally known as the Tax Cuts and Jobs Acts (the Tax Reform), was enacted into law. Among other matters, the Tax Reform lowered the corporate federal income tax rate from 35% to 21%, effective January 1, 2018, and transitioned U.S. international taxation from a worldwide tax system to a modified territorial tax system.</w:t>
      </w:r>
    </w:p>
    <w:p>
      <w:pPr>
        <w:spacing w:after="0" w:line="149"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Company has estimated the impact of the Tax Reform in its fiscal year 2018 benefit from (provision for) income taxes in accordance with its interpretation of the Tax Reform and available guidance. The Tax Reform resulted in a provisional income tax expense related to the remeasurement of the Company’s net deferred tax assets recorded in the third quarter of fiscal year 2018. As of September 30, 2018, the Company has not finalized the accounting for the tax effects of the Tax Reform and has not made any adjustments related to the provisional estimate during the three and six months ended September 30, 2018.</w:t>
      </w:r>
    </w:p>
    <w:p>
      <w:pPr>
        <w:spacing w:after="0" w:line="149"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The Company has performed a preliminary review of the other provisions in the Tax Reform, including U.S. tax on unrepatriated foreign earnings, and has preliminarily concluded that they have no material impact on the Company’s consolidated financial statements or ability to realize its deferred tax assets. The Company continues to evaluate the global tax implications of the Tax Reform.</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The final impact of the Tax Reform may differ from the provisional estimate due to, among other things, changes in interpretation, the issuance of additional guidance and any updates to estimates the Company utilized to calculate the transition impacts. The Securities and Exchange Commission has issued rules under SAB 118 that allow for a measurement period of up to one year after the enactment date of the Tax Reform to finalize the recording of the related tax impacts. The Company currently anticipates finalizing and recording any resulting adjustments within the year measurement period.</w:t>
      </w:r>
    </w:p>
    <w:p>
      <w:pPr>
        <w:spacing w:after="0" w:line="208" w:lineRule="exact"/>
        <w:rPr>
          <w:sz w:val="20"/>
          <w:szCs w:val="20"/>
          <w:color w:val="auto"/>
        </w:rPr>
      </w:pPr>
    </w:p>
    <w:p>
      <w:pPr>
        <w:ind w:right="5380"/>
        <w:spacing w:after="0" w:line="333" w:lineRule="auto"/>
        <w:rPr>
          <w:sz w:val="20"/>
          <w:szCs w:val="20"/>
          <w:color w:val="auto"/>
        </w:rPr>
      </w:pPr>
      <w:r>
        <w:rPr>
          <w:rFonts w:ascii="Arial" w:cs="Arial" w:eastAsia="Arial" w:hAnsi="Arial"/>
          <w:sz w:val="18"/>
          <w:szCs w:val="18"/>
          <w:b w:val="1"/>
          <w:bCs w:val="1"/>
          <w:color w:val="auto"/>
        </w:rPr>
        <w:t xml:space="preserve">Note 10 — Equity Method Investments and Related-Party Transactions </w:t>
      </w:r>
      <w:r>
        <w:rPr>
          <w:rFonts w:ascii="Arial" w:cs="Arial" w:eastAsia="Arial" w:hAnsi="Arial"/>
          <w:sz w:val="18"/>
          <w:szCs w:val="18"/>
          <w:b w:val="1"/>
          <w:bCs w:val="1"/>
          <w:i w:val="1"/>
          <w:iCs w:val="1"/>
          <w:color w:val="auto"/>
        </w:rPr>
        <w:t>Eutelsat strategic partnering arrangement</w:t>
      </w:r>
    </w:p>
    <w:p>
      <w:pPr>
        <w:spacing w:after="0" w:line="1"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S.A. (together with its affiliates,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foreign currency translation losses, net of tax, of approximately $7.0 million and $3.5 million for the three and six months ended September 30, 2018, respectively, in accumulated other comprehensive income (loss). The Company recorded foreign currency translation gains, net of tax, of approximately $ 5.7 million and $ 7.7 million for the three and six months ended September 30, 2017, respectively, in accumulated other comprehensive income (loss). The Company records its proportionate share of the results of Euro Infrastructure Co., and any related basis difference amortization expense, within equity in income (loss) of unconsolidated affiliate, net, one quarter in arrears. Accordingly, the Company included its share of the results of Euro Infrastructure Co. for the three and six months ended June 30, 2018 in its condensed consolidated financial statements for the three and six months ended September 30, 2018, respectively.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61" w:lineRule="exact"/>
        <w:rPr>
          <w:sz w:val="20"/>
          <w:szCs w:val="20"/>
          <w:color w:val="auto"/>
        </w:rPr>
      </w:pPr>
    </w:p>
    <w:p>
      <w:pPr>
        <w:ind w:right="180" w:firstLine="518"/>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September 30, 2018 and March 31, 2018 is summarized as follows:</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80" w:type="dxa"/>
            <w:vAlign w:val="bottom"/>
          </w:tcPr>
          <w:p>
            <w:pPr>
              <w:spacing w:after="0"/>
              <w:rPr>
                <w:sz w:val="15"/>
                <w:szCs w:val="15"/>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Euro Infrastructure Co.</w:t>
            </w:r>
          </w:p>
        </w:tc>
        <w:tc>
          <w:tcPr>
            <w:tcW w:w="820" w:type="dxa"/>
            <w:vAlign w:val="bottom"/>
            <w:gridSpan w:val="2"/>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160,559</w:t>
            </w:r>
          </w:p>
        </w:tc>
        <w:tc>
          <w:tcPr>
            <w:tcW w:w="1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163,835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20"/>
                <w:szCs w:val="20"/>
                <w:color w:val="auto"/>
              </w:rPr>
            </w:pPr>
            <w:r>
              <w:rPr>
                <w:rFonts w:ascii="Arial" w:cs="Arial" w:eastAsia="Arial" w:hAnsi="Arial"/>
                <w:sz w:val="17"/>
                <w:szCs w:val="17"/>
                <w:color w:val="auto"/>
              </w:rPr>
              <w:t>Less: proportionate share of net assets of Euro</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4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Infrastructure Co.</w:t>
            </w:r>
          </w:p>
        </w:tc>
        <w:tc>
          <w:tcPr>
            <w:tcW w:w="5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144,190</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147,115</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FF0FC"/>
          </w:tcPr>
          <w:p>
            <w:pPr>
              <w:ind w:left="240"/>
              <w:spacing w:after="0" w:line="190" w:lineRule="exact"/>
              <w:rPr>
                <w:sz w:val="20"/>
                <w:szCs w:val="20"/>
                <w:color w:val="auto"/>
              </w:rPr>
            </w:pPr>
            <w:r>
              <w:rPr>
                <w:rFonts w:ascii="Arial" w:cs="Arial" w:eastAsia="Arial" w:hAnsi="Arial"/>
                <w:sz w:val="17"/>
                <w:szCs w:val="17"/>
                <w:color w:val="auto"/>
              </w:rPr>
              <w:t>Excess carrying value of investment over</w:t>
            </w:r>
          </w:p>
        </w:tc>
        <w:tc>
          <w:tcPr>
            <w:tcW w:w="5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40" w:type="dxa"/>
            <w:vAlign w:val="bottom"/>
            <w:shd w:val="clear" w:color="auto" w:fill="CFF0FC"/>
          </w:tcPr>
          <w:p>
            <w:pPr>
              <w:ind w:left="400"/>
              <w:spacing w:after="0"/>
              <w:rPr>
                <w:sz w:val="20"/>
                <w:szCs w:val="20"/>
                <w:color w:val="auto"/>
              </w:rPr>
            </w:pPr>
            <w:r>
              <w:rPr>
                <w:rFonts w:ascii="Arial" w:cs="Arial" w:eastAsia="Arial" w:hAnsi="Arial"/>
                <w:sz w:val="17"/>
                <w:szCs w:val="17"/>
                <w:color w:val="auto"/>
              </w:rPr>
              <w:t>proportionate share of net assets</w:t>
            </w:r>
          </w:p>
        </w:tc>
        <w:tc>
          <w:tcPr>
            <w:tcW w:w="820" w:type="dxa"/>
            <w:vAlign w:val="bottom"/>
            <w:gridSpan w:val="2"/>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16,369</w:t>
            </w:r>
          </w:p>
        </w:tc>
        <w:tc>
          <w:tcPr>
            <w:tcW w:w="14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16,720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The excess carrying value has been primarily</w:t>
            </w:r>
          </w:p>
        </w:tc>
        <w:tc>
          <w:tcPr>
            <w:tcW w:w="5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640" w:type="dxa"/>
            <w:vAlign w:val="bottom"/>
          </w:tcPr>
          <w:p>
            <w:pPr>
              <w:ind w:left="140"/>
              <w:spacing w:after="0"/>
              <w:rPr>
                <w:sz w:val="20"/>
                <w:szCs w:val="20"/>
                <w:color w:val="auto"/>
              </w:rPr>
            </w:pPr>
            <w:r>
              <w:rPr>
                <w:rFonts w:ascii="Arial" w:cs="Arial" w:eastAsia="Arial" w:hAnsi="Arial"/>
                <w:sz w:val="17"/>
                <w:szCs w:val="17"/>
                <w:color w:val="auto"/>
              </w:rPr>
              <w:t>assigned to:</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820" w:type="dxa"/>
            <w:vAlign w:val="bottom"/>
            <w:gridSpan w:val="2"/>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22,872</w:t>
            </w:r>
          </w:p>
        </w:tc>
        <w:tc>
          <w:tcPr>
            <w:tcW w:w="1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23,523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40"/>
              <w:spacing w:after="0"/>
              <w:rPr>
                <w:sz w:val="20"/>
                <w:szCs w:val="20"/>
                <w:color w:val="auto"/>
              </w:rPr>
            </w:pPr>
            <w:r>
              <w:rPr>
                <w:rFonts w:ascii="Arial" w:cs="Arial" w:eastAsia="Arial" w:hAnsi="Arial"/>
                <w:sz w:val="17"/>
                <w:szCs w:val="17"/>
                <w:color w:val="auto"/>
              </w:rPr>
              <w:t>Identifiable intangible assets</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12,839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Tangible assets</w:t>
            </w: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(19,800)</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(21,342)</w:t>
            </w:r>
          </w:p>
        </w:tc>
        <w:tc>
          <w:tcPr>
            <w:tcW w:w="0" w:type="dxa"/>
            <w:vAlign w:val="bottom"/>
          </w:tcPr>
          <w:p>
            <w:pPr>
              <w:spacing w:after="0"/>
              <w:rPr>
                <w:sz w:val="1"/>
                <w:szCs w:val="1"/>
                <w:color w:val="auto"/>
              </w:rPr>
            </w:pPr>
          </w:p>
        </w:tc>
      </w:tr>
      <w:tr>
        <w:trPr>
          <w:trHeight w:val="203"/>
        </w:trPr>
        <w:tc>
          <w:tcPr>
            <w:tcW w:w="46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Deferred income taxes</w:t>
            </w:r>
          </w:p>
        </w:tc>
        <w:tc>
          <w:tcPr>
            <w:tcW w:w="5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1,626</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5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16,369</w:t>
            </w:r>
          </w:p>
        </w:tc>
        <w:tc>
          <w:tcPr>
            <w:tcW w:w="1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518"/>
        <w:spacing w:after="0"/>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right="420" w:firstLine="518"/>
        <w:spacing w:after="0" w:line="239" w:lineRule="auto"/>
        <w:rPr>
          <w:sz w:val="20"/>
          <w:szCs w:val="20"/>
          <w:color w:val="auto"/>
        </w:rPr>
      </w:pPr>
      <w:r>
        <w:rPr>
          <w:rFonts w:ascii="Arial" w:cs="Arial" w:eastAsia="Arial" w:hAnsi="Arial"/>
          <w:sz w:val="18"/>
          <w:szCs w:val="18"/>
          <w:color w:val="auto"/>
        </w:rPr>
        <w:t>The Company’s share of income or loss on its investment in Euro Infrastructure Co. was income of an insignificant amount and $1.4 million for the three and six months ended September 30, 2018, respectively, and income of an insignificant amount for the three and six months ended September 30, 2017, consisting of the Company’s share of equity in Euro Infrastructure Co.’s income or loss, including amortization of the difference in the historical basis of the Company’s contribution.</w:t>
      </w:r>
    </w:p>
    <w:p>
      <w:pPr>
        <w:spacing w:after="0" w:line="148" w:lineRule="exact"/>
        <w:rPr>
          <w:sz w:val="20"/>
          <w:szCs w:val="20"/>
          <w:color w:val="auto"/>
        </w:rPr>
      </w:pPr>
    </w:p>
    <w:p>
      <w:pPr>
        <w:ind w:right="580" w:firstLine="518"/>
        <w:spacing w:after="0" w:line="246" w:lineRule="auto"/>
        <w:rPr>
          <w:sz w:val="20"/>
          <w:szCs w:val="20"/>
          <w:color w:val="auto"/>
        </w:rPr>
      </w:pPr>
      <w:r>
        <w:rPr>
          <w:rFonts w:ascii="Arial" w:cs="Arial" w:eastAsia="Arial" w:hAnsi="Arial"/>
          <w:sz w:val="18"/>
          <w:szCs w:val="18"/>
          <w:color w:val="auto"/>
        </w:rPr>
        <w:t>Since acquiring its interest in Euro Infrastructure Co., the Company has recorded $3.1 million in retained earnings of undistributed cumulative earnings in equity interests, net of tax, as of September 30,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9"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Transactions with the equity method investee are considered related-party transactions. In addition, Richard Baldridge, the President and Chief Operating Officer and a Director of the Company, also serves on the board of directors of Ducommun Inc. The following tables set forth the material related-party transactions entered into between Euro Infrastructure Co. and its subsidiaries, or Ducommon Inc. (inventory procurement) on the one hand, and the Company and its subsidiaries, on the other hand, in the ordinary course of business for the time periods presented:</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11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right"/>
              <w:ind w:right="155"/>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60" w:type="dxa"/>
            <w:vAlign w:val="bottom"/>
            <w:gridSpan w:val="2"/>
          </w:tcPr>
          <w:p>
            <w:pPr>
              <w:jc w:val="right"/>
              <w:ind w:right="88"/>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340" w:type="dxa"/>
            <w:vAlign w:val="bottom"/>
            <w:gridSpan w:val="3"/>
          </w:tcPr>
          <w:p>
            <w:pPr>
              <w:jc w:val="right"/>
              <w:ind w:right="152"/>
              <w:spacing w:after="0" w:line="156" w:lineRule="exact"/>
              <w:rPr>
                <w:sz w:val="20"/>
                <w:szCs w:val="20"/>
                <w:color w:val="auto"/>
              </w:rPr>
            </w:pPr>
            <w:r>
              <w:rPr>
                <w:rFonts w:ascii="Arial" w:cs="Arial" w:eastAsia="Arial" w:hAnsi="Arial"/>
                <w:sz w:val="14"/>
                <w:szCs w:val="14"/>
                <w:b w:val="1"/>
                <w:bCs w:val="1"/>
                <w:color w:val="auto"/>
              </w:rPr>
              <w:t>September 30,</w:t>
            </w:r>
          </w:p>
        </w:tc>
        <w:tc>
          <w:tcPr>
            <w:tcW w:w="1500" w:type="dxa"/>
            <w:vAlign w:val="bottom"/>
            <w:gridSpan w:val="4"/>
          </w:tcPr>
          <w:p>
            <w:pPr>
              <w:jc w:val="center"/>
              <w:ind w:right="4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64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1,327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62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7"/>
              </w:rPr>
              <w:t>3,178</w:t>
            </w:r>
          </w:p>
        </w:tc>
        <w:tc>
          <w:tcPr>
            <w:tcW w:w="340" w:type="dxa"/>
            <w:vAlign w:val="bottom"/>
            <w:tcBorders>
              <w:right w:val="single" w:sz="8" w:color="CFF0FC"/>
            </w:tcBorders>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5,628</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Expense – Euro Infrastructure Co.</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2,432</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1,757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4,590</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3,588</w:t>
            </w:r>
          </w:p>
        </w:tc>
        <w:tc>
          <w:tcPr>
            <w:tcW w:w="120" w:type="dxa"/>
            <w:vAlign w:val="bottom"/>
          </w:tcPr>
          <w:p>
            <w:pPr>
              <w:spacing w:after="0"/>
              <w:rPr>
                <w:sz w:val="18"/>
                <w:szCs w:val="18"/>
                <w:color w:val="auto"/>
              </w:rPr>
            </w:pPr>
          </w:p>
        </w:tc>
      </w:tr>
      <w:tr>
        <w:trPr>
          <w:trHeight w:val="216"/>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3,624</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7"/>
              </w:rPr>
              <w:t>6,054</w:t>
            </w:r>
          </w:p>
        </w:tc>
        <w:tc>
          <w:tcPr>
            <w:tcW w:w="340" w:type="dxa"/>
            <w:vAlign w:val="bottom"/>
            <w:tcBorders>
              <w:righ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4,349</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Cash paid – Euro Infrastructure Co.</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2,145</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1,989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w w:val="97"/>
              </w:rPr>
              <w:t>4,092</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4,009</w:t>
            </w:r>
          </w:p>
        </w:tc>
        <w:tc>
          <w:tcPr>
            <w:tcW w:w="120" w:type="dxa"/>
            <w:vAlign w:val="bottom"/>
          </w:tcPr>
          <w:p>
            <w:pPr>
              <w:spacing w:after="0"/>
              <w:rPr>
                <w:sz w:val="18"/>
                <w:szCs w:val="18"/>
                <w:color w:val="auto"/>
              </w:rPr>
            </w:pPr>
          </w:p>
        </w:tc>
      </w:tr>
      <w:tr>
        <w:trPr>
          <w:trHeight w:val="216"/>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 Ducommun Inc.</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4,521</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7"/>
              </w:rPr>
              <w:t>6,979</w:t>
            </w:r>
          </w:p>
        </w:tc>
        <w:tc>
          <w:tcPr>
            <w:tcW w:w="340" w:type="dxa"/>
            <w:vAlign w:val="bottom"/>
            <w:tcBorders>
              <w:righ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365"/>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5"/>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September 30, 2018</w:t>
            </w:r>
          </w:p>
        </w:tc>
        <w:tc>
          <w:tcPr>
            <w:tcW w:w="18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March 31, 2018</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Borders>
              <w:top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1140" w:type="dxa"/>
            <w:vAlign w:val="bottom"/>
          </w:tcPr>
          <w:p>
            <w:pPr>
              <w:spacing w:after="0"/>
              <w:rPr>
                <w:sz w:val="18"/>
                <w:szCs w:val="18"/>
                <w:color w:val="auto"/>
              </w:rPr>
            </w:pPr>
          </w:p>
        </w:tc>
        <w:tc>
          <w:tcPr>
            <w:tcW w:w="37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receivable – Euro Infrastructure Co.</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3,307</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4920" w:type="dxa"/>
            <w:vAlign w:val="bottom"/>
            <w:gridSpan w:val="4"/>
          </w:tcPr>
          <w:p>
            <w:pPr>
              <w:ind w:left="1140"/>
              <w:spacing w:after="0"/>
              <w:rPr>
                <w:sz w:val="20"/>
                <w:szCs w:val="20"/>
                <w:color w:val="auto"/>
              </w:rPr>
            </w:pPr>
            <w:r>
              <w:rPr>
                <w:rFonts w:ascii="Arial" w:cs="Arial" w:eastAsia="Arial" w:hAnsi="Arial"/>
                <w:sz w:val="18"/>
                <w:szCs w:val="18"/>
                <w:color w:val="auto"/>
              </w:rPr>
              <w:t>Collections in excess of revenues and deferred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140" w:type="dxa"/>
            <w:vAlign w:val="bottom"/>
          </w:tcPr>
          <w:p>
            <w:pPr>
              <w:ind w:left="160"/>
              <w:spacing w:after="0" w:line="203" w:lineRule="exact"/>
              <w:rPr>
                <w:sz w:val="20"/>
                <w:szCs w:val="20"/>
                <w:color w:val="auto"/>
              </w:rPr>
            </w:pPr>
            <w:r>
              <w:rPr>
                <w:rFonts w:ascii="Arial" w:cs="Arial" w:eastAsia="Arial" w:hAnsi="Arial"/>
                <w:sz w:val="18"/>
                <w:szCs w:val="18"/>
                <w:color w:val="auto"/>
              </w:rPr>
              <w:t>revenues – Euro Infrastructure Co.</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gridSpan w:val="2"/>
          </w:tcPr>
          <w:p>
            <w:pPr>
              <w:jc w:val="right"/>
              <w:ind w:right="88"/>
              <w:spacing w:after="0" w:line="203" w:lineRule="exact"/>
              <w:rPr>
                <w:sz w:val="20"/>
                <w:szCs w:val="20"/>
                <w:color w:val="auto"/>
              </w:rPr>
            </w:pPr>
            <w:r>
              <w:rPr>
                <w:rFonts w:ascii="Arial" w:cs="Arial" w:eastAsia="Arial" w:hAnsi="Arial"/>
                <w:sz w:val="18"/>
                <w:szCs w:val="18"/>
                <w:color w:val="auto"/>
                <w:w w:val="97"/>
              </w:rPr>
              <w:t>4,007</w:t>
            </w:r>
          </w:p>
        </w:tc>
        <w:tc>
          <w:tcPr>
            <w:tcW w:w="3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3,246</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 Ducommun Inc.</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w w:val="97"/>
              </w:rPr>
              <w:t>6,684</w:t>
            </w:r>
          </w:p>
        </w:tc>
        <w:tc>
          <w:tcPr>
            <w:tcW w:w="360" w:type="dxa"/>
            <w:vAlign w:val="bottom"/>
            <w:shd w:val="clear" w:color="auto" w:fill="CFF0FC"/>
          </w:tcPr>
          <w:p>
            <w:pPr>
              <w:spacing w:after="0"/>
              <w:rPr>
                <w:sz w:val="18"/>
                <w:szCs w:val="18"/>
                <w:color w:val="auto"/>
              </w:rPr>
            </w:pPr>
          </w:p>
        </w:tc>
        <w:tc>
          <w:tcPr>
            <w:tcW w:w="9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20" w:type="dxa"/>
            <w:vAlign w:val="bottom"/>
            <w:gridSpan w:val="4"/>
          </w:tcPr>
          <w:p>
            <w:pPr>
              <w:ind w:left="1140"/>
              <w:spacing w:after="0"/>
              <w:rPr>
                <w:sz w:val="20"/>
                <w:szCs w:val="20"/>
                <w:color w:val="auto"/>
              </w:rPr>
            </w:pPr>
            <w:r>
              <w:rPr>
                <w:rFonts w:ascii="Arial" w:cs="Arial" w:eastAsia="Arial" w:hAnsi="Arial"/>
                <w:sz w:val="18"/>
                <w:szCs w:val="18"/>
                <w:color w:val="auto"/>
              </w:rPr>
              <w:t>Accounts payable – Euro Infrastructure Co.</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88"/>
              <w:spacing w:after="0"/>
              <w:rPr>
                <w:sz w:val="20"/>
                <w:szCs w:val="20"/>
                <w:color w:val="auto"/>
              </w:rPr>
            </w:pPr>
            <w:r>
              <w:rPr>
                <w:rFonts w:ascii="Arial" w:cs="Arial" w:eastAsia="Arial" w:hAnsi="Arial"/>
                <w:sz w:val="18"/>
                <w:szCs w:val="18"/>
                <w:color w:val="auto"/>
                <w:w w:val="97"/>
              </w:rPr>
              <w:t>1,379</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9690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14" w:lineRule="exact"/>
        <w:rPr>
          <w:sz w:val="20"/>
          <w:szCs w:val="20"/>
          <w:color w:val="auto"/>
        </w:rPr>
      </w:pPr>
    </w:p>
    <w:p>
      <w:pPr>
        <w:ind w:right="6220" w:firstLine="8"/>
        <w:spacing w:after="0" w:line="293" w:lineRule="auto"/>
        <w:tabs>
          <w:tab w:leader="none" w:pos="51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was no related-party activity for the period indicated. ** Amount was insignificant.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9" w:lineRule="exact"/>
        <w:rPr>
          <w:sz w:val="20"/>
          <w:szCs w:val="20"/>
          <w:color w:val="auto"/>
        </w:rPr>
      </w:pPr>
    </w:p>
    <w:p>
      <w:pPr>
        <w:ind w:right="200" w:firstLine="518"/>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consumers, enterprises, commercial airlines and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six months ended September 30, 2018 and 2017 were as follows:</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r>
      <w:tr>
        <w:trPr>
          <w:trHeight w:val="156"/>
        </w:trPr>
        <w:tc>
          <w:tcPr>
            <w:tcW w:w="4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gridSpan w:val="3"/>
          </w:tcPr>
          <w:p>
            <w:pPr>
              <w:jc w:val="right"/>
              <w:ind w:right="24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440" w:type="dxa"/>
            <w:vAlign w:val="bottom"/>
            <w:gridSpan w:val="3"/>
          </w:tcPr>
          <w:p>
            <w:pPr>
              <w:jc w:val="right"/>
              <w:ind w:right="380"/>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gridSpan w:val="3"/>
          </w:tcPr>
          <w:p>
            <w:pPr>
              <w:jc w:val="right"/>
              <w:ind w:right="22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80" w:type="dxa"/>
            <w:vAlign w:val="bottom"/>
            <w:gridSpan w:val="3"/>
          </w:tcPr>
          <w:p>
            <w:pPr>
              <w:jc w:val="right"/>
              <w:ind w:right="2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4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r>
      <w:tr>
        <w:trPr>
          <w:trHeight w:val="169"/>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6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162,962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147,364</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316,523</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299,361</w:t>
            </w:r>
          </w:p>
        </w:tc>
        <w:tc>
          <w:tcPr>
            <w:tcW w:w="100" w:type="dxa"/>
            <w:vAlign w:val="bottom"/>
            <w:tcBorders>
              <w:bottom w:val="single" w:sz="8" w:color="CFF0FC"/>
            </w:tcBorders>
          </w:tcPr>
          <w:p>
            <w:pPr>
              <w:spacing w:after="0"/>
              <w:rPr>
                <w:sz w:val="18"/>
                <w:szCs w:val="18"/>
                <w:color w:val="auto"/>
              </w:rPr>
            </w:pPr>
          </w:p>
        </w:tc>
      </w:tr>
      <w:tr>
        <w:trPr>
          <w:trHeight w:val="210"/>
        </w:trPr>
        <w:tc>
          <w:tcPr>
            <w:tcW w:w="4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162,962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147,578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316,523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299,792</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40"/>
              <w:spacing w:after="0"/>
              <w:rPr>
                <w:sz w:val="20"/>
                <w:szCs w:val="20"/>
                <w:color w:val="auto"/>
              </w:rPr>
            </w:pPr>
            <w:r>
              <w:rPr>
                <w:rFonts w:ascii="Arial" w:cs="Arial" w:eastAsia="Arial" w:hAnsi="Arial"/>
                <w:sz w:val="18"/>
                <w:szCs w:val="18"/>
                <w:color w:val="auto"/>
              </w:rPr>
              <w:t>Commercial networks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189,323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83,830</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8,922</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20,263</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17,687</w:t>
            </w:r>
          </w:p>
        </w:tc>
        <w:tc>
          <w:tcPr>
            <w:tcW w:w="100" w:type="dxa"/>
            <w:vAlign w:val="bottom"/>
            <w:tcBorders>
              <w:bottom w:val="single" w:sz="8" w:color="CFF0FC"/>
            </w:tcBorders>
          </w:tcPr>
          <w:p>
            <w:pPr>
              <w:spacing w:after="0"/>
              <w:rPr>
                <w:sz w:val="18"/>
                <w:szCs w:val="18"/>
                <w:color w:val="auto"/>
              </w:rPr>
            </w:pPr>
          </w:p>
        </w:tc>
      </w:tr>
      <w:tr>
        <w:trPr>
          <w:trHeight w:val="210"/>
        </w:trPr>
        <w:tc>
          <w:tcPr>
            <w:tcW w:w="4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114,520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56,269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209,586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101,517</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40"/>
              <w:spacing w:after="0"/>
              <w:rPr>
                <w:sz w:val="20"/>
                <w:szCs w:val="20"/>
                <w:color w:val="auto"/>
              </w:rPr>
            </w:pPr>
            <w:r>
              <w:rPr>
                <w:rFonts w:ascii="Arial" w:cs="Arial" w:eastAsia="Arial" w:hAnsi="Arial"/>
                <w:sz w:val="18"/>
                <w:szCs w:val="18"/>
                <w:color w:val="auto"/>
              </w:rPr>
              <w:t>Government systems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134,222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309,241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263,640</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55,005</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120,993</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108,169</w:t>
            </w:r>
          </w:p>
        </w:tc>
        <w:tc>
          <w:tcPr>
            <w:tcW w:w="100" w:type="dxa"/>
            <w:vAlign w:val="bottom"/>
            <w:tcBorders>
              <w:bottom w:val="single" w:sz="8" w:color="CFF0FC"/>
            </w:tcBorders>
          </w:tcPr>
          <w:p>
            <w:pPr>
              <w:spacing w:after="0"/>
              <w:rPr>
                <w:sz w:val="18"/>
                <w:szCs w:val="18"/>
                <w:color w:val="auto"/>
              </w:rPr>
            </w:pPr>
          </w:p>
        </w:tc>
      </w:tr>
      <w:tr>
        <w:trPr>
          <w:trHeight w:val="210"/>
        </w:trPr>
        <w:tc>
          <w:tcPr>
            <w:tcW w:w="41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189,227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430,234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371,809</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Elimination of intersegment revenues</w:t>
            </w:r>
          </w:p>
        </w:tc>
        <w:tc>
          <w:tcPr>
            <w:tcW w:w="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6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517,474</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393,074</w:t>
            </w:r>
          </w:p>
        </w:tc>
        <w:tc>
          <w:tcPr>
            <w:tcW w:w="2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956,343</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773,118</w:t>
            </w:r>
          </w:p>
        </w:tc>
        <w:tc>
          <w:tcPr>
            <w:tcW w:w="100" w:type="dxa"/>
            <w:vAlign w:val="bottom"/>
            <w:shd w:val="clear" w:color="auto" w:fill="CFF0FC"/>
          </w:tcPr>
          <w:p>
            <w:pPr>
              <w:spacing w:after="0"/>
              <w:rPr>
                <w:sz w:val="18"/>
                <w:szCs w:val="18"/>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7"/>
        </w:trPr>
        <w:tc>
          <w:tcPr>
            <w:tcW w:w="4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profits (losses):</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6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(24,839)</w:t>
            </w:r>
          </w:p>
        </w:tc>
        <w:tc>
          <w:tcPr>
            <w:tcW w:w="3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12,616</w:t>
            </w:r>
          </w:p>
        </w:tc>
        <w:tc>
          <w:tcPr>
            <w:tcW w:w="280" w:type="dxa"/>
            <w:vAlign w:val="bottom"/>
          </w:tcPr>
          <w:p>
            <w:pPr>
              <w:spacing w:after="0"/>
              <w:rPr>
                <w:sz w:val="18"/>
                <w:szCs w:val="18"/>
                <w:color w:val="auto"/>
              </w:rPr>
            </w:pPr>
          </w:p>
        </w:tc>
        <w:tc>
          <w:tcPr>
            <w:tcW w:w="5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(54,775)</w:t>
            </w:r>
          </w:p>
        </w:tc>
        <w:tc>
          <w:tcPr>
            <w:tcW w:w="3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31,459</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(39,197)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(59,377)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(86,205)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(125,502)</w:t>
            </w:r>
          </w:p>
        </w:tc>
      </w:tr>
      <w:tr>
        <w:trPr>
          <w:trHeight w:val="216"/>
        </w:trPr>
        <w:tc>
          <w:tcPr>
            <w:tcW w:w="4160" w:type="dxa"/>
            <w:vAlign w:val="bottom"/>
          </w:tcPr>
          <w:p>
            <w:pPr>
              <w:ind w:left="240"/>
              <w:spacing w:after="0"/>
              <w:rPr>
                <w:sz w:val="20"/>
                <w:szCs w:val="20"/>
                <w:color w:val="auto"/>
              </w:rPr>
            </w:pPr>
            <w:r>
              <w:rPr>
                <w:rFonts w:ascii="Arial" w:cs="Arial" w:eastAsia="Arial" w:hAnsi="Arial"/>
                <w:sz w:val="18"/>
                <w:szCs w:val="18"/>
                <w:color w:val="auto"/>
              </w:rPr>
              <w:t>Government systems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66,813</w:t>
            </w:r>
          </w:p>
        </w:tc>
        <w:tc>
          <w:tcPr>
            <w:tcW w:w="100" w:type="dxa"/>
            <w:vAlign w:val="bottom"/>
          </w:tcPr>
          <w:p>
            <w:pPr>
              <w:spacing w:after="0"/>
              <w:rPr>
                <w:sz w:val="18"/>
                <w:szCs w:val="18"/>
                <w:color w:val="auto"/>
              </w:rPr>
            </w:pPr>
          </w:p>
        </w:tc>
      </w:tr>
      <w:tr>
        <w:trPr>
          <w:trHeight w:val="216"/>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Elimination of intersegment operating profits</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4160" w:type="dxa"/>
            <w:vAlign w:val="bottom"/>
          </w:tcPr>
          <w:p>
            <w:pPr>
              <w:spacing w:after="0"/>
              <w:rPr>
                <w:sz w:val="20"/>
                <w:szCs w:val="20"/>
                <w:color w:val="auto"/>
              </w:rPr>
            </w:pPr>
            <w:r>
              <w:rPr>
                <w:rFonts w:ascii="Arial" w:cs="Arial" w:eastAsia="Arial" w:hAnsi="Arial"/>
                <w:sz w:val="18"/>
                <w:szCs w:val="18"/>
                <w:color w:val="auto"/>
              </w:rPr>
              <w:t>Segment operating loss before corporate and</w:t>
            </w: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160" w:type="dxa"/>
            <w:vAlign w:val="bottom"/>
          </w:tcPr>
          <w:p>
            <w:pPr>
              <w:ind w:left="160"/>
              <w:spacing w:after="0" w:line="203" w:lineRule="exact"/>
              <w:rPr>
                <w:sz w:val="20"/>
                <w:szCs w:val="20"/>
                <w:color w:val="auto"/>
              </w:rPr>
            </w:pPr>
            <w:r>
              <w:rPr>
                <w:rFonts w:ascii="Arial" w:cs="Arial" w:eastAsia="Arial" w:hAnsi="Arial"/>
                <w:sz w:val="18"/>
                <w:szCs w:val="18"/>
                <w:color w:val="auto"/>
              </w:rPr>
              <w:t>amortization of acquired intangible assets</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(19,136)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(12,540)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(71,162)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(27,230)</w:t>
            </w:r>
          </w:p>
        </w:tc>
      </w:tr>
      <w:tr>
        <w:trPr>
          <w:trHeight w:val="216"/>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w:t>
            </w: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(6,580)</w:t>
            </w:r>
          </w:p>
        </w:tc>
      </w:tr>
      <w:tr>
        <w:trPr>
          <w:trHeight w:val="20"/>
        </w:trPr>
        <w:tc>
          <w:tcPr>
            <w:tcW w:w="41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(21,571)</w:t>
            </w:r>
          </w:p>
        </w:tc>
        <w:tc>
          <w:tcPr>
            <w:tcW w:w="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(15,860)</w:t>
            </w:r>
          </w:p>
        </w:tc>
        <w:tc>
          <w:tcPr>
            <w:tcW w:w="5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(76,050)</w:t>
            </w:r>
          </w:p>
        </w:tc>
        <w:tc>
          <w:tcPr>
            <w:tcW w:w="3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(33,810)</w:t>
            </w: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420" w:firstLine="518"/>
        <w:spacing w:after="0" w:line="239"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September 30, 2018 and March 31, 2018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76"/>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56"/>
              <w:spacing w:after="0"/>
              <w:rPr>
                <w:sz w:val="20"/>
                <w:szCs w:val="20"/>
                <w:color w:val="auto"/>
              </w:rPr>
            </w:pPr>
            <w:r>
              <w:rPr>
                <w:rFonts w:ascii="Arial" w:cs="Arial" w:eastAsia="Arial" w:hAnsi="Arial"/>
                <w:sz w:val="14"/>
                <w:szCs w:val="14"/>
                <w:b w:val="1"/>
                <w:bCs w:val="1"/>
                <w:color w:val="auto"/>
              </w:rPr>
              <w:t>As of</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76"/>
              <w:spacing w:after="0"/>
              <w:rPr>
                <w:sz w:val="20"/>
                <w:szCs w:val="20"/>
                <w:color w:val="auto"/>
              </w:rPr>
            </w:pPr>
            <w:r>
              <w:rPr>
                <w:rFonts w:ascii="Arial" w:cs="Arial" w:eastAsia="Arial" w:hAnsi="Arial"/>
                <w:sz w:val="14"/>
                <w:szCs w:val="14"/>
                <w:b w:val="1"/>
                <w:bCs w:val="1"/>
                <w:color w:val="auto"/>
              </w:rPr>
              <w:t>March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2018</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4"/>
          </w:tcPr>
          <w:p>
            <w:pPr>
              <w:jc w:val="right"/>
              <w:ind w:right="776"/>
              <w:spacing w:after="0"/>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26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74,195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66,830</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2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227,197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211,447</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systems</w:t>
            </w:r>
          </w:p>
        </w:tc>
        <w:tc>
          <w:tcPr>
            <w:tcW w:w="2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348,050</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337,451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segment assets</w:t>
            </w:r>
          </w:p>
        </w:tc>
        <w:tc>
          <w:tcPr>
            <w:tcW w:w="2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649,442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615,728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assets</w:t>
            </w:r>
          </w:p>
        </w:tc>
        <w:tc>
          <w:tcPr>
            <w:tcW w:w="2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2,980,185</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2,798,381</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6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3,629,627</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3,414,109</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40" w:type="dxa"/>
            <w:vAlign w:val="bottom"/>
            <w:tcBorders>
              <w:top w:val="single" w:sz="8" w:color="CFF0FC"/>
            </w:tcBorders>
          </w:tcPr>
          <w:p>
            <w:pPr>
              <w:spacing w:after="0" w:line="20" w:lineRule="exact"/>
              <w:rPr>
                <w:sz w:val="1"/>
                <w:szCs w:val="1"/>
                <w:color w:val="auto"/>
              </w:rPr>
            </w:pPr>
          </w:p>
        </w:tc>
        <w:tc>
          <w:tcPr>
            <w:tcW w:w="2400" w:type="dxa"/>
            <w:vAlign w:val="bottom"/>
            <w:tcBorders>
              <w:top w:val="single" w:sz="8" w:color="CFF0FC"/>
              <w:bottom w:val="single" w:sz="8" w:color="CFF0FC"/>
            </w:tcBorders>
            <w:vMerge w:val="restart"/>
          </w:tcPr>
          <w:p>
            <w:pPr>
              <w:jc w:val="right"/>
              <w:ind w:right="1150"/>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72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Other acquired intangible assets, net and goodwill included in segment assets as of September 30, 2018 and March 31, 2018 were as follows: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center"/>
              <w:ind w:right="196"/>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rPr>
              <w:t>Assets, Net</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Goodwill</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438"/>
              <w:spacing w:after="0" w:line="156"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76"/>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94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As of</w:t>
            </w:r>
          </w:p>
        </w:tc>
      </w:tr>
      <w:tr>
        <w:trPr>
          <w:trHeight w:val="175"/>
        </w:trPr>
        <w:tc>
          <w:tcPr>
            <w:tcW w:w="3220" w:type="dxa"/>
            <w:vAlign w:val="bottom"/>
          </w:tcPr>
          <w:p>
            <w:pPr>
              <w:spacing w:after="0"/>
              <w:rPr>
                <w:sz w:val="15"/>
                <w:szCs w:val="15"/>
                <w:color w:val="auto"/>
              </w:rPr>
            </w:pPr>
          </w:p>
        </w:tc>
        <w:tc>
          <w:tcPr>
            <w:tcW w:w="2860" w:type="dxa"/>
            <w:vAlign w:val="bottom"/>
            <w:gridSpan w:val="3"/>
          </w:tcPr>
          <w:p>
            <w:pPr>
              <w:ind w:left="150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 2018</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 2018</w:t>
            </w:r>
          </w:p>
        </w:tc>
      </w:tr>
      <w:tr>
        <w:trPr>
          <w:trHeight w:val="169"/>
        </w:trPr>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760" w:type="dxa"/>
            <w:vAlign w:val="bottom"/>
            <w:gridSpan w:val="2"/>
            <w:shd w:val="clear" w:color="auto" w:fill="CFF0FC"/>
          </w:tcPr>
          <w:p>
            <w:pPr>
              <w:ind w:left="15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13,112</w:t>
            </w:r>
          </w:p>
        </w:tc>
        <w:tc>
          <w:tcPr>
            <w:tcW w:w="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16,580</w:t>
            </w:r>
          </w:p>
        </w:tc>
        <w:tc>
          <w:tcPr>
            <w:tcW w:w="6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13,991</w:t>
            </w:r>
          </w:p>
        </w:tc>
        <w:tc>
          <w:tcPr>
            <w:tcW w:w="100" w:type="dxa"/>
            <w:vAlign w:val="bottom"/>
            <w:shd w:val="clear" w:color="auto" w:fill="CFF0FC"/>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Commercial networks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44,011</w:t>
            </w:r>
          </w:p>
        </w:tc>
        <w:tc>
          <w:tcPr>
            <w:tcW w:w="100" w:type="dxa"/>
            <w:vAlign w:val="bottom"/>
          </w:tcPr>
          <w:p>
            <w:pPr>
              <w:spacing w:after="0"/>
              <w:rPr>
                <w:sz w:val="18"/>
                <w:szCs w:val="18"/>
                <w:color w:val="auto"/>
              </w:rPr>
            </w:pPr>
          </w:p>
        </w:tc>
      </w:tr>
      <w:tr>
        <w:trPr>
          <w:trHeight w:val="216"/>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5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10,391</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11,942</w:t>
            </w:r>
          </w:p>
        </w:tc>
        <w:tc>
          <w:tcPr>
            <w:tcW w:w="2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64,968</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63,083</w:t>
            </w:r>
          </w:p>
        </w:tc>
        <w:tc>
          <w:tcPr>
            <w:tcW w:w="100" w:type="dxa"/>
            <w:vAlign w:val="bottom"/>
            <w:shd w:val="clear" w:color="auto" w:fill="CFF0FC"/>
          </w:tcPr>
          <w:p>
            <w:pPr>
              <w:spacing w:after="0"/>
              <w:rPr>
                <w:sz w:val="18"/>
                <w:szCs w:val="18"/>
                <w:color w:val="auto"/>
              </w:rPr>
            </w:pPr>
          </w:p>
        </w:tc>
      </w:tr>
      <w:tr>
        <w:trPr>
          <w:trHeight w:val="210"/>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26,072</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31,862</w:t>
            </w: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122,676</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121,085</w:t>
            </w:r>
          </w:p>
        </w:tc>
        <w:tc>
          <w:tcPr>
            <w:tcW w:w="100" w:type="dxa"/>
            <w:vAlign w:val="bottom"/>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acquired intangible assets by segment for the three and six months ended September 30, 2018 and 2017 was as follows:</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5"/>
                <w:szCs w:val="15"/>
                <w:color w:val="auto"/>
              </w:rPr>
            </w:pPr>
          </w:p>
        </w:tc>
      </w:tr>
      <w:tr>
        <w:trPr>
          <w:trHeight w:val="156"/>
        </w:trPr>
        <w:tc>
          <w:tcPr>
            <w:tcW w:w="4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8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c>
          <w:tcPr>
            <w:tcW w:w="118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4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r>
      <w:tr>
        <w:trPr>
          <w:trHeight w:val="169"/>
        </w:trPr>
        <w:tc>
          <w:tcPr>
            <w:tcW w:w="4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ind w:left="4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0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4,267</w:t>
            </w:r>
          </w:p>
        </w:tc>
        <w:tc>
          <w:tcPr>
            <w:tcW w:w="12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Commercial networks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7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FF0FC"/>
          </w:tcPr>
          <w:p>
            <w:pPr>
              <w:spacing w:after="0"/>
              <w:rPr>
                <w:sz w:val="18"/>
                <w:szCs w:val="18"/>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2,435</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3,320</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4,888</w:t>
            </w:r>
          </w:p>
        </w:tc>
        <w:tc>
          <w:tcPr>
            <w:tcW w:w="22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6,580</w:t>
            </w:r>
          </w:p>
        </w:tc>
        <w:tc>
          <w:tcPr>
            <w:tcW w:w="12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right="3140"/>
        <w:spacing w:after="0" w:line="33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timing or amount of insurance proceeds related to the antenna deployment issue; the expected completion, capacity, service, coverage, service speeds and other features of our satellites,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realize the anticipated benefits of our strategic partnering arrangement with Eutelsat S.A. (together with its affiliates, Eutelsat) or any of our acquisitions;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products and services;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2018,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Satellite Services</w:t>
      </w:r>
    </w:p>
    <w:p>
      <w:pPr>
        <w:spacing w:after="0" w:line="99"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with multiple applications to consumers, enterprises, commercial airlines and mobile broadband customers both in the United States and abroad. Our Viasat Internet and Viasat Business Internet fixed broadband services offer high-speed, high-quality broadband internet access. We also offer high-speed internet and other in-flight services for a growing number of commercial aircraft. Our satellite services business also provides a platform for the provision of network management services to domestic and international satellite service providers.</w:t>
      </w:r>
    </w:p>
    <w:p>
      <w:pPr>
        <w:spacing w:after="0" w:line="149"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Our proprietary Ka-band satellites are at the core of our technology platform. Our ViaSat-1 satellite (our first-generation high-capacity Ka-band spot-beam satellite) was placed into service in January 2012. On June 1, 2017, our second-generation ViaSat-2 satellite was successfully launched into orbit. In the fourth quarter of fiscal year 2018, shortly before the launch of commercial broadband services on the satellite, we reported an antenna deployment issue. We worked with the satellite manufacturer to determine the root cause of the antenna deployment issue, potential correcting measures, and resulting damage. In the second quarter of fiscal year 2019, the root cause analysis was completed. Based on that analysis, we recorded a reduction to the carrying value of the ViaSat-2 satellite of $177.4 million, with a corresponding insurance claim receivable of $177.4 million, based on our estimated ViaSat-2 output capabilities as compared to the anticipated, potential and configured capacity of the ViaSat-2 satellite. As of September 30, 2018, we had received $44.4 million in insurance recovery proceeds related to such claims and the remaining $133.0 million, as probable, was recorded as a receivable. The ViaSat-2 satellite was primarily financed by our direct loan facility with the Export-Import Bank of the United States for ViaSat-2 (the Ex-Im Credit Facility) (see “</w:t>
      </w:r>
      <w:r>
        <w:rPr>
          <w:rFonts w:ascii="Arial" w:cs="Arial" w:eastAsia="Arial" w:hAnsi="Arial"/>
          <w:sz w:val="18"/>
          <w:szCs w:val="18"/>
          <w:i w:val="1"/>
          <w:iCs w:val="1"/>
          <w:color w:val="222222"/>
        </w:rPr>
        <w:t>—</w:t>
      </w:r>
      <w:r>
        <w:rPr>
          <w:rFonts w:ascii="Arial" w:cs="Arial" w:eastAsia="Arial" w:hAnsi="Arial"/>
          <w:sz w:val="18"/>
          <w:szCs w:val="18"/>
          <w:color w:val="auto"/>
        </w:rPr>
        <w:t>Ex-Im Credit Facility”</w:t>
      </w:r>
    </w:p>
    <w:p>
      <w:pPr>
        <w:spacing w:after="0" w:line="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below). Pursuant to the terms of the Ex-Im Credit Facility, insurance proceeds received from such claims will be used to pay down outstanding borrowings under the Ex-Im Credit Facility upon receipt. Subsequent to the end of the fiscal second quarter, we received an additional $57.8 million related to our outstanding ViaSat-2 insurance claims. We currently have two third-generation ViaSat-3 class satellites under construction, and anticipate commencing construction on a third ViaSat-3 class satellite in the future. We also own the WildBlue-1 satellite, which was placed into service in March 2007.</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04" w:lineRule="exact"/>
        <w:rPr>
          <w:sz w:val="20"/>
          <w:szCs w:val="20"/>
          <w:color w:val="auto"/>
        </w:rPr>
      </w:pPr>
    </w:p>
    <w:p>
      <w:pPr>
        <w:ind w:left="1040" w:right="16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broadband internet access and Voice over Internet Protocol (VoIP) services. As of September 30, 2018, we provided fixed broadband services to approximately 585,000 subscribers. In addition, we offer satellite-enabled community Wi-Fi hotspot services, primarily in Mexico.</w:t>
      </w:r>
    </w:p>
    <w:p>
      <w:pPr>
        <w:spacing w:after="0" w:line="94" w:lineRule="exact"/>
        <w:rPr>
          <w:rFonts w:ascii="Arial" w:cs="Arial" w:eastAsia="Arial" w:hAnsi="Arial"/>
          <w:sz w:val="18"/>
          <w:szCs w:val="18"/>
          <w:color w:val="auto"/>
        </w:rPr>
      </w:pPr>
    </w:p>
    <w:p>
      <w:pPr>
        <w:ind w:left="1040" w:right="100" w:hanging="519"/>
        <w:spacing w:after="0" w:line="24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In-flight services including our flagship Viasat in-flight internet services and aviation software services. As of September 30, 2018, 898 commercial aircraft were in service utilizing our Viasat in-flight connectivity (IFC) systems.</w:t>
      </w:r>
    </w:p>
    <w:p>
      <w:pPr>
        <w:spacing w:after="0" w:line="88" w:lineRule="exact"/>
        <w:rPr>
          <w:rFonts w:ascii="Arial" w:cs="Arial" w:eastAsia="Arial" w:hAnsi="Arial"/>
          <w:sz w:val="18"/>
          <w:szCs w:val="18"/>
          <w:color w:val="auto"/>
        </w:rPr>
      </w:pPr>
    </w:p>
    <w:p>
      <w:pPr>
        <w:ind w:left="1040" w:right="820" w:hanging="519"/>
        <w:spacing w:after="0" w:line="24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143" w:lineRule="exact"/>
        <w:rPr>
          <w:sz w:val="20"/>
          <w:szCs w:val="20"/>
          <w:color w:val="auto"/>
        </w:rPr>
      </w:pPr>
    </w:p>
    <w:p>
      <w:pPr>
        <w:ind w:right="20" w:firstLine="518"/>
        <w:spacing w:after="0" w:line="246" w:lineRule="auto"/>
        <w:rPr>
          <w:sz w:val="20"/>
          <w:szCs w:val="20"/>
          <w:color w:val="auto"/>
        </w:rPr>
      </w:pPr>
      <w:r>
        <w:rPr>
          <w:rFonts w:ascii="Arial" w:cs="Arial" w:eastAsia="Arial" w:hAnsi="Arial"/>
          <w:sz w:val="18"/>
          <w:szCs w:val="18"/>
          <w:color w:val="auto"/>
        </w:rPr>
        <w:t>We also offer a variety of other broadband services, including business connectivity, live on-line event streaming, oil and natural gas data gathering services and high-definition satellite news gathering.</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Commercial Networks</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Application-Specific Integrated Circuit (ASIC) chip design. Our products, systems and solutions are generally developed through a combination of customer and discretionary internal research and development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9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117" w:lineRule="exact"/>
        <w:rPr>
          <w:rFonts w:ascii="Arial" w:cs="Arial" w:eastAsia="Arial" w:hAnsi="Arial"/>
          <w:sz w:val="18"/>
          <w:szCs w:val="18"/>
          <w:color w:val="auto"/>
        </w:rPr>
      </w:pPr>
    </w:p>
    <w:p>
      <w:pPr>
        <w:ind w:left="1040" w:right="680" w:hanging="519"/>
        <w:spacing w:after="0" w:line="24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88" w:lineRule="exact"/>
        <w:rPr>
          <w:rFonts w:ascii="Arial" w:cs="Arial" w:eastAsia="Arial" w:hAnsi="Arial"/>
          <w:sz w:val="18"/>
          <w:szCs w:val="18"/>
          <w:color w:val="auto"/>
        </w:rPr>
      </w:pPr>
    </w:p>
    <w:p>
      <w:pPr>
        <w:ind w:left="1040" w:right="80" w:hanging="519"/>
        <w:spacing w:after="0" w:line="24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5" w:name="page36"/>
    <w:bookmarkEnd w:id="35"/>
    <w:p>
      <w:pPr>
        <w:ind w:left="1040" w:right="60" w:hanging="519"/>
        <w:spacing w:after="0" w:line="23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 including satellite and ground systems, fabless semiconductor design for ASIC and Monolithic Microwave Integrated Circuit (MMIC) chips and network function virtualization, as well as modules and subsystems for various commercial, military and space uses and radio frequency and advanced microwave solutions. We also design and develop high-capacity Ka-band satellites as part of our commercial networks segment (both for our own satellite fleet and for third parties) and design, develop and produce the associated satellite payload technologies.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85" w:lineRule="exact"/>
        <w:rPr>
          <w:sz w:val="20"/>
          <w:szCs w:val="20"/>
          <w:color w:val="auto"/>
        </w:rPr>
      </w:pPr>
    </w:p>
    <w:p>
      <w:pPr>
        <w:ind w:right="260" w:firstLine="518"/>
        <w:spacing w:after="0" w:line="237" w:lineRule="auto"/>
        <w:rPr>
          <w:sz w:val="20"/>
          <w:szCs w:val="20"/>
          <w:color w:val="auto"/>
        </w:rPr>
      </w:pPr>
      <w:r>
        <w:rPr>
          <w:rFonts w:ascii="Arial" w:cs="Arial" w:eastAsia="Arial" w:hAnsi="Arial"/>
          <w:sz w:val="18"/>
          <w:szCs w:val="18"/>
          <w:color w:val="auto"/>
        </w:rPr>
        <w:t>Our government systems segment provides global mobile broadband services to military and government users, and develops and produces network-centric internet protocol (IP)-based fixed and mobile secure communications products and solutions that are designed to enable the collection and dissemination of secure real-time digital information between individuals on the tactical edge, command centers, strategic communications nodes, ground and maritime platforms and airborne intelligence and defense platforms. Customers of our government systems segment include the U.S. Department of Defense, allied foreign governments, allied armed forces, public safety first-responders and remote government employees.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04" w:lineRule="exact"/>
        <w:rPr>
          <w:sz w:val="20"/>
          <w:szCs w:val="20"/>
          <w:color w:val="auto"/>
        </w:rPr>
      </w:pPr>
    </w:p>
    <w:p>
      <w:pPr>
        <w:jc w:val="both"/>
        <w:ind w:left="1040" w:right="16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w:t>
      </w:r>
    </w:p>
    <w:p>
      <w:pPr>
        <w:spacing w:after="0" w:line="94" w:lineRule="exact"/>
        <w:rPr>
          <w:rFonts w:ascii="Arial" w:cs="Arial" w:eastAsia="Arial" w:hAnsi="Arial"/>
          <w:sz w:val="18"/>
          <w:szCs w:val="18"/>
          <w:color w:val="auto"/>
        </w:rPr>
      </w:pPr>
    </w:p>
    <w:p>
      <w:pPr>
        <w:ind w:left="1040" w:right="260" w:hanging="519"/>
        <w:spacing w:after="0" w:line="238"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Command and Control (C2) missions, satellite networking services and network management systems for Wi-Fi and other internet access networks, and include products designed for manpacks, aircraft, unmanned aerial vehicles (UAVs), seagoing vessels, ground-mobile vehicles and fixed applications.</w:t>
      </w:r>
    </w:p>
    <w:p>
      <w:pPr>
        <w:spacing w:after="0" w:line="94" w:lineRule="exact"/>
        <w:rPr>
          <w:rFonts w:ascii="Arial" w:cs="Arial" w:eastAsia="Arial" w:hAnsi="Arial"/>
          <w:sz w:val="18"/>
          <w:szCs w:val="18"/>
          <w:color w:val="auto"/>
        </w:rPr>
      </w:pPr>
    </w:p>
    <w:p>
      <w:pPr>
        <w:jc w:val="both"/>
        <w:ind w:left="1040" w:right="2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w:t>
      </w:r>
    </w:p>
    <w:p>
      <w:pPr>
        <w:spacing w:after="0" w:line="94" w:lineRule="exact"/>
        <w:rPr>
          <w:rFonts w:ascii="Arial" w:cs="Arial" w:eastAsia="Arial" w:hAnsi="Arial"/>
          <w:sz w:val="18"/>
          <w:szCs w:val="18"/>
          <w:color w:val="auto"/>
        </w:rPr>
      </w:pPr>
    </w:p>
    <w:p>
      <w:pPr>
        <w:ind w:left="1040" w:right="100" w:hanging="519"/>
        <w:spacing w:after="0" w:line="23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handheld Link 16 radios, our KOR-24A 2-channel Small Tactical Terminal for manned and unmanned applications, “disposable” defense data links, our Multifunctional Information Distribution System (MIDS) terminals for military fighter jets and their successor, MIDS Joint Tactical Radio System (MIDS-JTRS) terminals.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5" w:lineRule="exact"/>
        <w:rPr>
          <w:sz w:val="20"/>
          <w:szCs w:val="20"/>
          <w:color w:val="auto"/>
        </w:rPr>
      </w:pPr>
    </w:p>
    <w:p>
      <w:pPr>
        <w:ind w:right="20" w:firstLine="518"/>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IFC services and worldwide managed network services.</w:t>
      </w:r>
    </w:p>
    <w:p>
      <w:pPr>
        <w:spacing w:after="0" w:line="14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90% and 87% of our total revenues for these segments for the three months ended September 30, 2018 and 2017, respectively, and approximately 89% and 87% of our total revenues for these segments for the six months ended September 30, 2018 and 2017,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36" w:name="page37"/>
    <w:bookmarkEnd w:id="36"/>
    <w:p>
      <w:pPr>
        <w:ind w:firstLine="518"/>
        <w:spacing w:after="0" w:line="239"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4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7"/>
          <w:szCs w:val="17"/>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17% and 19% of our total revenues for the three and six months ended September 30, 2018 and 2017, respectively.</w:t>
      </w:r>
    </w:p>
    <w:p>
      <w:pPr>
        <w:spacing w:after="0" w:line="13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7"/>
          <w:szCs w:val="17"/>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6% and 12% of total revenues during the three months ended September 30, 2018 and 2017, respectively, and approximately 7% and 12% of total revenues during the six months ended September 30, 2018 and 2017, respectively. As a government contractor, we are able to recover a portion of our IR&amp;D expenses pursuant to our government contracts.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120" w:firstLine="518"/>
        <w:spacing w:after="0" w:line="234"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w:t>
      </w:r>
    </w:p>
    <w:p>
      <w:pPr>
        <w:spacing w:after="0" w:line="2" w:lineRule="exact"/>
        <w:rPr>
          <w:sz w:val="20"/>
          <w:szCs w:val="20"/>
          <w:color w:val="auto"/>
        </w:rPr>
      </w:pPr>
    </w:p>
    <w:p>
      <w:pPr>
        <w:ind w:right="80" w:firstLine="8"/>
        <w:spacing w:after="0" w:line="238"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requirements to develop and deliver complex equipment built to customer specifications under long-term contracts.</w:t>
      </w:r>
    </w:p>
    <w:p>
      <w:pPr>
        <w:spacing w:after="0" w:line="18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connectivity services including leasing of related broadband equipment.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From a recognition perspective, the leasing of broadband equipment is evaluated in accordance with the authoritative guidance for leases (ASC 840). Our accounting for equipment leases involves specific determinations under ASC 840, which may involve complex provisions and significant judgments. In accordance with ASC 840, we apply the following criteria to determine the nature of the lease (e.g., as an operating or sales type lease):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37" w:name="page38"/>
    <w:bookmarkEnd w:id="37"/>
    <w:p>
      <w:pPr>
        <w:ind w:right="20"/>
        <w:spacing w:after="0" w:line="246" w:lineRule="auto"/>
        <w:rPr>
          <w:sz w:val="20"/>
          <w:szCs w:val="20"/>
          <w:color w:val="auto"/>
        </w:rPr>
      </w:pPr>
      <w:r>
        <w:rPr>
          <w:rFonts w:ascii="Arial" w:cs="Arial" w:eastAsia="Arial" w:hAnsi="Arial"/>
          <w:sz w:val="18"/>
          <w:szCs w:val="18"/>
          <w:color w:val="auto"/>
        </w:rPr>
        <w:t>site, if installation is required. Revenues from equipment rentals under operating leases are recognized as earned over the lease term, which is generally on a straight-line basis.</w:t>
      </w:r>
    </w:p>
    <w:p>
      <w:pPr>
        <w:spacing w:after="0" w:line="18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90"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20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When estimates of total costs to be incurred on a performance obligation exceed total estimates of revenue to be earned, a provision for the entire loss on the performance obligation is recognized in the period the loss is determined. A one percent variance in our future cost estimates on open fixed-price contracts as of September 30, 2018 would change our loss before income taxes by an insignificant amount.</w:t>
      </w:r>
    </w:p>
    <w:p>
      <w:pPr>
        <w:spacing w:after="0" w:line="192"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have elected the practical expedient not to adjust the promised amount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ind w:right="20"/>
        <w:spacing w:after="0" w:line="246" w:lineRule="auto"/>
        <w:rPr>
          <w:sz w:val="20"/>
          <w:szCs w:val="20"/>
          <w:color w:val="auto"/>
        </w:rPr>
      </w:pPr>
      <w:r>
        <w:rPr>
          <w:rFonts w:ascii="Arial" w:cs="Arial" w:eastAsia="Arial" w:hAnsi="Arial"/>
          <w:sz w:val="18"/>
          <w:szCs w:val="18"/>
          <w:color w:val="auto"/>
        </w:rPr>
        <w:t>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83"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costs to obtain or fulfill contract</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Under ASC 340-40, Other Assets and Deferred Costs – Contracts with Customers, we recognize an asset from the incremental costs of obtaining a contract with a customer, if we expect to recover those costs. The incremental costs of obtaining a contract are those costs that we incur to obtain a contract with a customer that we would not have incurred if the contract had not been obtained. ASC 340-40 also requires the recognition of an asset from the costs incurred to fulfill a contract when (1) the costs relate directly to a contract or to an anticipated contract that we can specifically identify, (2) the costs generate or enhance our resources that will be used in satisfying (or in continuing to satisfy) performance obligations in the future, and (3) the costs are expected to be recovered. We recognize an asset related to commission costs incurred primarily in our satellite services segment and recognize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we expense incremental costs immediately.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8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5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own three satellites in service: ViaSat-2 (our second-generation high-capacity Ka-band spot-beam satellite, which was placed into service in the fourth quarter of fiscal year 2018), ViaSat-1 (our first-generation high-capacity Ka-band spot-beam satellite, which was placed into service in January 2012) and WildBlue-1 (which was placed into service in March 2007). We currently have two third-generation ViaSat-3 class satellites under construction.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six months ended September 30, 2018 and 2017.</w:t>
      </w:r>
    </w:p>
    <w:p>
      <w:pPr>
        <w:spacing w:after="0" w:line="154"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5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49"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Based on our qualitative assessment performed during the fourth quarter of fiscal year 2018, we concluded that it was more likely than not that the estimated fair value of our reporting units exceeded their carrying value as of March 31, 2018 and, therefore, determined it was not necessary to perform the two-step goodwill impairment test.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$29.0 million at March 31, 2018 to $31.5 million at September 30, 2018. The valuation allowance primarily relates to state net operating loss carryforwards and state research and development tax credit carryforwards.</w:t>
      </w:r>
    </w:p>
    <w:p>
      <w:pPr>
        <w:spacing w:after="0" w:line="154"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0" w:name="page41"/>
    <w:bookmarkEnd w:id="40"/>
    <w:p>
      <w:pPr>
        <w:ind w:right="120" w:firstLine="518"/>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23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36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5"/>
                <w:szCs w:val="15"/>
                <w:color w:val="auto"/>
              </w:rPr>
            </w:pPr>
          </w:p>
        </w:tc>
      </w:tr>
      <w:tr>
        <w:trPr>
          <w:trHeight w:val="156"/>
        </w:trPr>
        <w:tc>
          <w:tcPr>
            <w:tcW w:w="5100" w:type="dxa"/>
            <w:vAlign w:val="bottom"/>
          </w:tcPr>
          <w:p>
            <w:pPr>
              <w:spacing w:after="0"/>
              <w:rPr>
                <w:sz w:val="13"/>
                <w:szCs w:val="13"/>
                <w:color w:val="auto"/>
              </w:rPr>
            </w:pPr>
          </w:p>
        </w:tc>
        <w:tc>
          <w:tcPr>
            <w:tcW w:w="132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right"/>
              <w:ind w:right="220"/>
              <w:spacing w:after="0" w:line="156" w:lineRule="exact"/>
              <w:rPr>
                <w:sz w:val="20"/>
                <w:szCs w:val="20"/>
                <w:color w:val="auto"/>
              </w:rPr>
            </w:pPr>
            <w:r>
              <w:rPr>
                <w:rFonts w:ascii="Arial" w:cs="Arial" w:eastAsia="Arial" w:hAnsi="Arial"/>
                <w:sz w:val="14"/>
                <w:szCs w:val="14"/>
                <w:b w:val="1"/>
                <w:bCs w:val="1"/>
                <w:color w:val="auto"/>
              </w:rPr>
              <w:t>September 30,</w:t>
            </w:r>
          </w:p>
        </w:tc>
      </w:tr>
      <w:tr>
        <w:trPr>
          <w:trHeight w:val="175"/>
        </w:trPr>
        <w:tc>
          <w:tcPr>
            <w:tcW w:w="5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54.2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FF0FC"/>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(expense), net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r>
      <w:tr>
        <w:trPr>
          <w:trHeight w:val="20"/>
        </w:trPr>
        <w:tc>
          <w:tcPr>
            <w:tcW w:w="5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(6.6)</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(10.6)</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(6.4)</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Net loss attributable to Viasat, Inc.</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r>
    </w:tbl>
    <w:p>
      <w:pPr>
        <w:spacing w:after="0" w:line="234" w:lineRule="exact"/>
        <w:rPr>
          <w:sz w:val="20"/>
          <w:szCs w:val="20"/>
          <w:color w:val="auto"/>
        </w:rPr>
      </w:pPr>
    </w:p>
    <w:p>
      <w:pPr>
        <w:ind w:right="4060"/>
        <w:spacing w:after="0" w:line="350" w:lineRule="auto"/>
        <w:rPr>
          <w:sz w:val="20"/>
          <w:szCs w:val="20"/>
          <w:color w:val="auto"/>
        </w:rPr>
      </w:pPr>
      <w:r>
        <w:rPr>
          <w:rFonts w:ascii="Arial" w:cs="Arial" w:eastAsia="Arial" w:hAnsi="Arial"/>
          <w:sz w:val="18"/>
          <w:szCs w:val="18"/>
          <w:b w:val="1"/>
          <w:bCs w:val="1"/>
          <w:color w:val="auto"/>
        </w:rPr>
        <w:t xml:space="preserve">Three Months Ended September 30, 2018 vs. Three Months Ended September 30, 2017 </w:t>
      </w:r>
      <w:r>
        <w:rPr>
          <w:rFonts w:ascii="Arial" w:cs="Arial" w:eastAsia="Arial" w:hAnsi="Arial"/>
          <w:sz w:val="18"/>
          <w:szCs w:val="18"/>
          <w:i w:val="1"/>
          <w:iCs w:val="1"/>
          <w:color w:val="auto"/>
        </w:rPr>
        <w:t>Revenues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54.3%</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12.2%</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517.5</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31.6%</w:t>
            </w:r>
          </w:p>
        </w:tc>
      </w:tr>
    </w:tbl>
    <w:p>
      <w:pPr>
        <w:spacing w:after="0" w:line="202" w:lineRule="exact"/>
        <w:rPr>
          <w:sz w:val="20"/>
          <w:szCs w:val="20"/>
          <w:color w:val="auto"/>
        </w:rPr>
      </w:pPr>
    </w:p>
    <w:p>
      <w:pPr>
        <w:ind w:right="460" w:firstLine="518"/>
        <w:spacing w:after="0" w:line="234" w:lineRule="auto"/>
        <w:rPr>
          <w:sz w:val="20"/>
          <w:szCs w:val="20"/>
          <w:color w:val="auto"/>
        </w:rPr>
      </w:pPr>
      <w:r>
        <w:rPr>
          <w:rFonts w:ascii="Arial" w:cs="Arial" w:eastAsia="Arial" w:hAnsi="Arial"/>
          <w:sz w:val="18"/>
          <w:szCs w:val="18"/>
          <w:color w:val="auto"/>
        </w:rPr>
        <w:t>Our total revenues grew by $124.4 million as a result of a $98.7 million increase in product revenues and a $25.7 million increase in service revenues. The product revenue increase was driven by increases of $56.8 million in our commercial networks segment and</w:t>
      </w:r>
    </w:p>
    <w:p>
      <w:pPr>
        <w:spacing w:after="0" w:line="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$42.0 million in our government systems segment. The service revenue increase was due to increases of $15.6 million in our satellite services segment, $8.7 million in our government systems segment and $1.4 million in our commercial networks segment.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c>
          <w:tcPr>
            <w:tcW w:w="58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18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62.0%</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29.4%</w:t>
            </w: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18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392.1</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45.6%</w:t>
            </w:r>
          </w:p>
        </w:tc>
        <w:tc>
          <w:tcPr>
            <w:tcW w:w="58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41" w:name="page42"/>
    <w:bookmarkEnd w:id="41"/>
    <w:p>
      <w:pPr>
        <w:ind w:right="180" w:firstLine="518"/>
        <w:spacing w:after="0" w:line="236" w:lineRule="auto"/>
        <w:rPr>
          <w:sz w:val="20"/>
          <w:szCs w:val="20"/>
          <w:color w:val="auto"/>
        </w:rPr>
      </w:pPr>
      <w:r>
        <w:rPr>
          <w:rFonts w:ascii="Arial" w:cs="Arial" w:eastAsia="Arial" w:hAnsi="Arial"/>
          <w:sz w:val="18"/>
          <w:szCs w:val="18"/>
          <w:color w:val="auto"/>
        </w:rPr>
        <w:t>Cost of revenues increased by $122.9 million due to increases of $83.1 million in cost of product revenues and $39.8 million in cost of service revenues. The cost of product revenue increase was partially due to increased revenues, mainly from our mobile broadband satellite communication systems products in our commercial networks segment and tactical data link products in our government systems segment, causing a $72.6 million increase in cost of product revenues on a constant margin basis. Additionally, cost of product revenues increased due to lower margins, primarily from our cybersecurity and information assurance products and government satellite communication systems and products in our government systems segment. The cost of service revenue increase partially related to lower margins for fixed broadband services in our satellite services segment, primarily due to the ViaSat-2 service launch in the fourth quarter of fiscal year 2018. Cost of service revenues also increased due to increased service revenues, mainly from fixed broadband services and in-flight internet services, causing a $16.5 million increase in service revenues on a constant margin basis.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88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90.1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w:t>
            </w:r>
          </w:p>
        </w:tc>
      </w:tr>
    </w:tbl>
    <w:p>
      <w:pPr>
        <w:spacing w:after="0" w:line="202"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The $23.0 million increase in selling, general and administrative (SG&amp;A) expenses reflected an increase in selling costs of $12.8 million, primarily due to an increase in our satellite services segment as a result of the ViaSat-2 service launch in the fourth quarter of fiscal year 2018 and a $9.5 million increase in support costs spread across all three segments. SG&amp;A expenses consisted primarily of personnel costs and expenses for business development, marketing and sales, bid and proposal, facilities, finance, contract administration and general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90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46.3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(14.9)</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w:t>
            </w:r>
          </w:p>
        </w:tc>
      </w:tr>
    </w:tbl>
    <w:p>
      <w:pPr>
        <w:spacing w:after="0" w:line="202"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The $14.9 million decrease in IR&amp;D expenses was primarily the result of a decrease of $15.4 million in IR&amp;D efforts in our commercial networks segment (primarily related to a decrease in IR&amp;D expenses related to next-generation satellite payload technologies for our ViaSat-3 class satellites, as the first two ViaSat-3 class satellites have entered the phase of full construction, and mobile broadband satellite communication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81"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insignificant decrease in amortization of acquired intangible assets in the second quarter of fiscal year 2019 compared to the prior year period was primarily the result of certain acquired customer relationship intangibles in our satellite services segment becoming fully amortized over the preceding twelve months.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Amortization</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2018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4,888</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2019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4,602</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2300"/>
              <w:spacing w:after="0"/>
              <w:rPr>
                <w:sz w:val="20"/>
                <w:szCs w:val="20"/>
                <w:color w:val="auto"/>
              </w:rPr>
            </w:pPr>
            <w:r>
              <w:rPr>
                <w:rFonts w:ascii="Arial" w:cs="Arial" w:eastAsia="Arial" w:hAnsi="Arial"/>
                <w:sz w:val="18"/>
                <w:szCs w:val="18"/>
                <w:color w:val="auto"/>
              </w:rPr>
              <w:t>Expected for fiscal year 2020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7,556</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2300"/>
              <w:spacing w:after="0"/>
              <w:rPr>
                <w:sz w:val="20"/>
                <w:szCs w:val="20"/>
                <w:color w:val="auto"/>
              </w:rPr>
            </w:pPr>
            <w:r>
              <w:rPr>
                <w:rFonts w:ascii="Arial" w:cs="Arial" w:eastAsia="Arial" w:hAnsi="Arial"/>
                <w:sz w:val="18"/>
                <w:szCs w:val="18"/>
                <w:color w:val="auto"/>
              </w:rPr>
              <w:t>Expected for fiscal year 2022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3,335</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2300"/>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2,391</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4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26,072</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jc w:val="right"/>
              <w:ind w:right="1030"/>
              <w:spacing w:after="0"/>
              <w:rPr>
                <w:sz w:val="20"/>
                <w:szCs w:val="20"/>
                <w:color w:val="auto"/>
              </w:rPr>
            </w:pPr>
            <w:r>
              <w:rPr>
                <w:rFonts w:ascii="Arial" w:cs="Arial" w:eastAsia="Arial" w:hAnsi="Arial"/>
                <w:sz w:val="18"/>
                <w:szCs w:val="18"/>
                <w:color w:val="auto"/>
              </w:rPr>
              <w:t>42</w:t>
            </w: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9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30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Interest income</w:t>
      </w:r>
    </w:p>
    <w:p>
      <w:pPr>
        <w:spacing w:after="0" w:line="95" w:lineRule="exact"/>
        <w:rPr>
          <w:sz w:val="20"/>
          <w:szCs w:val="20"/>
          <w:color w:val="auto"/>
        </w:rPr>
      </w:pPr>
    </w:p>
    <w:p>
      <w:pPr>
        <w:ind w:right="40" w:firstLine="518"/>
        <w:spacing w:after="0" w:line="246" w:lineRule="auto"/>
        <w:rPr>
          <w:sz w:val="20"/>
          <w:szCs w:val="20"/>
          <w:color w:val="auto"/>
        </w:rPr>
      </w:pPr>
      <w:r>
        <w:rPr>
          <w:rFonts w:ascii="Arial" w:cs="Arial" w:eastAsia="Arial" w:hAnsi="Arial"/>
          <w:sz w:val="18"/>
          <w:szCs w:val="18"/>
          <w:color w:val="auto"/>
        </w:rPr>
        <w:t>The slight decrease in interest income for the three months ended September 30, 2018 compared to the prior year period was the result of lower average invested cash balances during the second quarter of fiscal year 2019 compared to the prior year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81" w:lineRule="exact"/>
        <w:rPr>
          <w:sz w:val="20"/>
          <w:szCs w:val="20"/>
          <w:color w:val="auto"/>
        </w:rPr>
      </w:pPr>
    </w:p>
    <w:p>
      <w:pPr>
        <w:jc w:val="both"/>
        <w:ind w:right="80" w:firstLine="518"/>
        <w:spacing w:after="0" w:line="238" w:lineRule="auto"/>
        <w:rPr>
          <w:sz w:val="20"/>
          <w:szCs w:val="20"/>
          <w:color w:val="auto"/>
        </w:rPr>
      </w:pPr>
      <w:r>
        <w:rPr>
          <w:rFonts w:ascii="Arial" w:cs="Arial" w:eastAsia="Arial" w:hAnsi="Arial"/>
          <w:sz w:val="18"/>
          <w:szCs w:val="18"/>
          <w:color w:val="auto"/>
        </w:rPr>
        <w:t>The $13.9 million increase in interest expense for the three months ended September 30, 2018 compared to the prior year period was primarily due to a decrease of $8.6 million in the amount of interest capitalized during the second quarter of fiscal year 2019 compared to the prior year period. Capitalized interest expense during the three months ended September 30, 2018 related to the construction of our ViaSat-3 class satellites, gateway and networking equipment and other assets. Capitalized interest expense during the three months ended September 30, 2017 related to the construction of our ViaSat-2 satellite, ViaSat-3 class satellites, gateway and networking equipment and other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81"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For the three months ended September 30, 2018, we recorded an income tax benefit of $9.7 million, resulting in an effective tax benefit rate of 27.2%. For the three months ended September 30, 2017, we recorded an income tax benefit of $ 11.5 million, resulting in an effective tax benefit rate of 43.9%. The effective tax rates for the periods differed from the U.S. statutory rate due primarily to the benefit of research and development tax credits.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30, 2018 vs. Three Months Ended September 30, 2017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10.4%</w:t>
            </w:r>
          </w:p>
        </w:tc>
      </w:tr>
    </w:tbl>
    <w:p>
      <w:pPr>
        <w:spacing w:after="0" w:line="202"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satellite services segment revenues increased by $15.4 million primarily as a result of a $15.6 million increase in service revenues. The increase in service revenues was primarily driven by fixed broadband services and the expansion of our in-flight internet services. The fixed broadband service revenue increase was driven by higher average revenue per fixed broadband subscriber in the United States when compared to the same period last fiscal year, reflecting a higher mix of new and existing subscribers choosing Viasat’s premium highest speed plans. This increase was partially offset by a slight decrease in total subscribers of our fixed broadband services year-over-year, with approximately 585,000 subscribers at September 30, 2018 compared to 589,000 subscribers at September 30, 2017. As of September 30, 2018, 898 commercial aircraft were in service utilizing our IFC systems, compared to 576 commercial aircraft in service as of September 30,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80" w:type="dxa"/>
            <w:vAlign w:val="bottom"/>
            <w:gridSpan w:val="3"/>
          </w:tcPr>
          <w:p>
            <w:pPr>
              <w:jc w:val="center"/>
              <w:ind w:right="260"/>
              <w:spacing w:after="0" w:line="156"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 profit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(24.8)</w:t>
            </w:r>
          </w:p>
        </w:tc>
        <w:tc>
          <w:tcPr>
            <w:tcW w:w="76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12.6</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(37.5)</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(296.9)%</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decrease in our satellite services segment operating profit was driven primarily by lower earnings contributions of $19.8 million, primarily due to lower margins related to in-flight internet services and fixed broadband services due to the ramp-up of large-scale IFC services to commercial airlines and the ViaSat-2 service launch in the fourth quarter of fiscal year 2018. The decrease in operating profit was further impacted by higher selling costs of $13.3 million due to the promotion of our fixed broadband services following the ViaSat-2 service launch in the fourth quarter of fiscal year 2018.</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91"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88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47.3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120.1%</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15.8%</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88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56.3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103.5%</w:t>
            </w:r>
          </w:p>
        </w:tc>
      </w:tr>
    </w:tbl>
    <w:p>
      <w:pPr>
        <w:spacing w:after="0" w:line="202" w:lineRule="exact"/>
        <w:rPr>
          <w:sz w:val="20"/>
          <w:szCs w:val="20"/>
          <w:color w:val="auto"/>
        </w:rPr>
      </w:pPr>
    </w:p>
    <w:p>
      <w:pPr>
        <w:ind w:right="220" w:firstLine="518"/>
        <w:spacing w:after="0"/>
        <w:rPr>
          <w:sz w:val="20"/>
          <w:szCs w:val="20"/>
          <w:color w:val="auto"/>
        </w:rPr>
      </w:pPr>
      <w:r>
        <w:rPr>
          <w:rFonts w:ascii="Arial" w:cs="Arial" w:eastAsia="Arial" w:hAnsi="Arial"/>
          <w:sz w:val="18"/>
          <w:szCs w:val="18"/>
          <w:color w:val="auto"/>
        </w:rPr>
        <w:t>Our commercial networks segment revenues increased by $ 58.3 million, primarily due to a $56.8 million increase in product revenues. The increase in product revenues was primarily due to an increase of $48.2 million in mobile broadband satellite communication systems products and $12.7 million in antenna systems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(39.2)</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(59.4)</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$20.2 million decrease in our commercial networks segment operating loss was driven primarily by a $15.4 million decrease in IR&amp;D expenses related to next-generation satellite payload technologies for our ViaSat-3 class satellites, as the first two ViaSat-3 class satellites have entered the phase of full construction, and mobile broadband satellite communication systems. In addition, we experienced higher earnings contributions of $6.6 million, primarily due to increased revenues and improved margins in our mobile broadband satellite communication systems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31.3%</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15.9%</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26.8%</w:t>
            </w:r>
          </w:p>
        </w:tc>
      </w:tr>
    </w:tbl>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government systems segment revenues increased by $50.8 million due to increases of $42.0 million in product revenues and</w:t>
      </w:r>
    </w:p>
    <w:p>
      <w:pPr>
        <w:spacing w:after="0" w:line="234" w:lineRule="auto"/>
        <w:rPr>
          <w:sz w:val="20"/>
          <w:szCs w:val="20"/>
          <w:color w:val="auto"/>
        </w:rPr>
      </w:pPr>
      <w:r>
        <w:rPr>
          <w:rFonts w:ascii="Arial" w:cs="Arial" w:eastAsia="Arial" w:hAnsi="Arial"/>
          <w:sz w:val="18"/>
          <w:szCs w:val="18"/>
          <w:color w:val="auto"/>
        </w:rPr>
        <w:t>$8.7 million in service revenues. The product revenue increase was due to a $23.5 million increase in tactical data link products, a $7.3 million</w:t>
      </w:r>
    </w:p>
    <w:p>
      <w:pPr>
        <w:spacing w:after="0" w:line="235" w:lineRule="auto"/>
        <w:rPr>
          <w:sz w:val="20"/>
          <w:szCs w:val="20"/>
          <w:color w:val="auto"/>
        </w:rPr>
      </w:pPr>
      <w:r>
        <w:rPr>
          <w:rFonts w:ascii="Arial" w:cs="Arial" w:eastAsia="Arial" w:hAnsi="Arial"/>
          <w:sz w:val="18"/>
          <w:szCs w:val="18"/>
          <w:color w:val="auto"/>
        </w:rPr>
        <w:t>increase in government satellite communications systems products, a $7.0 million increase in tactical satcom radio products and a $5.5 million</w:t>
      </w:r>
    </w:p>
    <w:p>
      <w:pPr>
        <w:spacing w:after="0" w:line="235" w:lineRule="auto"/>
        <w:rPr>
          <w:sz w:val="20"/>
          <w:szCs w:val="20"/>
          <w:color w:val="auto"/>
        </w:rPr>
      </w:pPr>
      <w:r>
        <w:rPr>
          <w:rFonts w:ascii="Arial" w:cs="Arial" w:eastAsia="Arial" w:hAnsi="Arial"/>
          <w:sz w:val="18"/>
          <w:szCs w:val="18"/>
          <w:color w:val="auto"/>
        </w:rPr>
        <w:t>increase in government mobile broadband products. The service revenue increase was primarily due to a $4.8 million increase in government</w:t>
      </w:r>
    </w:p>
    <w:p>
      <w:pPr>
        <w:spacing w:after="0" w:line="235" w:lineRule="auto"/>
        <w:rPr>
          <w:sz w:val="20"/>
          <w:szCs w:val="20"/>
          <w:color w:val="auto"/>
        </w:rPr>
      </w:pPr>
      <w:r>
        <w:rPr>
          <w:rFonts w:ascii="Arial" w:cs="Arial" w:eastAsia="Arial" w:hAnsi="Arial"/>
          <w:sz w:val="18"/>
          <w:szCs w:val="18"/>
          <w:color w:val="auto"/>
        </w:rPr>
        <w:t>mobile broadband services, a $1.8 million increase in tactical data link services and a $1.3 million increase in government satellite</w:t>
      </w:r>
    </w:p>
    <w:p>
      <w:pPr>
        <w:spacing w:after="0"/>
        <w:rPr>
          <w:sz w:val="20"/>
          <w:szCs w:val="20"/>
          <w:color w:val="auto"/>
        </w:rPr>
      </w:pPr>
      <w:r>
        <w:rPr>
          <w:rFonts w:ascii="Arial" w:cs="Arial" w:eastAsia="Arial" w:hAnsi="Arial"/>
          <w:sz w:val="18"/>
          <w:szCs w:val="18"/>
          <w:color w:val="auto"/>
        </w:rPr>
        <w:t>communication systems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26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60" w:type="dxa"/>
            <w:vAlign w:val="bottom"/>
            <w:gridSpan w:val="3"/>
          </w:tcPr>
          <w:p>
            <w:pPr>
              <w:jc w:val="center"/>
              <w:ind w:right="24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34.2</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260" w:firstLine="518"/>
        <w:spacing w:after="0"/>
        <w:rPr>
          <w:sz w:val="20"/>
          <w:szCs w:val="20"/>
          <w:color w:val="auto"/>
        </w:rPr>
      </w:pPr>
      <w:r>
        <w:rPr>
          <w:rFonts w:ascii="Arial" w:cs="Arial" w:eastAsia="Arial" w:hAnsi="Arial"/>
          <w:sz w:val="18"/>
          <w:szCs w:val="18"/>
          <w:color w:val="auto"/>
        </w:rPr>
        <w:t>The $10.7 million increase in our government systems segment operating profit was primarily due to higher earnings contributions of $14.8 million, due primarily to an increase in revenues and improved margins from our tactical data link products. This increase was partially offset by higher SG&amp;A costs of $3.5 million.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4" w:name="page45"/>
    <w:bookmarkEnd w:id="44"/>
    <w:p>
      <w:pPr>
        <w:ind w:right="4500"/>
        <w:spacing w:after="0" w:line="365" w:lineRule="auto"/>
        <w:rPr>
          <w:sz w:val="20"/>
          <w:szCs w:val="20"/>
          <w:color w:val="auto"/>
        </w:rPr>
      </w:pPr>
      <w:r>
        <w:rPr>
          <w:rFonts w:ascii="Arial" w:cs="Arial" w:eastAsia="Arial" w:hAnsi="Arial"/>
          <w:sz w:val="18"/>
          <w:szCs w:val="18"/>
          <w:b w:val="1"/>
          <w:bCs w:val="1"/>
          <w:color w:val="auto"/>
        </w:rPr>
        <w:t xml:space="preserve">Six Months Ended September 30, 2018 vs. Six Months Ended September 30, 2017 </w:t>
      </w:r>
      <w:r>
        <w:rPr>
          <w:rFonts w:ascii="Arial" w:cs="Arial" w:eastAsia="Arial" w:hAnsi="Arial"/>
          <w:sz w:val="18"/>
          <w:szCs w:val="18"/>
          <w:i w:val="1"/>
          <w:iCs w:val="1"/>
          <w:color w:val="auto"/>
        </w:rPr>
        <w:t>Revenues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43.3%</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7.7%</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956.3</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23.7%</w:t>
            </w:r>
          </w:p>
        </w:tc>
      </w:tr>
    </w:tbl>
    <w:p>
      <w:pPr>
        <w:spacing w:after="0" w:line="202" w:lineRule="exact"/>
        <w:rPr>
          <w:sz w:val="20"/>
          <w:szCs w:val="20"/>
          <w:color w:val="auto"/>
        </w:rPr>
      </w:pPr>
    </w:p>
    <w:p>
      <w:pPr>
        <w:ind w:right="360" w:firstLine="518"/>
        <w:spacing w:after="0" w:line="234" w:lineRule="auto"/>
        <w:rPr>
          <w:sz w:val="20"/>
          <w:szCs w:val="20"/>
          <w:color w:val="auto"/>
        </w:rPr>
      </w:pPr>
      <w:r>
        <w:rPr>
          <w:rFonts w:ascii="Arial" w:cs="Arial" w:eastAsia="Arial" w:hAnsi="Arial"/>
          <w:sz w:val="18"/>
          <w:szCs w:val="18"/>
          <w:color w:val="auto"/>
        </w:rPr>
        <w:t>Our total revenues grew by $183.2 million as a result of a $150.7 million increase in product revenues and a $32.6 million increase in service revenues. The product revenue increase was driven by increases of $105.5 million in our commercial networks segment and</w:t>
      </w:r>
    </w:p>
    <w:p>
      <w:pPr>
        <w:spacing w:after="0" w:line="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$45.6 million in our government systems segment. The service revenue increase was due to increases of $17.2 million in our satellite services segment, $12.8 million in our government systems segment and $2.6 million in our commercial networks segment.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52.2%</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26.9%</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39.1%</w:t>
            </w:r>
          </w:p>
        </w:tc>
      </w:tr>
    </w:tbl>
    <w:p>
      <w:pPr>
        <w:spacing w:after="0" w:line="202"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Cost of revenues increased by $207.3 million due to increases of $133.9 million in cost of product revenues and $73.4 million in cost of service revenues. The cost of product revenue increase was primarily due to increased revenues, mainly from our mobile broadband satellite communication systems products in our commercial networks segment and tactical data link products in our government systems segment, causing a $111.1 million increase in cost of product revenues on a constant margin basis. Additionally, cost of product revenues increased due to lower margins, primarily from our government satellite communication systems and products and cybersecurity and information assurance products in our government systems segment. The cost of service revenue increase mainly related to lower margins for fixed broadband services and IFC services in our satellite services segment, primarily due to the ViaSat-2 service launch in the fourth quarter of fiscal year 2018 and the ramp-up of large-scale IFC services to commercial airlines. Additionally, cost of service revenues increased due to increased revenues, mainly from our fixed broadband services and in-flight internet services, causing a $20.9 million increase in cost of service revenues on a constant margin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w:t>
            </w:r>
          </w:p>
        </w:tc>
      </w:tr>
    </w:tbl>
    <w:p>
      <w:pPr>
        <w:spacing w:after="0" w:line="202"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The $46.5 million increase in SG&amp;A expenses reflected an increase in selling costs of $23.3 million, primarily due to an increase in our satellite services segment due to the ViaSat-2 service launch in the fourth quarter of fiscal year 2018, and an increase in support costs of $20.5 million. The increase in support costs was reflected in all three segments, however we experienced the largest increase from our satellite services segment, mainly due to the higher employee-related costs supporting the ViaSat-2 service launch. SG&amp;A expenses consisted primarily of personnel costs and expenses for business development, marketing and sales, bid and proposal, facilities, finance, contract administration and general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c>
          <w:tcPr>
            <w:tcW w:w="58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132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90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91.3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(26.6)</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(29.1)%</w:t>
            </w:r>
          </w:p>
        </w:tc>
        <w:tc>
          <w:tcPr>
            <w:tcW w:w="58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20" w:type="dxa"/>
            <w:vAlign w:val="bottom"/>
            <w:gridSpan w:val="3"/>
          </w:tcPr>
          <w:p>
            <w:pPr>
              <w:jc w:val="right"/>
              <w:ind w:right="108"/>
              <w:spacing w:after="0"/>
              <w:rPr>
                <w:sz w:val="20"/>
                <w:szCs w:val="20"/>
                <w:color w:val="auto"/>
              </w:rPr>
            </w:pPr>
            <w:r>
              <w:rPr>
                <w:rFonts w:ascii="Arial" w:cs="Arial" w:eastAsia="Arial" w:hAnsi="Arial"/>
                <w:sz w:val="18"/>
                <w:szCs w:val="18"/>
                <w:color w:val="auto"/>
              </w:rPr>
              <w:t>45</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45" w:name="page46"/>
    <w:bookmarkEnd w:id="45"/>
    <w:p>
      <w:pPr>
        <w:ind w:right="140" w:firstLine="518"/>
        <w:spacing w:after="0" w:line="239" w:lineRule="auto"/>
        <w:rPr>
          <w:sz w:val="20"/>
          <w:szCs w:val="20"/>
          <w:color w:val="auto"/>
        </w:rPr>
      </w:pPr>
      <w:r>
        <w:rPr>
          <w:rFonts w:ascii="Arial" w:cs="Arial" w:eastAsia="Arial" w:hAnsi="Arial"/>
          <w:sz w:val="18"/>
          <w:szCs w:val="18"/>
          <w:color w:val="auto"/>
        </w:rPr>
        <w:t>The $26.6 million decrease in IR&amp;D expenses was primarily the result of a decrease of $27.9 million in IR&amp;D efforts in our commercial networks segment (primarily related to a decrease in IR&amp;D expenses related to next-generation satellite payload technologies for our ViaSat-3 class satellites, as the first two ViaSat-3 class satellites have entered the phase of full construction, and mobile broadband satellite communication systems).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$1.7 million decrease in amortization of acquired intangible assets in the first six months of fiscal year 2019 compared to the prior year period was primarily the result of certain acquired customer relationship intangibles in our satellite services segment becoming fully amortized over the preceding twelve months.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r>
      <w:tr>
        <w:trPr>
          <w:trHeight w:val="169"/>
        </w:trPr>
        <w:tc>
          <w:tcPr>
            <w:tcW w:w="60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For the six months ended September 30, 2018</w:t>
            </w:r>
          </w:p>
        </w:tc>
        <w:tc>
          <w:tcPr>
            <w:tcW w:w="2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w:t>
            </w: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2019</w:t>
            </w:r>
          </w:p>
        </w:tc>
        <w:tc>
          <w:tcPr>
            <w:tcW w:w="2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4,602</w:t>
            </w: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7,556</w:t>
            </w:r>
          </w:p>
        </w:tc>
        <w:tc>
          <w:tcPr>
            <w:tcW w:w="12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2021</w:t>
            </w:r>
          </w:p>
        </w:tc>
        <w:tc>
          <w:tcPr>
            <w:tcW w:w="2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for fiscal year 2022</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3,335</w:t>
            </w:r>
          </w:p>
        </w:tc>
        <w:tc>
          <w:tcPr>
            <w:tcW w:w="12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2023</w:t>
            </w:r>
          </w:p>
        </w:tc>
        <w:tc>
          <w:tcPr>
            <w:tcW w:w="2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w:t>
            </w:r>
          </w:p>
        </w:tc>
        <w:tc>
          <w:tcPr>
            <w:tcW w:w="120" w:type="dxa"/>
            <w:vAlign w:val="bottom"/>
            <w:shd w:val="clear" w:color="auto" w:fill="CFF0FC"/>
          </w:tcPr>
          <w:p>
            <w:pPr>
              <w:spacing w:after="0"/>
              <w:rPr>
                <w:sz w:val="18"/>
                <w:szCs w:val="18"/>
                <w:color w:val="auto"/>
              </w:rPr>
            </w:pPr>
          </w:p>
        </w:tc>
      </w:tr>
      <w:tr>
        <w:trPr>
          <w:trHeight w:val="216"/>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Borders>
              <w:bottom w:val="single" w:sz="8" w:color="CFF0FC"/>
            </w:tcBorders>
          </w:tcPr>
          <w:p>
            <w:pPr>
              <w:spacing w:after="0"/>
              <w:rPr>
                <w:sz w:val="18"/>
                <w:szCs w:val="18"/>
                <w:color w:val="auto"/>
              </w:rPr>
            </w:pPr>
          </w:p>
        </w:tc>
      </w:tr>
      <w:tr>
        <w:trPr>
          <w:trHeight w:val="210"/>
        </w:trPr>
        <w:tc>
          <w:tcPr>
            <w:tcW w:w="6060" w:type="dxa"/>
            <w:vAlign w:val="bottom"/>
            <w:shd w:val="clear" w:color="auto" w:fill="CFF0FC"/>
          </w:tcPr>
          <w:p>
            <w:pPr>
              <w:spacing w:after="0"/>
              <w:rPr>
                <w:sz w:val="18"/>
                <w:szCs w:val="18"/>
                <w:color w:val="auto"/>
              </w:rPr>
            </w:pPr>
          </w:p>
        </w:tc>
        <w:tc>
          <w:tcPr>
            <w:tcW w:w="2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26,072</w:t>
            </w:r>
          </w:p>
        </w:tc>
        <w:tc>
          <w:tcPr>
            <w:tcW w:w="120" w:type="dxa"/>
            <w:vAlign w:val="bottom"/>
            <w:shd w:val="clear" w:color="auto" w:fill="CFF0FC"/>
          </w:tcPr>
          <w:p>
            <w:pPr>
              <w:spacing w:after="0"/>
              <w:rPr>
                <w:sz w:val="18"/>
                <w:szCs w:val="18"/>
                <w:color w:val="auto"/>
              </w:rPr>
            </w:pP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right="100" w:firstLine="518"/>
        <w:spacing w:after="0" w:line="246" w:lineRule="auto"/>
        <w:rPr>
          <w:sz w:val="20"/>
          <w:szCs w:val="20"/>
          <w:color w:val="auto"/>
        </w:rPr>
      </w:pPr>
      <w:r>
        <w:rPr>
          <w:rFonts w:ascii="Arial" w:cs="Arial" w:eastAsia="Arial" w:hAnsi="Arial"/>
          <w:sz w:val="18"/>
          <w:szCs w:val="18"/>
          <w:color w:val="auto"/>
        </w:rPr>
        <w:t>The slight decrease in interest income for the six months ended September 30, 2018 compared to the prior year period was the result of lower average invested cash balances during the first six months of fiscal year 2019 compared to the prior year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5"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The $25.1 million increase in interest expense in the six months ended September 30, 2018 compared to the prior year period was primarily due to a decrease of $17.0 million in the amount of interest capitalized during the first six months of fiscal year 2019 compared to the prior year period. Capitalized interest expense during the six months ended September 30, 2018 related to the construction of our ViaSat-3 class satellites, gateway and networking equipment and other assets. Capitalized interest expense during the six months ended September 30, 2017 related to the construction of our ViaSat-2 satellite, ViaSat-3 class satellites, gateway and networking equipment and other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81"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For the six months ended September 30, 2018, we recorded an income tax benefit of $38.9 million, resulting in an effective tax benefit rate of 38.4%. For the six months ended September 30, 2017, we recorded an income tax benefit of $20.6 million, resulting in an effective tax benefit rate of 46.9%. The effective tax rates for the periods differed from the U.S. statutory rate due primarily to the benefit of research and development tax credits.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September 30, 2018 vs. Six Months Ended September 30,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c>
          <w:tcPr>
            <w:tcW w:w="58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78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4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78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80" w:type="dxa"/>
            <w:vAlign w:val="bottom"/>
            <w:gridSpan w:val="3"/>
          </w:tcPr>
          <w:p>
            <w:pPr>
              <w:jc w:val="right"/>
              <w:ind w:right="108"/>
              <w:spacing w:after="0"/>
              <w:rPr>
                <w:sz w:val="20"/>
                <w:szCs w:val="20"/>
                <w:color w:val="auto"/>
              </w:rPr>
            </w:pPr>
            <w:r>
              <w:rPr>
                <w:rFonts w:ascii="Arial" w:cs="Arial" w:eastAsia="Arial" w:hAnsi="Arial"/>
                <w:sz w:val="18"/>
                <w:szCs w:val="18"/>
                <w:color w:val="auto"/>
              </w:rPr>
              <w:t>46</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6" w:name="page47"/>
    <w:bookmarkEnd w:id="46"/>
    <w:p>
      <w:pPr>
        <w:ind w:right="80" w:firstLine="518"/>
        <w:spacing w:after="0" w:line="237" w:lineRule="auto"/>
        <w:rPr>
          <w:sz w:val="20"/>
          <w:szCs w:val="20"/>
          <w:color w:val="auto"/>
        </w:rPr>
      </w:pPr>
      <w:r>
        <w:rPr>
          <w:rFonts w:ascii="Arial" w:cs="Arial" w:eastAsia="Arial" w:hAnsi="Arial"/>
          <w:sz w:val="18"/>
          <w:szCs w:val="18"/>
          <w:color w:val="auto"/>
        </w:rPr>
        <w:t>Our satellite services segment revenues increased by $16.7 million primarily as a result of a $17.2 million increase in service revenues. The increase in service revenues was primarily driven by the expansion of our in-flight internet services and fixed broadband services. As of September 30, 2018, 898 commercial aircraft were in service utilizing our IFC systems, compared to 576 commercial aircraft in service as of September 30, 2017. The fixed broadband service revenue increase was driven by higher average revenue per fixed broadband subscriber in the United States when compared to the same period last fiscal year, reflecting a higher mix of new and existing subscribers choosing Viasat’s premium highest speed plans. This increase was partially offset by a slight decrease in total subscribers of our fixed broadband services year-over-year, with approximately 585,000 subscribers at September 30, 2018 compared to 589,000 subscribers at September 30, 2017.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80" w:type="dxa"/>
            <w:vAlign w:val="bottom"/>
            <w:gridSpan w:val="3"/>
          </w:tcPr>
          <w:p>
            <w:pPr>
              <w:jc w:val="center"/>
              <w:ind w:right="260"/>
              <w:spacing w:after="0" w:line="156"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 profit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(54.8)</w:t>
            </w:r>
          </w:p>
        </w:tc>
        <w:tc>
          <w:tcPr>
            <w:tcW w:w="76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31.5</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(86.2)</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(274.1)%</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decrease in our satellite services segment operating profit was driven primarily by lower earnings contributions of $51.2 million, primarily due to lower margins related to in-flight internet services and fixed broadband services due to the ramp-up of large-scale IFC services to commercial airlines and the ViaSat-2 service launch in the fourth quarter of fiscal year 2018. The decrease in operating profit was further impacted by higher selling costs of $23.5 million due to the promotion of our fixed broadband services following the ViaSat-2 service launch in the fourth quarter of fiscal year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125.8%</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14.6%</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106.5%</w:t>
            </w:r>
          </w:p>
        </w:tc>
      </w:tr>
    </w:tbl>
    <w:p>
      <w:pPr>
        <w:spacing w:after="0" w:line="202"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Our commercial networks segment revenues increased by $108.1 million, primarily due to a $105.5 million increase in product revenues. The increase in product revenues was primarily due to increases of $89.9 million in mobile broadband satellite communication systems products and $16.9 million in antenna systems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(86.2)</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(125.5)</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31.3%</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(123.6)%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$39.3 million decrease in our commercial networks segment operating loss was driven primarily by a $27.9 million decrease in IR&amp;D expenses related to next-generation satellite payload technologies for our ViaSat-3 class satellites, as the first two ViaSat-3 class satellites have entered the phase of full construction, and mobile broadband satellite communication systems. In addition, we experienced higher earnings contributions of $15.4 million, primarily due to increased revenues and improved margins in our mobile broadband satellite communication systems products.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309.2</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17.3%</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11.9%</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15.7%</w:t>
            </w:r>
          </w:p>
        </w:tc>
      </w:tr>
    </w:tbl>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government systems segment revenues increased by $58.4 million due to increases of $45.6 million in product revenues and</w:t>
      </w:r>
    </w:p>
    <w:p>
      <w:pPr>
        <w:spacing w:after="0" w:line="234" w:lineRule="auto"/>
        <w:rPr>
          <w:sz w:val="20"/>
          <w:szCs w:val="20"/>
          <w:color w:val="auto"/>
        </w:rPr>
      </w:pPr>
      <w:r>
        <w:rPr>
          <w:rFonts w:ascii="Arial" w:cs="Arial" w:eastAsia="Arial" w:hAnsi="Arial"/>
          <w:sz w:val="18"/>
          <w:szCs w:val="18"/>
          <w:color w:val="auto"/>
        </w:rPr>
        <w:t>$12.8 million in service revenues. The product revenue increase was due to a $42.1 million increase in tactical data link products. The service</w:t>
      </w:r>
    </w:p>
    <w:p>
      <w:pPr>
        <w:spacing w:after="0" w:line="235" w:lineRule="auto"/>
        <w:rPr>
          <w:sz w:val="20"/>
          <w:szCs w:val="20"/>
          <w:color w:val="auto"/>
        </w:rPr>
      </w:pPr>
      <w:r>
        <w:rPr>
          <w:rFonts w:ascii="Arial" w:cs="Arial" w:eastAsia="Arial" w:hAnsi="Arial"/>
          <w:sz w:val="18"/>
          <w:szCs w:val="18"/>
          <w:color w:val="auto"/>
        </w:rPr>
        <w:t>revenue increase was primarily due to a $5.7 million increase in government mobile broadband services, a $3.7 million increase in tactical data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link services and a $2.7 million in government satellite communication systems services.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26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60" w:type="dxa"/>
            <w:vAlign w:val="bottom"/>
            <w:gridSpan w:val="3"/>
          </w:tcPr>
          <w:p>
            <w:pPr>
              <w:jc w:val="center"/>
              <w:ind w:right="240"/>
              <w:spacing w:after="0" w:line="156"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69.8</w:t>
            </w:r>
          </w:p>
        </w:tc>
        <w:tc>
          <w:tcPr>
            <w:tcW w:w="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66.8</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340" w:firstLine="518"/>
        <w:spacing w:after="0"/>
        <w:rPr>
          <w:sz w:val="20"/>
          <w:szCs w:val="20"/>
          <w:color w:val="auto"/>
        </w:rPr>
      </w:pPr>
      <w:r>
        <w:rPr>
          <w:rFonts w:ascii="Arial" w:cs="Arial" w:eastAsia="Arial" w:hAnsi="Arial"/>
          <w:sz w:val="18"/>
          <w:szCs w:val="18"/>
          <w:color w:val="auto"/>
        </w:rPr>
        <w:t>The $3.0 million increase in our government systems segment operating profit was primarily due to higher earnings contributions of $11.8 million, due to an increase in revenues from our tactical data link products. This increase was partially offset by higher SG&amp;A costs of $7.4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right="740" w:firstLine="518"/>
        <w:spacing w:after="0" w:line="246" w:lineRule="auto"/>
        <w:rPr>
          <w:sz w:val="20"/>
          <w:szCs w:val="20"/>
          <w:color w:val="auto"/>
        </w:rPr>
      </w:pPr>
      <w:r>
        <w:rPr>
          <w:rFonts w:ascii="Arial" w:cs="Arial" w:eastAsia="Arial" w:hAnsi="Arial"/>
          <w:sz w:val="18"/>
          <w:szCs w:val="18"/>
          <w:color w:val="auto"/>
        </w:rPr>
        <w:t>As reflected in the table below, our overall firm and funded backlog increased during the first six months of fiscal year 2019. The increases in both firm and funded backlog were attributable to increases in all three of our segments.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3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2018</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553.0</w:t>
            </w:r>
          </w:p>
        </w:tc>
        <w:tc>
          <w:tcPr>
            <w:tcW w:w="1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7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1,911.7</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7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11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7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859.6</w:t>
            </w:r>
          </w:p>
        </w:tc>
        <w:tc>
          <w:tcPr>
            <w:tcW w:w="1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1,782.9</w:t>
            </w:r>
          </w:p>
        </w:tc>
        <w:tc>
          <w:tcPr>
            <w:tcW w:w="1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firm backlog does not include contract options. Of the $1.9 billion in firm backlog, a little over half is expected to be delivered during the next twelve months, with the balance delivered thereafter. We include in our backlog only those orders for which we have accepted purchase orders. Starting with the first quarter of fiscal year 2019, upon adoption of ASC 606, our backlog includes contracts with subscribers for fixed broadband services in our satellite services segment. Backlog as of March 31, 2018 does not include contracts with our subscribers for fixed broadband services in our satellite services segment. Backlog as of September 30, 2018 and March 31, 2018 does not include anticipated purchase orders and requests for the installation of IFC systems or future recurring in-flight internet service revenues under commercial in-flight internet agreements recorded in our commercial networks and satellite services segments, respectively. As of September 30, 2018, we expected to install IFC systems on approximately 854 additional aircraft under our existing customer agreements with commercial airlines, approximately 185 of which relate to accepted purchase orders (and are included in firm backlog in our commercial networks segment) and approximately 669 of which relate to anticipated purchase orders and requests under existing customer agreements. There can be no assurance that all anticipated purchase orders and requests will be placed.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8" w:name="page49"/>
    <w:bookmarkEnd w:id="48"/>
    <w:p>
      <w:pPr>
        <w:ind w:left="520"/>
        <w:spacing w:after="0"/>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w:t>
      </w:r>
    </w:p>
    <w:p>
      <w:pPr>
        <w:spacing w:after="0" w:line="246" w:lineRule="auto"/>
        <w:rPr>
          <w:sz w:val="20"/>
          <w:szCs w:val="20"/>
          <w:color w:val="auto"/>
        </w:rPr>
      </w:pPr>
      <w:r>
        <w:rPr>
          <w:rFonts w:ascii="Arial" w:cs="Arial" w:eastAsia="Arial" w:hAnsi="Arial"/>
          <w:sz w:val="18"/>
          <w:szCs w:val="18"/>
          <w:color w:val="auto"/>
        </w:rPr>
        <w:t>$738.7 million and $1,308.3 million for the three and six months ended September 30, 2018, respectively, and approximately $384.8 million and $826.6 million for the three and six months ended September 30, 2017, respectively.</w:t>
      </w:r>
    </w:p>
    <w:p>
      <w:pPr>
        <w:spacing w:after="0" w:line="143"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8"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September 30, 2018, we had $51.6 million in cash and cash equivalents and restricted cash, $322.3 million in working capital, $225.0 million in principal amount of outstanding borrowings under our revolving credit facility (the Revolving Credit Facility) and borrowing availability of $555.0 million under the Revolving Credit Facility. At March 31, 2018, we had $71.4 million in cash and cash equivalents, $146.1 million in working capital, and no outstanding borrowings and borrowing availability of $770.4 million under the Revolving Credit Facility. We invest our cash in excess of current operating requirements in short-term, highly liquid bank money market accounts.</w:t>
      </w:r>
    </w:p>
    <w:p>
      <w:pPr>
        <w:spacing w:after="0" w:line="149"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and strategic partnering arrangements (such as our Eutelsat strategic partnering arrangement)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51"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Cash provided by operating activities for the first six months of fiscal year 2019 was $111.3 million compared to $185.8 million in the prior year period. This $74.5 million decrease was primarily driven by a $58.3 million year-over-year increase in cash used to fund net operating assets, as well as our operating results (net loss adjusted for depreciation, amortization and other non-cash charges) which resulted in</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$16.2 million of lower cash provided by operating activities year-over-year. The increase in cash used to fund net operating assets during the first six months of fiscal year 2019 when compared to the prior year period was primarily due to a decrease in cash inflows year-over-year from the long-term portion of deferred revenues included in other liabilities in our satellite services segment as well as an increase in cash used for inventory in our government systems segment for our tactical data link products planned shipments.</w:t>
      </w:r>
    </w:p>
    <w:p>
      <w:pPr>
        <w:spacing w:after="0" w:line="148"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Cash used in investing activities for the first six months of fiscal year 2019 was $299.1 million compared to $243.6 million in the prior year period. This $ 55.5 million increase in cash used in investing activities year-over-year reflects an increase of $92.5 million in capital expenditures used for property and other general purpose equipment and $37.9 million in cash used for satellite construction, partially offset by a decrease of $16.4 million in cash used for capital software development, as well as approximately $44.4 million of cash receipts related to ViaSat-2 satellite insurance claim proceeds received during the second quarter of fiscal year 2019 and $14.0 million of cash proceeds from the sale of real property.</w:t>
      </w:r>
    </w:p>
    <w:p>
      <w:pPr>
        <w:spacing w:after="0" w:line="151"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Cash provided by financing activities for the first six months of fiscal year 2019 was $169.3 million compared to $169.8 million for the prior year period. Cash provided by financing activities for both periods included cash proceeds from borrowings and payments on borrowings on our long-term debt, cash received from stock option exercises and employee stock purchase plan purchases, offset by cash used for the repurchase of common stock related to net share settlement of certain employee tax liabilities in connection with the vesting of restricted stock unit awards.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85" w:lineRule="exact"/>
        <w:rPr>
          <w:sz w:val="20"/>
          <w:szCs w:val="20"/>
          <w:color w:val="auto"/>
        </w:rPr>
      </w:pPr>
    </w:p>
    <w:p>
      <w:pPr>
        <w:ind w:right="80" w:firstLine="518"/>
        <w:spacing w:after="0" w:line="234" w:lineRule="auto"/>
        <w:rPr>
          <w:sz w:val="20"/>
          <w:szCs w:val="20"/>
          <w:color w:val="auto"/>
        </w:rPr>
      </w:pPr>
      <w:r>
        <w:rPr>
          <w:rFonts w:ascii="Arial" w:cs="Arial" w:eastAsia="Arial" w:hAnsi="Arial"/>
          <w:sz w:val="18"/>
          <w:szCs w:val="18"/>
          <w:color w:val="auto"/>
        </w:rPr>
        <w:t>On June 1, 2017, our second-generation ViaSat-2 satellite was successfully launched into orbit. In the fourth quarter of fiscal year 2018, shortly before the launch of commercial broadband services on the satellite, we reported an antenna deployment issue. We worked with the satellite manufacturer to determine the root cause of the antenna deployment issue, potential correcting measures, and resulting damage. In the second quarter of fiscal year 2019, the root cause analysis was completed. Based on that analysis, we recorded a reduction to the carrying value of the ViaSat-2 satellite of $177.4 million, with a corresponding insurance claim receivable of $ 177.4 million, based on our estimated ViaSat-2 output capabilities as compared to the anticipated, potential and configured capacity of the ViaSat-2 satellite. As of September 30, 2018, we had received $44.4 million in insurance recovery proceeds related to such claims and the remaining $133.0 million, as probable, was recorded as a receivable. The ViaSat-2 satellite was primarily financed by the Ex-Im Credit Facility (see “</w:t>
      </w:r>
      <w:r>
        <w:rPr>
          <w:rFonts w:ascii="Arial" w:cs="Arial" w:eastAsia="Arial" w:hAnsi="Arial"/>
          <w:sz w:val="18"/>
          <w:szCs w:val="18"/>
          <w:i w:val="1"/>
          <w:iCs w:val="1"/>
          <w:color w:val="222222"/>
        </w:rPr>
        <w:t>—</w:t>
      </w:r>
      <w:r>
        <w:rPr>
          <w:rFonts w:ascii="Arial" w:cs="Arial" w:eastAsia="Arial" w:hAnsi="Arial"/>
          <w:sz w:val="18"/>
          <w:szCs w:val="18"/>
          <w:color w:val="auto"/>
        </w:rPr>
        <w:t>Ex-Im Credit Facility”</w:t>
      </w:r>
    </w:p>
    <w:p>
      <w:pPr>
        <w:spacing w:after="0" w:line="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below). Pursuant to the terms of the Ex-Im Credit Facility, insurance proceeds received from such claims will be used to pay down outstanding borrowings under the Ex-Im Credit Facility upon receipt. Subsequent to the end of the fiscal second quarter, we received an additional $57.8 million related to our outstanding ViaSat-2 insurance claims.</w:t>
      </w:r>
    </w:p>
    <w:p>
      <w:pPr>
        <w:spacing w:after="0" w:line="149"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With ViaSat-2 now in service, we expect additional operating costs to be incurred in fiscal year 2019 in our satellite services segment. These increased operating costs are expected to include depreciation, amortization of capitalized software development, earth station connectivity, marketing and advertising costs, logistics, customer care and various support systems. In addition, we expect interest expense to increase during fiscal year 2019 as we no longer capitalize the interest expense relating to the debt incurred for the construction of ViaSat-2 and the related gateway and networking equipment now that the satellite is in service. However, we expect the relative impact of the launch of service on the ViaSat-2 satellite and roll-out of related ground infrastructure to our financial results to be less than we experienced in relation to the ViaSat-1 satellite. In fiscal year 2019, we expect the total number of subscribers of our fixed broadband services to increase, and that the resultant increase in service revenues in our satellite services segment will improve operating profit for that segment over time. However, there can be no assurance that we will be successful in our subscriber expansion plans. We also expect our capital expenditures to increase significantly during fiscal year 2019 compared to fiscal year 2018 as a result of increased CPE-related capital expenditures relating to the expected increase in the number of subscribers of our fixed broadband services.</w:t>
      </w:r>
    </w:p>
    <w:p>
      <w:pPr>
        <w:spacing w:after="0" w:line="15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In July 2016, we entered into two separate agreements with The Boeing Company (Boeing) for the construction and purchase of two ViaSat-3 class satellites and the integration of Viasat’s payload technologies into the satellites. The aggregate purchase price for the two satellites is approximately $379.5 million (subject to purchase price adjustments based on factors such as launch delay and early delivery), plus an additional amount for launch support services to be performed by Boeing. In addition, under one of these agreements, we have the option to order up to two additional ViaSat-3 class satellites. The first ViaSat-3 class satellite is expected to provide broadband services over the Americas, and the second is expected to provide broadband services over the Europe, Middle East and Africa (EMEA) region.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0" w:name="page51"/>
    <w:bookmarkEnd w:id="50"/>
    <w:p>
      <w:pPr>
        <w:ind w:right="40"/>
        <w:spacing w:after="0" w:line="237" w:lineRule="auto"/>
        <w:rPr>
          <w:sz w:val="20"/>
          <w:szCs w:val="20"/>
          <w:color w:val="auto"/>
        </w:rPr>
      </w:pPr>
      <w:r>
        <w:rPr>
          <w:rFonts w:ascii="Arial" w:cs="Arial" w:eastAsia="Arial" w:hAnsi="Arial"/>
          <w:sz w:val="18"/>
          <w:szCs w:val="18"/>
          <w:color w:val="auto"/>
        </w:rPr>
        <w:t>projected aggregate total project cost for the two ViaSat-3 class satellites, including the satellites, launches, insurance and related earth station infrastructure, through satellite launch is estimated to be between $1.2 billion and $1.4 billion, and will depend on the timing of the earth station infrastructure roll-out of each satellite and the method we use to procure fiber access. Our total cash funding may be reduced through various third-party agreements, including potential joint service offerings and other strategic partnering arrangements. We believe we have adequate sources of funding for the ViaSat-3 class satellites, which include our cash on hand, available borrowing capacity and the cash we expect to generate from operations over the next few years.</w:t>
      </w:r>
    </w:p>
    <w:p>
      <w:pPr>
        <w:spacing w:after="0" w:line="151"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During the second half of fiscal year 2018, our two ViaSat-3 class satellites currently under construction entered the phase of full construction. Although IR&amp;D investments are expected to continue throughout fiscal year 2019 and beyond relating to ViaSat-3 ground infrastructure and support of our growing government and commercial air mobility businesses, we expect the level of our IR&amp;D investments to be lower in fiscal year 2019 compared to fiscal year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9"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As of September 30, 2018, the Revolving Credit Facility provided an $800.0 million revolving line of credit (including up to $150.0 million of letters of credit), with a maturity date of May 24, 2021.</w:t>
      </w:r>
    </w:p>
    <w:p>
      <w:pPr>
        <w:spacing w:after="0" w:line="14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September 30, 2018, the weighted average effective interest rate on our outstanding borrowings under the Revolving Credit Facility was 4.88%. The Revolving Credit Facility is required to be guaranteed by certain significant domestic subsidiaries of Viasat (as defined in the Revolving Credit Facility) and secured by substantially all of our assets. As of September 30, 2018, none of our subsidiaries guaranteed the Revolving Credit Facility.</w:t>
      </w:r>
    </w:p>
    <w:p>
      <w:pPr>
        <w:spacing w:after="0" w:line="151" w:lineRule="exact"/>
        <w:rPr>
          <w:sz w:val="20"/>
          <w:szCs w:val="20"/>
          <w:color w:val="auto"/>
        </w:rPr>
      </w:pPr>
    </w:p>
    <w:p>
      <w:pPr>
        <w:ind w:right="100" w:firstLine="518"/>
        <w:spacing w:after="0"/>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49" w:lineRule="exact"/>
        <w:rPr>
          <w:sz w:val="20"/>
          <w:szCs w:val="20"/>
          <w:color w:val="auto"/>
        </w:rPr>
      </w:pPr>
    </w:p>
    <w:p>
      <w:pPr>
        <w:jc w:val="both"/>
        <w:ind w:right="120" w:firstLine="518"/>
        <w:spacing w:after="0"/>
        <w:rPr>
          <w:sz w:val="20"/>
          <w:szCs w:val="20"/>
          <w:color w:val="auto"/>
        </w:rPr>
      </w:pPr>
      <w:r>
        <w:rPr>
          <w:rFonts w:ascii="Arial" w:cs="Arial" w:eastAsia="Arial" w:hAnsi="Arial"/>
          <w:sz w:val="18"/>
          <w:szCs w:val="18"/>
          <w:color w:val="auto"/>
        </w:rPr>
        <w:t>As of September 30, 2018, we had $225.0 million in principal amount of outstanding borrowings under the Revolving Credit Facility and $20.0 million outstanding under standby letters of credit, leaving borrowing availability under the Revolving Credit Facility as of September 30, 2018 of $555.0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5"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As of September 30, 2018, the Ex-Im Credit Facility provided a $ 362.4 million senior secured direct loan facility, which was fully drawn. Of the $362.4 million in principal amount of borrowings made under the Ex-Im Credit Facility, $ 321.2 million was used to finance up to 85% of the costs of construction, launch and insurance of the ViaSat-2 satellite and related goods and services (including costs incurred on or after September 18, 2012), with the remaining $ 41.2 million used to finance the total exposure fees incurred under the Ex-Im Credit Facility (which included all previously accrued completion exposure fees). At September 30, 2018, we had $306.0 million in principal amount of outstanding borrowings under the Ex-Im Credit Facility.</w:t>
      </w:r>
    </w:p>
    <w:p>
      <w:pPr>
        <w:spacing w:after="0" w:line="15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exposure fees, debt issuance costs and other fees, is 4.6%. Borrowings under the Ex-Im Credit Facility are required to be repaid in 16 approximately equal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the second quarter of fiscal year 2019, we received approximately $44.4 million of insurance proceeds related to the ViaSat-2 satellite, of which $37.2 million were used to pay down outstanding borrowings under the Ex-Im Credit Facility during the second quarter of fiscal year 2019. As of September 30, 2018, $7.2 million of such insurance proceeds was held by the trustee pending payment under the Ex-Im Credit Facility and therefore was recorded as restricted cash in our condensed consolidated balance sheet. Subsequent to the end of the fiscal second quarter, we received an additional $57.8 million related to our outstanding ViaSat-2 insurance claims, which will also be used to pay down outstanding borrowings under Ex-Im Credit Facility. The Ex-Im Credit Facility is guaranteed by Viasat and is secured by first-priority liens on the ViaSat-2 satellite and related assets as well as a pledge of the capital stock of the borrower under the facility.</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51" w:name="page52"/>
    <w:bookmarkEnd w:id="51"/>
    <w:p>
      <w:pPr>
        <w:ind w:right="80" w:firstLine="518"/>
        <w:spacing w:after="0"/>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9"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 unamortized discount and debt issuance costs, in our condensed consolidated financial statements. The discount of $42.3 million (comprising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term of the borrowings under the Ex-Im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81"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In September 2017, we issued $700.0 million in principal amount of the 5.625% Senior Notes due 2025 (the 2025 Notes) in a private placement to institutional buyers. The 2025 Notes were issued at face value and are recorded as long-term debt, net of debt issuance costs, in our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September 30, 2018, none of our subsidiaries guaranteed the 2025 Notes. The 2025 Notes are our general senior unsecured obligations and rank equally in right of payment with all of our existing and future unsecured unsubordinated debt. The 2025 Notes are effectively junior in right of payment to our existing and future secured debt, including under the Revolving Credit Facility and the Ex-Im Credit Facility (collectively, the Credit Facilities) (to the extent of the value of the assets securing such debt), are structurally subordinated to all existing and future liabilities (including trade payables) of our subsidiaries that do not guarantee the 2025 Notes, and are senior in right of payment to all of their existing and future subordinated indebtedness.</w:t>
      </w:r>
    </w:p>
    <w:p>
      <w:pPr>
        <w:spacing w:after="0" w:line="149"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9" w:lineRule="exact"/>
        <w:rPr>
          <w:sz w:val="20"/>
          <w:szCs w:val="20"/>
          <w:color w:val="auto"/>
        </w:rPr>
      </w:pPr>
    </w:p>
    <w:p>
      <w:pPr>
        <w:ind w:right="40" w:firstLine="518"/>
        <w:spacing w:after="0" w:line="251" w:lineRule="auto"/>
        <w:rPr>
          <w:sz w:val="20"/>
          <w:szCs w:val="20"/>
          <w:color w:val="auto"/>
        </w:rPr>
      </w:pPr>
      <w:r>
        <w:rPr>
          <w:rFonts w:ascii="Arial" w:cs="Arial" w:eastAsia="Arial" w:hAnsi="Arial"/>
          <w:sz w:val="17"/>
          <w:szCs w:val="17"/>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42"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Discharge of indenture and loss on extinguishment of debt</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connection with our issuance of the 2025 Notes in September 2017, we repurchased and redeemed all $575.0 million in aggregate</w:t>
      </w:r>
    </w:p>
    <w:p>
      <w:pPr>
        <w:spacing w:after="0" w:line="234" w:lineRule="auto"/>
        <w:rPr>
          <w:sz w:val="20"/>
          <w:szCs w:val="20"/>
          <w:color w:val="auto"/>
        </w:rPr>
      </w:pPr>
      <w:r>
        <w:rPr>
          <w:rFonts w:ascii="Arial" w:cs="Arial" w:eastAsia="Arial" w:hAnsi="Arial"/>
          <w:sz w:val="18"/>
          <w:szCs w:val="18"/>
          <w:color w:val="auto"/>
        </w:rPr>
        <w:t>principal amount of our former 6.875% Senior Notes due 2020 (the 2020 Notes) then outstanding through a cash tender offer and redemption,</w:t>
      </w:r>
    </w:p>
    <w:p>
      <w:pPr>
        <w:spacing w:after="0" w:line="235" w:lineRule="auto"/>
        <w:rPr>
          <w:sz w:val="20"/>
          <w:szCs w:val="20"/>
          <w:color w:val="auto"/>
        </w:rPr>
      </w:pPr>
      <w:r>
        <w:rPr>
          <w:rFonts w:ascii="Arial" w:cs="Arial" w:eastAsia="Arial" w:hAnsi="Arial"/>
          <w:sz w:val="18"/>
          <w:szCs w:val="18"/>
          <w:color w:val="auto"/>
        </w:rPr>
        <w:t>and the indenture governing the 2020 Notes was satisfied and discharged in accordance with its terms. In September 2017, we repurchased</w:t>
      </w:r>
    </w:p>
    <w:p>
      <w:pPr>
        <w:spacing w:after="0" w:line="235" w:lineRule="auto"/>
        <w:rPr>
          <w:sz w:val="20"/>
          <w:szCs w:val="20"/>
          <w:color w:val="auto"/>
        </w:rPr>
      </w:pPr>
      <w:r>
        <w:rPr>
          <w:rFonts w:ascii="Arial" w:cs="Arial" w:eastAsia="Arial" w:hAnsi="Arial"/>
          <w:sz w:val="18"/>
          <w:szCs w:val="18"/>
          <w:color w:val="auto"/>
        </w:rPr>
        <w:t>$298.2 million in aggregate principal amount of the 2020 Notes pursuant to the tender offer. The total cash payment to repurchase the tendered</w:t>
      </w:r>
    </w:p>
    <w:p>
      <w:pPr>
        <w:spacing w:after="0" w:line="235" w:lineRule="auto"/>
        <w:rPr>
          <w:sz w:val="20"/>
          <w:szCs w:val="20"/>
          <w:color w:val="auto"/>
        </w:rPr>
      </w:pPr>
      <w:r>
        <w:rPr>
          <w:rFonts w:ascii="Arial" w:cs="Arial" w:eastAsia="Arial" w:hAnsi="Arial"/>
          <w:sz w:val="18"/>
          <w:szCs w:val="18"/>
          <w:color w:val="auto"/>
        </w:rPr>
        <w:t>2020 Notes in the tender offer, including accrued and unpaid interest to, but excluding, the repurchase date, was $309.3 million. Also in</w:t>
      </w:r>
    </w:p>
    <w:p>
      <w:pPr>
        <w:spacing w:after="0" w:line="235" w:lineRule="auto"/>
        <w:rPr>
          <w:sz w:val="20"/>
          <w:szCs w:val="20"/>
          <w:color w:val="auto"/>
        </w:rPr>
      </w:pPr>
      <w:r>
        <w:rPr>
          <w:rFonts w:ascii="Arial" w:cs="Arial" w:eastAsia="Arial" w:hAnsi="Arial"/>
          <w:sz w:val="18"/>
          <w:szCs w:val="18"/>
          <w:color w:val="auto"/>
        </w:rPr>
        <w:t>September 2017, in connection with the redemption of the remaining $276.8 million in aggregate principal amount of 2020 Notes, we</w:t>
      </w:r>
    </w:p>
    <w:p>
      <w:pPr>
        <w:spacing w:after="0" w:line="235" w:lineRule="auto"/>
        <w:rPr>
          <w:sz w:val="20"/>
          <w:szCs w:val="20"/>
          <w:color w:val="auto"/>
        </w:rPr>
      </w:pPr>
      <w:r>
        <w:rPr>
          <w:rFonts w:ascii="Arial" w:cs="Arial" w:eastAsia="Arial" w:hAnsi="Arial"/>
          <w:sz w:val="18"/>
          <w:szCs w:val="18"/>
          <w:color w:val="auto"/>
        </w:rPr>
        <w:t>irrevocably deposited $287.4 million with Wilmington Trust, as trustee, as trust funds solely for the benefit of the holders of such 2020 Notes.</w:t>
      </w:r>
    </w:p>
    <w:p>
      <w:pPr>
        <w:spacing w:after="0" w:line="235" w:lineRule="auto"/>
        <w:rPr>
          <w:sz w:val="20"/>
          <w:szCs w:val="20"/>
          <w:color w:val="auto"/>
        </w:rPr>
      </w:pPr>
      <w:r>
        <w:rPr>
          <w:rFonts w:ascii="Arial" w:cs="Arial" w:eastAsia="Arial" w:hAnsi="Arial"/>
          <w:sz w:val="18"/>
          <w:szCs w:val="18"/>
          <w:color w:val="auto"/>
        </w:rPr>
        <w:t>The redemption price for the 2020 Notes was 101.719% of the principal amount so redeemed, plus accrued and unpaid interest to, but</w:t>
      </w:r>
    </w:p>
    <w:p>
      <w:pPr>
        <w:spacing w:after="0"/>
        <w:rPr>
          <w:sz w:val="20"/>
          <w:szCs w:val="20"/>
          <w:color w:val="auto"/>
        </w:rPr>
      </w:pPr>
      <w:r>
        <w:rPr>
          <w:rFonts w:ascii="Arial" w:cs="Arial" w:eastAsia="Arial" w:hAnsi="Arial"/>
          <w:sz w:val="18"/>
          <w:szCs w:val="18"/>
          <w:color w:val="auto"/>
        </w:rPr>
        <w:t>excluding, the redemption date of October 5, 2017.</w:t>
      </w:r>
    </w:p>
    <w:p>
      <w:pPr>
        <w:spacing w:after="0" w:line="158" w:lineRule="exact"/>
        <w:rPr>
          <w:sz w:val="20"/>
          <w:szCs w:val="20"/>
          <w:color w:val="auto"/>
        </w:rPr>
      </w:pPr>
    </w:p>
    <w:p>
      <w:pPr>
        <w:ind w:right="400" w:firstLine="518"/>
        <w:spacing w:after="0" w:line="246" w:lineRule="auto"/>
        <w:rPr>
          <w:sz w:val="20"/>
          <w:szCs w:val="20"/>
          <w:color w:val="auto"/>
        </w:rPr>
      </w:pPr>
      <w:r>
        <w:rPr>
          <w:rFonts w:ascii="Arial" w:cs="Arial" w:eastAsia="Arial" w:hAnsi="Arial"/>
          <w:sz w:val="18"/>
          <w:szCs w:val="18"/>
          <w:color w:val="auto"/>
        </w:rPr>
        <w:t>In connection with the satisfaction and discharge of the indenture governing the 2020 Notes, all of our obligations (other than certain customary provisions of the indenture that expressly survive pursuant to the terms of the indenture) were discharged in September 2017.</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 result of the repurchase of the 2020 Notes in the tender offer and the redemption of the remaining 2020 Notes, we recognized a</w:t>
      </w:r>
    </w:p>
    <w:p>
      <w:pPr>
        <w:spacing w:after="0" w:line="234" w:lineRule="auto"/>
        <w:rPr>
          <w:sz w:val="20"/>
          <w:szCs w:val="20"/>
          <w:color w:val="auto"/>
        </w:rPr>
      </w:pPr>
      <w:r>
        <w:rPr>
          <w:rFonts w:ascii="Arial" w:cs="Arial" w:eastAsia="Arial" w:hAnsi="Arial"/>
          <w:sz w:val="18"/>
          <w:szCs w:val="18"/>
          <w:color w:val="auto"/>
        </w:rPr>
        <w:t>$10.2 million loss on extinguishment of debt during the three and six months ended September 30, 2017, which was comprised of $10.6 million</w:t>
      </w:r>
    </w:p>
    <w:p>
      <w:pPr>
        <w:spacing w:after="0" w:line="235" w:lineRule="auto"/>
        <w:rPr>
          <w:sz w:val="20"/>
          <w:szCs w:val="20"/>
          <w:color w:val="auto"/>
        </w:rPr>
      </w:pPr>
      <w:r>
        <w:rPr>
          <w:rFonts w:ascii="Arial" w:cs="Arial" w:eastAsia="Arial" w:hAnsi="Arial"/>
          <w:sz w:val="18"/>
          <w:szCs w:val="18"/>
          <w:color w:val="auto"/>
        </w:rPr>
        <w:t>in cash payments (including tender offer consideration, redemption premium and related professional fees), net of $0.4 million in non-cash gain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unamortized premium, net of unamortized debt issuance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September 30,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5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15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jc w:val="right"/>
              <w:ind w:right="772"/>
              <w:spacing w:after="0"/>
              <w:rPr>
                <w:sz w:val="20"/>
                <w:szCs w:val="20"/>
                <w:color w:val="auto"/>
              </w:rPr>
            </w:pPr>
            <w:r>
              <w:rPr>
                <w:rFonts w:ascii="Arial" w:cs="Arial" w:eastAsia="Arial" w:hAnsi="Arial"/>
                <w:sz w:val="14"/>
                <w:szCs w:val="14"/>
                <w:b w:val="1"/>
                <w:bCs w:val="1"/>
                <w:color w:val="auto"/>
              </w:rPr>
              <w:t>For the Fiscal Years Ending</w:t>
            </w:r>
          </w:p>
        </w:tc>
        <w:tc>
          <w:tcPr>
            <w:tcW w:w="100" w:type="dxa"/>
            <w:vAlign w:val="bottom"/>
          </w:tcPr>
          <w:p>
            <w:pPr>
              <w:spacing w:after="0"/>
              <w:rPr>
                <w:sz w:val="15"/>
                <w:szCs w:val="15"/>
                <w:color w:val="auto"/>
              </w:rPr>
            </w:pPr>
          </w:p>
        </w:tc>
      </w:tr>
      <w:tr>
        <w:trPr>
          <w:trHeight w:val="169"/>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2020-2021</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2022-2023</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FF0FC"/>
            </w:tcBorders>
          </w:tcPr>
          <w:p>
            <w:pPr>
              <w:spacing w:after="0"/>
              <w:rPr>
                <w:sz w:val="14"/>
                <w:szCs w:val="14"/>
                <w:color w:val="auto"/>
              </w:rPr>
            </w:pPr>
          </w:p>
        </w:tc>
      </w:tr>
      <w:tr>
        <w:trPr>
          <w:trHeight w:val="210"/>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leases and satellite capacity agreements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605,652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226,764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141,748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182,140</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2025 Notes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975,625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798,437</w:t>
            </w:r>
          </w:p>
        </w:tc>
        <w:tc>
          <w:tcPr>
            <w:tcW w:w="100" w:type="dxa"/>
            <w:vAlign w:val="bottom"/>
          </w:tcPr>
          <w:p>
            <w:pPr>
              <w:spacing w:after="0"/>
              <w:rPr>
                <w:sz w:val="18"/>
                <w:szCs w:val="18"/>
                <w:color w:val="auto"/>
              </w:rPr>
            </w:pPr>
          </w:p>
        </w:tc>
      </w:tr>
      <w:tr>
        <w:trPr>
          <w:trHeight w:val="216"/>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Revolving Credit Facility (1)</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254,067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226,647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Ex-Im Credit Facility</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330,848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27,765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120,125</w:t>
            </w:r>
          </w:p>
        </w:tc>
        <w:tc>
          <w:tcPr>
            <w:tcW w:w="100" w:type="dxa"/>
            <w:vAlign w:val="bottom"/>
          </w:tcPr>
          <w:p>
            <w:pPr>
              <w:spacing w:after="0"/>
              <w:rPr>
                <w:sz w:val="18"/>
                <w:szCs w:val="18"/>
                <w:color w:val="auto"/>
              </w:rPr>
            </w:pPr>
          </w:p>
        </w:tc>
      </w:tr>
      <w:tr>
        <w:trPr>
          <w:trHeight w:val="216"/>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Satellite performance incentive obligations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22,173</w:t>
            </w:r>
          </w:p>
        </w:tc>
        <w:tc>
          <w:tcPr>
            <w:tcW w:w="100" w:type="dxa"/>
            <w:vAlign w:val="bottom"/>
            <w:shd w:val="clear" w:color="auto" w:fill="CFF0FC"/>
          </w:tcPr>
          <w:p>
            <w:pPr>
              <w:spacing w:after="0"/>
              <w:rPr>
                <w:sz w:val="18"/>
                <w:szCs w:val="18"/>
                <w:color w:val="auto"/>
              </w:rPr>
            </w:pPr>
          </w:p>
        </w:tc>
      </w:tr>
      <w:tr>
        <w:trPr>
          <w:trHeight w:val="215"/>
        </w:trPr>
        <w:tc>
          <w:tcPr>
            <w:tcW w:w="5240" w:type="dxa"/>
            <w:vAlign w:val="bottom"/>
            <w:gridSpan w:val="3"/>
          </w:tcPr>
          <w:p>
            <w:pPr>
              <w:spacing w:after="0"/>
              <w:rPr>
                <w:sz w:val="20"/>
                <w:szCs w:val="20"/>
                <w:color w:val="auto"/>
              </w:rPr>
            </w:pPr>
            <w:r>
              <w:rPr>
                <w:rFonts w:ascii="Arial" w:cs="Arial" w:eastAsia="Arial" w:hAnsi="Arial"/>
                <w:sz w:val="18"/>
                <w:szCs w:val="18"/>
                <w:color w:val="auto"/>
              </w:rPr>
              <w:t>Purchase commitments including satellite-related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240" w:type="dxa"/>
            <w:vAlign w:val="bottom"/>
            <w:tcBorders>
              <w:bottom w:val="single" w:sz="8" w:color="CFF0FC"/>
            </w:tcBorders>
            <w:gridSpan w:val="3"/>
          </w:tcPr>
          <w:p>
            <w:pPr>
              <w:ind w:left="160"/>
              <w:spacing w:after="0" w:line="203" w:lineRule="exact"/>
              <w:rPr>
                <w:sz w:val="20"/>
                <w:szCs w:val="20"/>
                <w:color w:val="auto"/>
              </w:rPr>
            </w:pPr>
            <w:r>
              <w:rPr>
                <w:rFonts w:ascii="Arial" w:cs="Arial" w:eastAsia="Arial" w:hAnsi="Arial"/>
                <w:sz w:val="18"/>
                <w:szCs w:val="18"/>
                <w:color w:val="auto"/>
              </w:rPr>
              <w:t>agreements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1,306,753</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725,267</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461,206</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54,834</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65,446</w:t>
            </w:r>
          </w:p>
        </w:tc>
        <w:tc>
          <w:tcPr>
            <w:tcW w:w="100" w:type="dxa"/>
            <w:vAlign w:val="bottom"/>
            <w:tcBorders>
              <w:bottom w:val="single" w:sz="8" w:color="CFF0FC"/>
            </w:tcBorders>
          </w:tcPr>
          <w:p>
            <w:pPr>
              <w:spacing w:after="0"/>
              <w:rPr>
                <w:sz w:val="17"/>
                <w:szCs w:val="17"/>
                <w:color w:val="auto"/>
              </w:rPr>
            </w:pPr>
          </w:p>
        </w:tc>
      </w:tr>
      <w:tr>
        <w:trPr>
          <w:trHeight w:val="210"/>
        </w:trPr>
        <w:tc>
          <w:tcPr>
            <w:tcW w:w="5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3,516,045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835,399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891,012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601,313</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1,188,321</w:t>
            </w:r>
          </w:p>
        </w:tc>
        <w:tc>
          <w:tcPr>
            <w:tcW w:w="100" w:type="dxa"/>
            <w:vAlign w:val="bottom"/>
            <w:shd w:val="clear" w:color="auto" w:fill="CFF0FC"/>
          </w:tcPr>
          <w:p>
            <w:pPr>
              <w:spacing w:after="0"/>
              <w:rPr>
                <w:sz w:val="18"/>
                <w:szCs w:val="18"/>
                <w:color w:val="auto"/>
              </w:rPr>
            </w:pPr>
          </w:p>
        </w:tc>
      </w:tr>
      <w:tr>
        <w:trPr>
          <w:trHeight w:val="20"/>
        </w:trPr>
        <w:tc>
          <w:tcPr>
            <w:tcW w:w="1540" w:type="dxa"/>
            <w:vAlign w:val="bottom"/>
            <w:tcBorders>
              <w:top w:val="single" w:sz="8" w:color="CFF0FC"/>
            </w:tcBorders>
          </w:tcPr>
          <w:p>
            <w:pPr>
              <w:spacing w:after="0" w:line="20" w:lineRule="exact"/>
              <w:rPr>
                <w:sz w:val="1"/>
                <w:szCs w:val="1"/>
                <w:color w:val="auto"/>
              </w:rPr>
            </w:pPr>
          </w:p>
        </w:tc>
        <w:tc>
          <w:tcPr>
            <w:tcW w:w="3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89"/>
        </w:trPr>
        <w:tc>
          <w:tcPr>
            <w:tcW w:w="1540" w:type="dxa"/>
            <w:vAlign w:val="bottom"/>
            <w:tcBorders>
              <w:bottom w:val="single" w:sz="8" w:color="auto"/>
            </w:tcBorders>
          </w:tcPr>
          <w:p>
            <w:pPr>
              <w:spacing w:after="0"/>
              <w:rPr>
                <w:sz w:val="7"/>
                <w:szCs w:val="7"/>
                <w:color w:val="auto"/>
              </w:rPr>
            </w:pPr>
          </w:p>
        </w:tc>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6" w:lineRule="exact"/>
        <w:rPr>
          <w:sz w:val="20"/>
          <w:szCs w:val="20"/>
          <w:color w:val="auto"/>
        </w:rPr>
      </w:pPr>
    </w:p>
    <w:p>
      <w:pPr>
        <w:ind w:left="520" w:right="8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September 30, 2018 until the maturity date in May 2021.</w:t>
      </w:r>
    </w:p>
    <w:p>
      <w:pPr>
        <w:spacing w:after="0" w:line="16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Our condensed consolidated balance sheets included $ 130.3 million and $121.2 million of “other liabilities” as of September 30, 2018 and March 31, 2018, respectively, which primarily consisted of the long-term portion of deferred revenues, the long-term portion of our satellite performance incentive obligations relating to the ViaSat-1 and ViaSat-2 satellites, our long-term warranty obligations, the long-term portion of deferred rent and long-term deferred income taxes. With the exception of the long-term portion of our satellite performance incentive obligations relating to the ViaSat-1 and ViaSat-2 satellites (which is included under “Satellite performance incentive obligations”), these remaining liabilities have been excluded from the above table as the timing and/or the amount of any cash payment is uncertain. See Note 11 to our consolidated financial statements included in our Annual Report on Form 10-K for the year ended March 31, 2018 for additional information regarding satellite performance incentive obligations relating to the ViaSat-1 and ViaSat-2 satellites.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jc w:val="both"/>
        <w:ind w:right="240" w:firstLine="518"/>
        <w:spacing w:after="0"/>
        <w:rPr>
          <w:sz w:val="20"/>
          <w:szCs w:val="20"/>
          <w:color w:val="auto"/>
        </w:rPr>
      </w:pPr>
      <w:r>
        <w:rPr>
          <w:rFonts w:ascii="Arial" w:cs="Arial" w:eastAsia="Arial" w:hAnsi="Arial"/>
          <w:sz w:val="18"/>
          <w:szCs w:val="18"/>
          <w:color w:val="auto"/>
        </w:rPr>
        <w:t>We had no material off-balance sheet arrangements at September 30, 2018 as defined in Regulation S-K Item 303(a)(4) other than as discussed under Contractual Obligations above or disclosed in the notes to our consolidated financial statements included in this report or in our Annual Report on Form 10-K for the year ended March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80" w:firstLine="518"/>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to our condensed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and the 2025 Notes, and foreign currency forward contracts. We consider investments in highly liquid instruments purchased with a remaining maturity of three months or less at the date of purchase to be cash equivalents. As of September 30, 2018, we had $225.0 million in principal amount of outstanding borrowings under our Revolving Credit Facility, $306.0 million in principal amount of outstanding borrowings under our Ex-Im Credit Facility, and $700.0 million in aggregate principal amount outstanding of the 2025 Notes, and we held no short-term investments. Our 2025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4"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months ended September 30, 2018 and 2017.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3" w:lineRule="exact"/>
        <w:rPr>
          <w:sz w:val="20"/>
          <w:szCs w:val="20"/>
          <w:color w:val="auto"/>
        </w:rPr>
      </w:pPr>
    </w:p>
    <w:p>
      <w:pPr>
        <w:jc w:val="both"/>
        <w:ind w:firstLine="518"/>
        <w:spacing w:after="0" w:line="234" w:lineRule="auto"/>
        <w:rPr>
          <w:sz w:val="20"/>
          <w:szCs w:val="20"/>
          <w:color w:val="auto"/>
        </w:rPr>
      </w:pPr>
      <w:r>
        <w:rPr>
          <w:rFonts w:ascii="Arial" w:cs="Arial" w:eastAsia="Arial" w:hAnsi="Arial"/>
          <w:sz w:val="18"/>
          <w:szCs w:val="18"/>
          <w:color w:val="auto"/>
        </w:rPr>
        <w:t>As of September 30, 2018, we had $225.0 million in principal amount of outstanding borrowings under our Revolving Credit Facility. Our primary interest rate under the Revolving Credit Facility is the Eurodollar rate plus an applicable margin that is based on our total leverage ratio. At September 30, 2018, the weighted average effective interest rate on our outstanding borrowings under the Revolving Credit Facility was</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4.88%. Assuming the outstanding balance remained constant over a year, a 50 basis point increase in the interest rate would increase interest incurred, prior to effects of capitalized interest, by approximately $1.1 million over a twelve-month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The closing of our strategic partnering arrangement with Eutelsat during the fourth quarter of fiscal year 2017 and related investment in Euro Broadband Infrastructure Sàrl, which is denominated in Euros, increases our exposure to foreign currency risk. A five percent variance in foreign currencies in which our international business is conducted would change our loss before income taxes by an insignificant amount for the three and six months ended September 30, 2018 and 2017.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4" w:name="page55"/>
    <w:bookmarkEnd w:id="54"/>
    <w:p>
      <w:pPr>
        <w:ind w:firstLine="518"/>
        <w:spacing w:after="0" w:line="238" w:lineRule="auto"/>
        <w:rPr>
          <w:sz w:val="20"/>
          <w:szCs w:val="20"/>
          <w:color w:val="auto"/>
        </w:rPr>
      </w:pPr>
      <w:r>
        <w:rPr>
          <w:rFonts w:ascii="Arial" w:cs="Arial" w:eastAsia="Arial" w:hAnsi="Arial"/>
          <w:sz w:val="18"/>
          <w:szCs w:val="18"/>
          <w:color w:val="auto"/>
        </w:rPr>
        <w:t>As of September 30, 2018, we had a number of foreign currency forward contracts outstanding which are intended to reduce the foreign currency risk for amounts payable to vendors in Euros. The foreign currency forward contracts with a notional amount of $4.8 million had an insignificant amount of fair value recorded in accrued liabilities as of September 30, 2018. If the foreign currency forward rate for the Euro to the U.S. dollar on these foreign currency forward contracts had changed by 10%, the fair value of these foreign currency forward contracts as of September 30, 2018 would have changed by an insignificant amount.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9"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September 30, 2018, the end of the period covered by this report. Based upon the foregoing, our Chief Executive Officer and Chief Financial Officer concluded that our disclosure controls and procedures were effective at a reasonable assurance level as of September 30, 2018.</w:t>
      </w:r>
    </w:p>
    <w:p>
      <w:pPr>
        <w:spacing w:after="0" w:line="148" w:lineRule="exact"/>
        <w:rPr>
          <w:sz w:val="20"/>
          <w:szCs w:val="20"/>
          <w:color w:val="auto"/>
        </w:rPr>
      </w:pPr>
    </w:p>
    <w:p>
      <w:pPr>
        <w:ind w:right="580" w:firstLine="518"/>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5" w:lineRule="exact"/>
        <w:rPr>
          <w:sz w:val="20"/>
          <w:szCs w:val="20"/>
          <w:color w:val="auto"/>
        </w:rPr>
      </w:pPr>
    </w:p>
    <w:p>
      <w:pPr>
        <w:ind w:right="100" w:firstLine="518"/>
        <w:spacing w:after="0" w:line="238"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2018,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9"/>
          </w:tcPr>
          <w:p>
            <w:pPr>
              <w:ind w:left="240"/>
              <w:spacing w:after="0"/>
              <w:rPr>
                <w:sz w:val="20"/>
                <w:szCs w:val="20"/>
                <w:color w:val="auto"/>
              </w:rPr>
            </w:pPr>
            <w:r>
              <w:rPr>
                <w:rFonts w:ascii="Arial" w:cs="Arial" w:eastAsia="Arial" w:hAnsi="Arial"/>
                <w:sz w:val="12"/>
                <w:szCs w:val="12"/>
                <w:b w:val="1"/>
                <w:bCs w:val="1"/>
                <w:color w:val="auto"/>
              </w:rPr>
              <w:t>Exhibit Description</w:t>
            </w:r>
          </w:p>
        </w:tc>
        <w:tc>
          <w:tcPr>
            <w:tcW w:w="120" w:type="dxa"/>
            <w:vAlign w:val="bottom"/>
          </w:tcPr>
          <w:p>
            <w:pPr>
              <w:spacing w:after="0"/>
              <w:rPr>
                <w:sz w:val="16"/>
                <w:szCs w:val="16"/>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File No.</w:t>
            </w:r>
          </w:p>
        </w:tc>
        <w:tc>
          <w:tcPr>
            <w:tcW w:w="14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
              <w:spacing w:after="0"/>
              <w:rPr>
                <w:sz w:val="20"/>
                <w:szCs w:val="20"/>
                <w:color w:val="auto"/>
              </w:rPr>
            </w:pPr>
            <w:r>
              <w:rPr>
                <w:rFonts w:ascii="Arial" w:cs="Arial" w:eastAsia="Arial" w:hAnsi="Arial"/>
                <w:sz w:val="12"/>
                <w:szCs w:val="12"/>
                <w:b w:val="1"/>
                <w:bCs w:val="1"/>
                <w:color w:val="auto"/>
                <w:w w:val="97"/>
              </w:rPr>
              <w:t>Filing Date</w:t>
            </w:r>
          </w:p>
        </w:tc>
        <w:tc>
          <w:tcPr>
            <w:tcW w:w="0" w:type="dxa"/>
            <w:vAlign w:val="bottom"/>
          </w:tcPr>
          <w:p>
            <w:pPr>
              <w:spacing w:after="0"/>
              <w:rPr>
                <w:sz w:val="1"/>
                <w:szCs w:val="1"/>
                <w:color w:val="auto"/>
              </w:rPr>
            </w:pPr>
          </w:p>
        </w:tc>
      </w:tr>
      <w:tr>
        <w:trPr>
          <w:trHeight w:val="210"/>
        </w:trPr>
        <w:tc>
          <w:tcPr>
            <w:tcW w:w="940" w:type="dxa"/>
            <w:vAlign w:val="bottom"/>
          </w:tcPr>
          <w:p>
            <w:pPr>
              <w:ind w:left="2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5860" w:type="dxa"/>
            <w:vAlign w:val="bottom"/>
            <w:gridSpan w:val="15"/>
          </w:tcPr>
          <w:p>
            <w:pPr>
              <w:spacing w:after="0"/>
              <w:rPr>
                <w:rFonts w:ascii="Arial" w:cs="Arial" w:eastAsia="Arial" w:hAnsi="Arial"/>
                <w:sz w:val="16"/>
                <w:szCs w:val="16"/>
                <w:color w:val="0000EE"/>
              </w:rPr>
            </w:pPr>
            <w:hyperlink r:id="rId95">
              <w:r>
                <w:rPr>
                  <w:rFonts w:ascii="Arial" w:cs="Arial" w:eastAsia="Arial" w:hAnsi="Arial"/>
                  <w:sz w:val="16"/>
                  <w:szCs w:val="16"/>
                  <w:color w:val="0000EE"/>
                </w:rPr>
                <w:t>1996 Equity Participation Plan of Viasat, Inc. (As Amended and Restated</w:t>
              </w:r>
            </w:hyperlink>
          </w:p>
        </w:tc>
        <w:tc>
          <w:tcPr>
            <w:tcW w:w="640" w:type="dxa"/>
            <w:vAlign w:val="bottom"/>
          </w:tcPr>
          <w:p>
            <w:pPr>
              <w:ind w:left="200"/>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4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09/10/2018</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95">
              <w:r>
                <w:rPr>
                  <w:rFonts w:ascii="Arial" w:cs="Arial" w:eastAsia="Arial" w:hAnsi="Arial"/>
                  <w:sz w:val="16"/>
                  <w:szCs w:val="16"/>
                  <w:color w:val="0000EE"/>
                </w:rPr>
                <w:t>Effective September 6, 2018)</w:t>
              </w:r>
            </w:hyperlink>
          </w:p>
        </w:tc>
        <w:tc>
          <w:tcPr>
            <w:tcW w:w="3120" w:type="dxa"/>
            <w:vAlign w:val="bottom"/>
            <w:tcBorders>
              <w:top w:val="single" w:sz="8" w:color="0000EE"/>
            </w:tcBorders>
            <w:gridSpan w:val="3"/>
          </w:tcPr>
          <w:p>
            <w:pPr>
              <w:spacing w:after="0"/>
              <w:rPr>
                <w:sz w:val="14"/>
                <w:szCs w:val="14"/>
                <w:color w:val="auto"/>
              </w:rPr>
            </w:pPr>
          </w:p>
        </w:tc>
        <w:tc>
          <w:tcPr>
            <w:tcW w:w="640" w:type="dxa"/>
            <w:vAlign w:val="bottom"/>
            <w:gridSpan w:val="7"/>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40" w:type="dxa"/>
            <w:vAlign w:val="bottom"/>
          </w:tcPr>
          <w:p>
            <w:pPr>
              <w:ind w:left="22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5860" w:type="dxa"/>
            <w:vAlign w:val="bottom"/>
            <w:gridSpan w:val="15"/>
          </w:tcPr>
          <w:p>
            <w:pPr>
              <w:spacing w:after="0"/>
              <w:rPr>
                <w:rFonts w:ascii="Arial" w:cs="Arial" w:eastAsia="Arial" w:hAnsi="Arial"/>
                <w:sz w:val="16"/>
                <w:szCs w:val="16"/>
                <w:color w:val="0000EE"/>
              </w:rPr>
            </w:pPr>
            <w:hyperlink r:id="rId96">
              <w:r>
                <w:rPr>
                  <w:rFonts w:ascii="Arial" w:cs="Arial" w:eastAsia="Arial" w:hAnsi="Arial"/>
                  <w:sz w:val="16"/>
                  <w:szCs w:val="16"/>
                  <w:color w:val="0000EE"/>
                </w:rPr>
                <w:t>Fourth Amendment to Credit Agreement, dated as of July 17, 2018, by and</w:t>
              </w:r>
            </w:hyperlink>
          </w:p>
        </w:tc>
        <w:tc>
          <w:tcPr>
            <w:tcW w:w="640" w:type="dxa"/>
            <w:vAlign w:val="bottom"/>
          </w:tcPr>
          <w:p>
            <w:pPr>
              <w:ind w:left="200"/>
              <w:spacing w:after="0"/>
              <w:rPr>
                <w:sz w:val="20"/>
                <w:szCs w:val="20"/>
                <w:color w:val="auto"/>
              </w:rPr>
            </w:pPr>
            <w:r>
              <w:rPr>
                <w:rFonts w:ascii="Arial" w:cs="Arial" w:eastAsia="Arial" w:hAnsi="Arial"/>
                <w:sz w:val="16"/>
                <w:szCs w:val="16"/>
                <w:color w:val="auto"/>
              </w:rPr>
              <w:t>8-K</w:t>
            </w:r>
          </w:p>
        </w:tc>
        <w:tc>
          <w:tcPr>
            <w:tcW w:w="1080" w:type="dxa"/>
            <w:vAlign w:val="bottom"/>
            <w:gridSpan w:val="2"/>
          </w:tcPr>
          <w:p>
            <w:pPr>
              <w:jc w:val="center"/>
              <w:ind w:left="59"/>
              <w:spacing w:after="0"/>
              <w:rPr>
                <w:sz w:val="20"/>
                <w:szCs w:val="20"/>
                <w:color w:val="auto"/>
              </w:rPr>
            </w:pPr>
            <w:r>
              <w:rPr>
                <w:rFonts w:ascii="Arial" w:cs="Arial" w:eastAsia="Arial" w:hAnsi="Arial"/>
                <w:sz w:val="16"/>
                <w:szCs w:val="16"/>
                <w:color w:val="auto"/>
              </w:rPr>
              <w:t>000-21767</w:t>
            </w:r>
          </w:p>
        </w:tc>
        <w:tc>
          <w:tcPr>
            <w:tcW w:w="84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07/23/2018</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r:id="rId96">
              <w:r>
                <w:rPr>
                  <w:rFonts w:ascii="Arial" w:cs="Arial" w:eastAsia="Arial" w:hAnsi="Arial"/>
                  <w:sz w:val="16"/>
                  <w:szCs w:val="16"/>
                  <w:color w:val="0000EE"/>
                </w:rPr>
                <w:t>among Viasat Technologies Limited, Viasat, Inc., JPMorgan Chase Bank,</w:t>
              </w:r>
            </w:hyperlink>
          </w:p>
        </w:tc>
        <w:tc>
          <w:tcPr>
            <w:tcW w:w="120" w:type="dxa"/>
            <w:vAlign w:val="bottom"/>
            <w:tcBorders>
              <w:top w:val="single" w:sz="8" w:color="0000EE"/>
            </w:tcBorders>
            <w:gridSpan w:val="2"/>
          </w:tcPr>
          <w:p>
            <w:pPr>
              <w:spacing w:after="0"/>
              <w:rPr>
                <w:sz w:val="14"/>
                <w:szCs w:val="14"/>
                <w:color w:val="auto"/>
              </w:rPr>
            </w:pPr>
          </w:p>
        </w:tc>
        <w:tc>
          <w:tcPr>
            <w:tcW w:w="500" w:type="dxa"/>
            <w:vAlign w:val="bottom"/>
            <w:gridSpan w:val="4"/>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60" w:type="dxa"/>
            <w:vAlign w:val="bottom"/>
            <w:gridSpan w:val="15"/>
          </w:tcPr>
          <w:p>
            <w:pPr>
              <w:spacing w:after="0" w:line="169" w:lineRule="exact"/>
              <w:rPr>
                <w:rFonts w:ascii="Arial" w:cs="Arial" w:eastAsia="Arial" w:hAnsi="Arial"/>
                <w:sz w:val="16"/>
                <w:szCs w:val="16"/>
                <w:color w:val="0000EE"/>
              </w:rPr>
            </w:pPr>
            <w:hyperlink r:id="rId96">
              <w:r>
                <w:rPr>
                  <w:rFonts w:ascii="Arial" w:cs="Arial" w:eastAsia="Arial" w:hAnsi="Arial"/>
                  <w:sz w:val="16"/>
                  <w:szCs w:val="16"/>
                  <w:color w:val="0000EE"/>
                </w:rPr>
                <w:t>National Association (as Ex-Im Facility Agent) and the Export-Import Bank of</w:t>
              </w:r>
            </w:hyperlink>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r:id="rId96">
              <w:r>
                <w:rPr>
                  <w:rFonts w:ascii="Arial" w:cs="Arial" w:eastAsia="Arial" w:hAnsi="Arial"/>
                  <w:sz w:val="16"/>
                  <w:szCs w:val="16"/>
                  <w:color w:val="0000EE"/>
                </w:rPr>
                <w:t>the United States</w:t>
              </w:r>
            </w:hyperlink>
          </w:p>
        </w:tc>
        <w:tc>
          <w:tcPr>
            <w:tcW w:w="38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ind w:left="2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4960" w:type="dxa"/>
            <w:vAlign w:val="bottom"/>
            <w:tcBorders>
              <w:bottom w:val="single" w:sz="8" w:color="0000EE"/>
            </w:tcBorders>
            <w:gridSpan w:val="7"/>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Certification of Chief Executive Officer Pursuant to Section 302 of the</w:t>
              </w:r>
            </w:hyperlink>
          </w:p>
        </w:tc>
        <w:tc>
          <w:tcPr>
            <w:tcW w:w="900" w:type="dxa"/>
            <w:vAlign w:val="bottom"/>
            <w:gridSpan w:val="8"/>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60" w:type="dxa"/>
            <w:vAlign w:val="bottom"/>
            <w:gridSpan w:val="15"/>
          </w:tcPr>
          <w:p>
            <w:pPr>
              <w:spacing w:after="0" w:line="169" w:lineRule="exact"/>
              <w:rPr>
                <w:rFonts w:ascii="Arial" w:cs="Arial" w:eastAsia="Arial" w:hAnsi="Arial"/>
                <w:sz w:val="16"/>
                <w:szCs w:val="16"/>
                <w:color w:val="0000EE"/>
              </w:rPr>
            </w:pPr>
            <w:hyperlink w:anchor="page58">
              <w:r>
                <w:rPr>
                  <w:rFonts w:ascii="Arial" w:cs="Arial" w:eastAsia="Arial" w:hAnsi="Arial"/>
                  <w:sz w:val="16"/>
                  <w:szCs w:val="16"/>
                  <w:color w:val="0000EE"/>
                </w:rPr>
                <w:t>Sarbanes-Oxley Act of 2002</w:t>
              </w:r>
            </w:hyperlink>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ind w:left="2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700" w:type="dxa"/>
            <w:vAlign w:val="bottom"/>
            <w:tcBorders>
              <w:bottom w:val="single" w:sz="8" w:color="0000EE"/>
            </w:tcBorders>
            <w:gridSpan w:val="13"/>
          </w:tcPr>
          <w:p>
            <w:pPr>
              <w:spacing w:after="0"/>
              <w:rPr>
                <w:rFonts w:ascii="Arial" w:cs="Arial" w:eastAsia="Arial" w:hAnsi="Arial"/>
                <w:sz w:val="16"/>
                <w:szCs w:val="16"/>
                <w:color w:val="0000EE"/>
              </w:rPr>
            </w:pPr>
            <w:hyperlink w:anchor="page59">
              <w:r>
                <w:rPr>
                  <w:rFonts w:ascii="Arial" w:cs="Arial" w:eastAsia="Arial" w:hAnsi="Arial"/>
                  <w:sz w:val="16"/>
                  <w:szCs w:val="16"/>
                  <w:color w:val="0000EE"/>
                </w:rPr>
                <w:t>Certification of Chief Financial Officer Pursuant to Section 302 of the Sarbanes-</w:t>
              </w:r>
            </w:hyperlink>
          </w:p>
        </w:tc>
        <w:tc>
          <w:tcPr>
            <w:tcW w:w="1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60" w:type="dxa"/>
            <w:vAlign w:val="bottom"/>
            <w:gridSpan w:val="15"/>
          </w:tcPr>
          <w:p>
            <w:pPr>
              <w:spacing w:after="0" w:line="169" w:lineRule="exact"/>
              <w:rPr>
                <w:rFonts w:ascii="Arial" w:cs="Arial" w:eastAsia="Arial" w:hAnsi="Arial"/>
                <w:sz w:val="16"/>
                <w:szCs w:val="16"/>
                <w:color w:val="0000EE"/>
              </w:rPr>
            </w:pPr>
            <w:hyperlink w:anchor="page59">
              <w:r>
                <w:rPr>
                  <w:rFonts w:ascii="Arial" w:cs="Arial" w:eastAsia="Arial" w:hAnsi="Arial"/>
                  <w:sz w:val="16"/>
                  <w:szCs w:val="16"/>
                  <w:color w:val="0000EE"/>
                </w:rPr>
                <w:t>Oxley Act of 2002</w:t>
              </w:r>
            </w:hyperlink>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ind w:left="2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5340" w:type="dxa"/>
            <w:vAlign w:val="bottom"/>
            <w:tcBorders>
              <w:bottom w:val="single" w:sz="8" w:color="0000EE"/>
            </w:tcBorders>
            <w:gridSpan w:val="10"/>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Certifications Pursuant to 18 U.S.C. Section 1350, as Adopted Pursuant to</w:t>
              </w:r>
            </w:hyperlink>
          </w:p>
        </w:tc>
        <w:tc>
          <w:tcPr>
            <w:tcW w:w="5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60" w:type="dxa"/>
            <w:vAlign w:val="bottom"/>
            <w:gridSpan w:val="15"/>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Section 906 of the Sarbanes-Oxley Act of 2002</w:t>
              </w:r>
            </w:hyperlink>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940" w:type="dxa"/>
            <w:vAlign w:val="bottom"/>
          </w:tcPr>
          <w:p>
            <w:pPr>
              <w:ind w:left="140"/>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342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auto"/>
              </w:rPr>
              <w:t>XBRL Instance Document</w:t>
            </w:r>
          </w:p>
        </w:tc>
        <w:tc>
          <w:tcPr>
            <w:tcW w:w="2440" w:type="dxa"/>
            <w:vAlign w:val="bottom"/>
            <w:gridSpan w:val="9"/>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5860" w:type="dxa"/>
            <w:vAlign w:val="bottom"/>
            <w:gridSpan w:val="15"/>
          </w:tcPr>
          <w:p>
            <w:pPr>
              <w:spacing w:after="0"/>
              <w:rPr>
                <w:sz w:val="20"/>
                <w:szCs w:val="20"/>
                <w:color w:val="auto"/>
              </w:rPr>
            </w:pPr>
            <w:r>
              <w:rPr>
                <w:rFonts w:ascii="Arial" w:cs="Arial" w:eastAsia="Arial" w:hAnsi="Arial"/>
                <w:sz w:val="16"/>
                <w:szCs w:val="16"/>
                <w:color w:val="auto"/>
              </w:rPr>
              <w:t>XBRL Taxonomy Extension Schema</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5860" w:type="dxa"/>
            <w:vAlign w:val="bottom"/>
            <w:gridSpan w:val="15"/>
          </w:tcPr>
          <w:p>
            <w:pPr>
              <w:spacing w:after="0"/>
              <w:rPr>
                <w:sz w:val="20"/>
                <w:szCs w:val="20"/>
                <w:color w:val="auto"/>
              </w:rPr>
            </w:pPr>
            <w:r>
              <w:rPr>
                <w:rFonts w:ascii="Arial" w:cs="Arial" w:eastAsia="Arial" w:hAnsi="Arial"/>
                <w:sz w:val="16"/>
                <w:szCs w:val="16"/>
                <w:color w:val="auto"/>
              </w:rPr>
              <w:t>XBRL Taxonomy Extension Calculation Linkbase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5860" w:type="dxa"/>
            <w:vAlign w:val="bottom"/>
            <w:gridSpan w:val="15"/>
          </w:tcPr>
          <w:p>
            <w:pPr>
              <w:spacing w:after="0"/>
              <w:rPr>
                <w:sz w:val="20"/>
                <w:szCs w:val="20"/>
                <w:color w:val="auto"/>
              </w:rPr>
            </w:pPr>
            <w:r>
              <w:rPr>
                <w:rFonts w:ascii="Arial" w:cs="Arial" w:eastAsia="Arial" w:hAnsi="Arial"/>
                <w:sz w:val="16"/>
                <w:szCs w:val="16"/>
                <w:color w:val="auto"/>
              </w:rPr>
              <w:t>XBRL Taxonomy Extension Definition Linkbase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5860" w:type="dxa"/>
            <w:vAlign w:val="bottom"/>
            <w:gridSpan w:val="15"/>
          </w:tcPr>
          <w:p>
            <w:pPr>
              <w:spacing w:after="0"/>
              <w:rPr>
                <w:sz w:val="20"/>
                <w:szCs w:val="20"/>
                <w:color w:val="auto"/>
              </w:rPr>
            </w:pPr>
            <w:r>
              <w:rPr>
                <w:rFonts w:ascii="Arial" w:cs="Arial" w:eastAsia="Arial" w:hAnsi="Arial"/>
                <w:sz w:val="16"/>
                <w:szCs w:val="16"/>
                <w:color w:val="auto"/>
              </w:rPr>
              <w:t>XBRL Taxonomy Extension Labels Linkbase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0" w:type="dxa"/>
            <w:vAlign w:val="bottom"/>
          </w:tcPr>
          <w:p>
            <w:pPr>
              <w:ind w:left="140"/>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24"/>
                <w:szCs w:val="24"/>
                <w:color w:val="auto"/>
              </w:rPr>
            </w:pPr>
          </w:p>
        </w:tc>
        <w:tc>
          <w:tcPr>
            <w:tcW w:w="5860" w:type="dxa"/>
            <w:vAlign w:val="bottom"/>
            <w:gridSpan w:val="15"/>
          </w:tcPr>
          <w:p>
            <w:pPr>
              <w:spacing w:after="0"/>
              <w:rPr>
                <w:sz w:val="20"/>
                <w:szCs w:val="20"/>
                <w:color w:val="auto"/>
              </w:rPr>
            </w:pPr>
            <w:r>
              <w:rPr>
                <w:rFonts w:ascii="Arial" w:cs="Arial" w:eastAsia="Arial" w:hAnsi="Arial"/>
                <w:sz w:val="16"/>
                <w:szCs w:val="16"/>
                <w:color w:val="auto"/>
              </w:rPr>
              <w:t>XBRL Taxonomy Extension Presentation Linkbase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Indicates management contract, compensatory plan or arrangement</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spacing w:after="0" w:line="263" w:lineRule="auto"/>
        <w:rPr>
          <w:sz w:val="20"/>
          <w:szCs w:val="20"/>
          <w:color w:val="auto"/>
        </w:rPr>
      </w:pPr>
      <w:r>
        <w:rPr>
          <w:rFonts w:ascii="Arial" w:cs="Arial" w:eastAsia="Arial" w:hAnsi="Arial"/>
          <w:sz w:val="14"/>
          <w:szCs w:val="14"/>
          <w:b w:val="1"/>
          <w:bCs w:val="1"/>
          <w:color w:val="auto"/>
        </w:rPr>
        <w:t xml:space="preserve">Filed or Furnished </w:t>
      </w:r>
      <w:r>
        <w:rPr>
          <w:rFonts w:ascii="Arial" w:cs="Arial" w:eastAsia="Arial" w:hAnsi="Arial"/>
          <w:sz w:val="14"/>
          <w:szCs w:val="14"/>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10580" w:space="140"/>
            <w:col w:w="700"/>
          </w:cols>
          <w:pgMar w:left="240" w:top="319"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November 6, 2018</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-1905</wp:posOffset>
            </wp:positionV>
            <wp:extent cx="35502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Mark Dankberg</w:t>
      </w:r>
    </w:p>
    <w:p>
      <w:pPr>
        <w:ind w:left="5820"/>
        <w:spacing w:after="0" w:line="234" w:lineRule="auto"/>
        <w:rPr>
          <w:sz w:val="20"/>
          <w:szCs w:val="20"/>
          <w:color w:val="auto"/>
        </w:rPr>
      </w:pPr>
      <w:r>
        <w:rPr>
          <w:rFonts w:ascii="Arial" w:cs="Arial" w:eastAsia="Arial" w:hAnsi="Arial"/>
          <w:sz w:val="18"/>
          <w:szCs w:val="18"/>
          <w:color w:val="auto"/>
        </w:rPr>
        <w:t>Chairman of the Board and Chief Executive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-1905</wp:posOffset>
            </wp:positionV>
            <wp:extent cx="35502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Shawn Duffy</w:t>
      </w:r>
    </w:p>
    <w:p>
      <w:pPr>
        <w:ind w:left="58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319" w:right="2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w:t>
      </w:r>
      <w:r>
        <w:rPr>
          <w:rFonts w:ascii="Arial" w:cs="Arial" w:eastAsia="Arial" w:hAnsi="Arial"/>
          <w:sz w:val="12"/>
          <w:szCs w:val="12"/>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3"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CERTIFICATION OF CHIEF FINANCIAL OFFICER PURSUANT</w:t>
      </w:r>
    </w:p>
    <w:p>
      <w:pPr>
        <w:ind w:left="32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3"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40" w:right="22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2018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40" w:right="160" w:hanging="519"/>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40" w:right="22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2018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40" w:right="160" w:hanging="519"/>
        <w:spacing w:after="0" w:line="24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95" Type="http://schemas.openxmlformats.org/officeDocument/2006/relationships/hyperlink" Target="http://www.sec.gov/Archives/edgar/data/797721/000119312518270027/d604589dex101.htm" TargetMode="External"/><Relationship Id="rId96" Type="http://schemas.openxmlformats.org/officeDocument/2006/relationships/hyperlink" Target="http://www.sec.gov/Archives/edgar/data/797721/000119312518223698/d54898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2019-12-28T18:25:23Z</dcterms:created>
  <dcterms:modified xsi:type="dcterms:W3CDTF">2019-12-28T18:25:23Z</dcterms:modified>
</cp:coreProperties>
</file>