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49530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 w:lineRule="exact"/>
        <w:rPr>
          <w:sz w:val="24"/>
          <w:szCs w:val="24"/>
          <w:color w:val="auto"/>
        </w:rPr>
      </w:pPr>
    </w:p>
    <w:p>
      <w:pPr>
        <w:ind w:left="3420" w:right="1600" w:hanging="3412"/>
        <w:spacing w:after="0" w:line="326" w:lineRule="auto"/>
        <w:tabs>
          <w:tab w:leader="none" w:pos="40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80"/>
        <w:spacing w:after="0"/>
        <w:tabs>
          <w:tab w:leader="none" w:pos="678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tbl>
      <w:tblPr>
        <w:tblLayout w:type="fixed"/>
        <w:tblInd w:w="1860" w:type="dxa"/>
        <w:tblCellMar>
          <w:top w:w="0" w:type="dxa"/>
          <w:left w:w="0" w:type="dxa"/>
          <w:bottom w:w="0" w:type="dxa"/>
          <w:right w:w="0" w:type="dxa"/>
        </w:tblCellMar>
      </w:tblPr>
      <w:tr>
        <w:trPr>
          <w:trHeight w:val="209"/>
        </w:trPr>
        <w:tc>
          <w:tcPr>
            <w:tcW w:w="3960" w:type="dxa"/>
            <w:vAlign w:val="bottom"/>
          </w:tcPr>
          <w:p>
            <w:pPr>
              <w:jc w:val="center"/>
              <w:ind w:right="1965"/>
              <w:spacing w:after="0"/>
              <w:rPr>
                <w:sz w:val="20"/>
                <w:szCs w:val="20"/>
                <w:color w:val="auto"/>
              </w:rPr>
            </w:pPr>
            <w:r>
              <w:rPr>
                <w:rFonts w:ascii="Arial" w:cs="Arial" w:eastAsia="Arial" w:hAnsi="Arial"/>
                <w:sz w:val="18"/>
                <w:szCs w:val="18"/>
                <w:b w:val="1"/>
                <w:bCs w:val="1"/>
                <w:color w:val="auto"/>
              </w:rPr>
              <w:t>Delaware</w:t>
            </w:r>
          </w:p>
        </w:tc>
        <w:tc>
          <w:tcPr>
            <w:tcW w:w="3180" w:type="dxa"/>
            <w:vAlign w:val="bottom"/>
          </w:tcPr>
          <w:p>
            <w:pPr>
              <w:jc w:val="center"/>
              <w:ind w:left="1985"/>
              <w:spacing w:after="0"/>
              <w:rPr>
                <w:sz w:val="20"/>
                <w:szCs w:val="20"/>
                <w:color w:val="auto"/>
              </w:rPr>
            </w:pPr>
            <w:r>
              <w:rPr>
                <w:rFonts w:ascii="Arial" w:cs="Arial" w:eastAsia="Arial" w:hAnsi="Arial"/>
                <w:sz w:val="18"/>
                <w:szCs w:val="18"/>
                <w:b w:val="1"/>
                <w:bCs w:val="1"/>
                <w:color w:val="auto"/>
                <w:w w:val="99"/>
              </w:rPr>
              <w:t>33-0174996</w:t>
            </w:r>
          </w:p>
        </w:tc>
      </w:tr>
      <w:tr>
        <w:trPr>
          <w:trHeight w:val="148"/>
        </w:trPr>
        <w:tc>
          <w:tcPr>
            <w:tcW w:w="3960" w:type="dxa"/>
            <w:vAlign w:val="bottom"/>
          </w:tcPr>
          <w:p>
            <w:pPr>
              <w:jc w:val="center"/>
              <w:ind w:right="1985"/>
              <w:spacing w:after="0"/>
              <w:rPr>
                <w:sz w:val="20"/>
                <w:szCs w:val="20"/>
                <w:color w:val="auto"/>
              </w:rPr>
            </w:pPr>
            <w:r>
              <w:rPr>
                <w:rFonts w:ascii="Arial" w:cs="Arial" w:eastAsia="Arial" w:hAnsi="Arial"/>
                <w:sz w:val="13"/>
                <w:szCs w:val="13"/>
                <w:b w:val="1"/>
                <w:bCs w:val="1"/>
                <w:color w:val="auto"/>
              </w:rPr>
              <w:t>(State or other jurisdiction of</w:t>
            </w:r>
          </w:p>
        </w:tc>
        <w:tc>
          <w:tcPr>
            <w:tcW w:w="3180" w:type="dxa"/>
            <w:vAlign w:val="bottom"/>
          </w:tcPr>
          <w:p>
            <w:pPr>
              <w:jc w:val="center"/>
              <w:ind w:left="1965"/>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3960" w:type="dxa"/>
            <w:vAlign w:val="bottom"/>
          </w:tcPr>
          <w:p>
            <w:pPr>
              <w:jc w:val="center"/>
              <w:ind w:right="1965"/>
              <w:spacing w:after="0"/>
              <w:rPr>
                <w:sz w:val="20"/>
                <w:szCs w:val="20"/>
                <w:color w:val="auto"/>
              </w:rPr>
            </w:pPr>
            <w:r>
              <w:rPr>
                <w:rFonts w:ascii="Arial" w:cs="Arial" w:eastAsia="Arial" w:hAnsi="Arial"/>
                <w:sz w:val="13"/>
                <w:szCs w:val="13"/>
                <w:b w:val="1"/>
                <w:bCs w:val="1"/>
                <w:color w:val="auto"/>
              </w:rPr>
              <w:t>incorporation or organization)</w:t>
            </w:r>
          </w:p>
        </w:tc>
        <w:tc>
          <w:tcPr>
            <w:tcW w:w="3180" w:type="dxa"/>
            <w:vAlign w:val="bottom"/>
          </w:tcPr>
          <w:p>
            <w:pPr>
              <w:jc w:val="center"/>
              <w:ind w:left="1965"/>
              <w:spacing w:after="0"/>
              <w:rPr>
                <w:sz w:val="20"/>
                <w:szCs w:val="20"/>
                <w:color w:val="auto"/>
              </w:rPr>
            </w:pPr>
            <w:r>
              <w:rPr>
                <w:rFonts w:ascii="Arial" w:cs="Arial" w:eastAsia="Arial" w:hAnsi="Arial"/>
                <w:sz w:val="13"/>
                <w:szCs w:val="13"/>
                <w:b w:val="1"/>
                <w:bCs w:val="1"/>
                <w:color w:val="auto"/>
              </w:rPr>
              <w:t>Identification No.)</w:t>
            </w:r>
          </w:p>
        </w:tc>
      </w:tr>
    </w:tbl>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3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(Title of Each Class)</w:t>
            </w:r>
          </w:p>
        </w:tc>
        <w:tc>
          <w:tcPr>
            <w:tcW w:w="3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(Trading Symbol)</w:t>
            </w: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96"/>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Common Stock, par value $0.0001 per share</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VSAT</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The Nasdaq Stock Market LLC</w:t>
            </w:r>
          </w:p>
        </w:tc>
      </w:tr>
    </w:tbl>
    <w:p>
      <w:pPr>
        <w:spacing w:after="0" w:line="40" w:lineRule="exact"/>
        <w:rPr>
          <w:sz w:val="24"/>
          <w:szCs w:val="24"/>
          <w:color w:val="auto"/>
        </w:rPr>
      </w:pPr>
    </w:p>
    <w:p>
      <w:pPr>
        <w:ind w:right="260" w:firstLine="510"/>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81" w:lineRule="exact"/>
        <w:rPr>
          <w:sz w:val="24"/>
          <w:szCs w:val="24"/>
          <w:color w:val="auto"/>
        </w:rPr>
      </w:pPr>
    </w:p>
    <w:p>
      <w:pPr>
        <w:jc w:val="both"/>
        <w:ind w:right="660" w:firstLine="51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ind w:right="440" w:firstLine="51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46" w:right="339" w:bottom="1440" w:gutter="0" w:footer="0" w:header="0"/>
        </w:sectPr>
      </w:pPr>
    </w:p>
    <w:p>
      <w:pPr>
        <w:spacing w:after="0" w:line="21" w:lineRule="exact"/>
        <w:rPr>
          <w:sz w:val="24"/>
          <w:szCs w:val="24"/>
          <w:color w:val="auto"/>
        </w:rPr>
      </w:pPr>
    </w:p>
    <w:p>
      <w:pPr>
        <w:spacing w:after="0" w:line="207" w:lineRule="exact"/>
        <w:tabs>
          <w:tab w:leader="none" w:pos="2580" w:val="left"/>
          <w:tab w:leader="none" w:pos="84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p>
    <w:p>
      <w:pPr>
        <w:spacing w:after="0" w:line="90" w:lineRule="exact"/>
        <w:rPr>
          <w:sz w:val="24"/>
          <w:szCs w:val="24"/>
          <w:color w:val="auto"/>
        </w:rPr>
      </w:pPr>
    </w:p>
    <w:p>
      <w:pPr>
        <w:spacing w:after="0" w:line="207" w:lineRule="exact"/>
        <w:tabs>
          <w:tab w:leader="none" w:pos="2580" w:val="left"/>
          <w:tab w:leader="none" w:pos="842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p>
    <w:p>
      <w:pPr>
        <w:spacing w:after="0" w:line="150" w:lineRule="exact"/>
        <w:rPr>
          <w:sz w:val="24"/>
          <w:szCs w:val="24"/>
          <w:color w:val="auto"/>
        </w:rPr>
      </w:pPr>
    </w:p>
    <w:p>
      <w:pPr>
        <w:ind w:left="8440"/>
        <w:spacing w:after="0"/>
        <w:rPr>
          <w:sz w:val="20"/>
          <w:szCs w:val="20"/>
          <w:color w:val="auto"/>
        </w:rPr>
      </w:pPr>
      <w:r>
        <w:rPr>
          <w:rFonts w:ascii="Arial" w:cs="Arial" w:eastAsia="Arial" w:hAnsi="Arial"/>
          <w:sz w:val="18"/>
          <w:szCs w:val="18"/>
          <w:color w:val="auto"/>
        </w:rPr>
        <w:t>Emerging growth company</w:t>
      </w:r>
    </w:p>
    <w:p>
      <w:pPr>
        <w:spacing w:after="0" w:line="77" w:lineRule="exact"/>
        <w:rPr>
          <w:sz w:val="24"/>
          <w:szCs w:val="24"/>
          <w:color w:val="auto"/>
        </w:rPr>
      </w:pPr>
    </w:p>
    <w:p>
      <w:pPr>
        <w:ind w:right="280" w:firstLine="51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October 22, 2021 was 73,398,817.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960" w:space="60"/>
            <w:col w:w="220"/>
          </w:cols>
          <w:pgMar w:left="320" w:top="3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gridSpan w:val="9"/>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 FINANCIAL INFORMATION</w:t>
              </w:r>
            </w:hyperlink>
          </w:p>
        </w:tc>
        <w:tc>
          <w:tcPr>
            <w:tcW w:w="7380" w:type="dxa"/>
            <w:vAlign w:val="bottom"/>
            <w:gridSpan w:val="9"/>
            <w:vMerge w:val="restart"/>
          </w:tcPr>
          <w:p>
            <w:pPr>
              <w:spacing w:after="0"/>
              <w:rPr>
                <w:sz w:val="15"/>
                <w:szCs w:val="15"/>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960" w:type="dxa"/>
            <w:vAlign w:val="bottom"/>
            <w:tcBorders>
              <w:bottom w:val="single" w:sz="8" w:color="0000EE"/>
            </w:tcBorders>
            <w:gridSpan w:val="9"/>
            <w:vMerge w:val="continue"/>
          </w:tcPr>
          <w:p>
            <w:pPr>
              <w:spacing w:after="0"/>
              <w:rPr>
                <w:sz w:val="13"/>
                <w:szCs w:val="13"/>
                <w:color w:val="auto"/>
              </w:rPr>
            </w:pPr>
          </w:p>
        </w:tc>
        <w:tc>
          <w:tcPr>
            <w:tcW w:w="7380" w:type="dxa"/>
            <w:vAlign w:val="bottom"/>
            <w:gridSpan w:val="9"/>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7060" w:type="dxa"/>
            <w:vAlign w:val="bottom"/>
            <w:gridSpan w:val="8"/>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Balance Sheets</w:t>
              </w:r>
            </w:hyperlink>
          </w:p>
        </w:tc>
        <w:tc>
          <w:tcPr>
            <w:tcW w:w="6560" w:type="dxa"/>
            <w:vAlign w:val="bottom"/>
            <w:gridSpan w:val="7"/>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Income (Loss)</w:t>
              </w:r>
            </w:hyperlink>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w:t>
              </w:r>
            </w:hyperlink>
          </w:p>
        </w:tc>
        <w:tc>
          <w:tcPr>
            <w:tcW w:w="5720" w:type="dxa"/>
            <w:vAlign w:val="bottom"/>
            <w:gridSpan w:val="5"/>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7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Equity</w:t>
              </w:r>
            </w:hyperlink>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2"/>
          </w:tcPr>
          <w:p>
            <w:pPr>
              <w:spacing w:after="0"/>
              <w:rPr>
                <w:sz w:val="17"/>
                <w:szCs w:val="17"/>
                <w:color w:val="auto"/>
              </w:rPr>
            </w:pPr>
          </w:p>
        </w:tc>
        <w:tc>
          <w:tcPr>
            <w:tcW w:w="26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the Condensed Consolidated Financial Statements</w:t>
              </w:r>
            </w:hyperlink>
          </w:p>
        </w:tc>
        <w:tc>
          <w:tcPr>
            <w:tcW w:w="5120" w:type="dxa"/>
            <w:vAlign w:val="bottom"/>
            <w:gridSpan w:val="4"/>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340" w:type="dxa"/>
            <w:vAlign w:val="bottom"/>
            <w:gridSpan w:val="18"/>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Item 3.</w:t>
              </w:r>
            </w:hyperlink>
          </w:p>
        </w:tc>
        <w:tc>
          <w:tcPr>
            <w:tcW w:w="4740" w:type="dxa"/>
            <w:vAlign w:val="bottom"/>
            <w:tcBorders>
              <w:top w:val="single" w:sz="8" w:color="0000EE"/>
              <w:bottom w:val="single" w:sz="8" w:color="0000EE"/>
            </w:tcBorders>
            <w:gridSpan w:val="13"/>
          </w:tcPr>
          <w:p>
            <w:pPr>
              <w:ind w:left="20"/>
              <w:spacing w:after="0" w:line="18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Quantitative and Qualitative Disclosures About Market Risk</w:t>
              </w:r>
            </w:hyperlink>
          </w:p>
        </w:tc>
        <w:tc>
          <w:tcPr>
            <w:tcW w:w="2360" w:type="dxa"/>
            <w:vAlign w:val="bottom"/>
            <w:tcBorders>
              <w:top w:val="single" w:sz="8" w:color="0000EE"/>
            </w:tcBorders>
            <w:gridSpan w:val="2"/>
          </w:tcPr>
          <w:p>
            <w:pPr>
              <w:spacing w:after="0"/>
              <w:rPr>
                <w:sz w:val="17"/>
                <w:szCs w:val="17"/>
                <w:color w:val="auto"/>
              </w:rPr>
            </w:pPr>
          </w:p>
        </w:tc>
        <w:tc>
          <w:tcPr>
            <w:tcW w:w="26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Item 4.</w:t>
              </w:r>
            </w:hyperlink>
          </w:p>
        </w:tc>
        <w:tc>
          <w:tcPr>
            <w:tcW w:w="2020" w:type="dxa"/>
            <w:vAlign w:val="bottom"/>
            <w:tcBorders>
              <w:bottom w:val="single" w:sz="8" w:color="0000EE"/>
            </w:tcBorders>
            <w:gridSpan w:val="5"/>
          </w:tcPr>
          <w:p>
            <w:pPr>
              <w:ind w:left="20"/>
              <w:spacing w:after="0" w:line="182"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Controls and Procedures</w:t>
              </w:r>
            </w:hyperlink>
          </w:p>
        </w:tc>
        <w:tc>
          <w:tcPr>
            <w:tcW w:w="7740" w:type="dxa"/>
            <w:vAlign w:val="bottom"/>
            <w:gridSpan w:val="11"/>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PART II. OTHER INFORMATION</w:t>
              </w:r>
            </w:hyperlink>
          </w:p>
        </w:tc>
        <w:tc>
          <w:tcPr>
            <w:tcW w:w="766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Item 1.</w:t>
              </w:r>
            </w:hyperlink>
          </w:p>
        </w:tc>
        <w:tc>
          <w:tcPr>
            <w:tcW w:w="152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Legal Proceedings</w:t>
              </w:r>
            </w:hyperlink>
          </w:p>
        </w:tc>
        <w:tc>
          <w:tcPr>
            <w:tcW w:w="8240" w:type="dxa"/>
            <w:vAlign w:val="bottom"/>
            <w:gridSpan w:val="12"/>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0340" w:type="dxa"/>
            <w:vAlign w:val="bottom"/>
            <w:gridSpan w:val="18"/>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Item 1A. Risk Factors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Item 6.</w:t>
              </w:r>
            </w:hyperlink>
          </w:p>
        </w:tc>
        <w:tc>
          <w:tcPr>
            <w:tcW w:w="66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8"/>
              </w:rPr>
            </w:pPr>
            <w:hyperlink w:anchor="page65">
              <w:r>
                <w:rPr>
                  <w:rFonts w:ascii="Arial" w:cs="Arial" w:eastAsia="Arial" w:hAnsi="Arial"/>
                  <w:sz w:val="18"/>
                  <w:szCs w:val="18"/>
                  <w:color w:val="0000EE"/>
                  <w:w w:val="98"/>
                </w:rPr>
                <w:t>Exhibits</w:t>
              </w:r>
            </w:hyperlink>
          </w:p>
        </w:tc>
        <w:tc>
          <w:tcPr>
            <w:tcW w:w="480" w:type="dxa"/>
            <w:vAlign w:val="bottom"/>
            <w:tcBorders>
              <w:top w:val="single" w:sz="8" w:color="0000EE"/>
            </w:tcBorders>
          </w:tcPr>
          <w:p>
            <w:pPr>
              <w:spacing w:after="0"/>
              <w:rPr>
                <w:sz w:val="17"/>
                <w:szCs w:val="17"/>
                <w:color w:val="auto"/>
              </w:rPr>
            </w:pPr>
          </w:p>
        </w:tc>
        <w:tc>
          <w:tcPr>
            <w:tcW w:w="8620" w:type="dxa"/>
            <w:vAlign w:val="bottom"/>
            <w:gridSpan w:val="13"/>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340" w:type="dxa"/>
            <w:vAlign w:val="bottom"/>
            <w:gridSpan w:val="18"/>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668"/>
        </w:trPr>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60" w:type="dxa"/>
            <w:vAlign w:val="bottom"/>
            <w:gridSpan w:val="13"/>
          </w:tcPr>
          <w:p>
            <w:pPr>
              <w:jc w:val="right"/>
              <w:ind w:right="17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of</w:t>
            </w:r>
          </w:p>
        </w:tc>
      </w:tr>
      <w:tr>
        <w:trPr>
          <w:trHeight w:val="175"/>
        </w:trPr>
        <w:tc>
          <w:tcPr>
            <w:tcW w:w="5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2021</w:t>
            </w:r>
          </w:p>
        </w:tc>
        <w:tc>
          <w:tcPr>
            <w:tcW w:w="360" w:type="dxa"/>
            <w:vAlign w:val="bottom"/>
          </w:tcPr>
          <w:p>
            <w:pPr>
              <w:spacing w:after="0"/>
              <w:rPr>
                <w:sz w:val="15"/>
                <w:szCs w:val="15"/>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March 31, 2021</w:t>
            </w:r>
          </w:p>
        </w:tc>
      </w:tr>
      <w:tr>
        <w:trPr>
          <w:trHeight w:val="169"/>
        </w:trPr>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920" w:type="dxa"/>
            <w:vAlign w:val="bottom"/>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217,654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295,949</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369,222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238,652</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348,342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336,672</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131,169</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119,960</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1,066,387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991,233</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satellites, net</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3,465,367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3,050,483</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340,165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340,456</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243,331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9,568</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191,125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122,300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686,485</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835,427</w:t>
            </w:r>
          </w:p>
        </w:tc>
        <w:tc>
          <w:tcPr>
            <w:tcW w:w="100" w:type="dxa"/>
            <w:vAlign w:val="bottom"/>
            <w:shd w:val="clear" w:color="auto" w:fill="CFF0FC"/>
          </w:tcPr>
          <w:p>
            <w:pPr>
              <w:spacing w:after="0"/>
              <w:rPr>
                <w:sz w:val="18"/>
                <w:szCs w:val="18"/>
                <w:color w:val="auto"/>
              </w:rPr>
            </w:pPr>
          </w:p>
        </w:tc>
      </w:tr>
      <w:tr>
        <w:trPr>
          <w:trHeight w:val="250"/>
        </w:trPr>
        <w:tc>
          <w:tcPr>
            <w:tcW w:w="59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5,992,860</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5,349,467</w:t>
            </w:r>
          </w:p>
        </w:tc>
        <w:tc>
          <w:tcPr>
            <w:tcW w:w="100" w:type="dxa"/>
            <w:vAlign w:val="bottom"/>
          </w:tcPr>
          <w:p>
            <w:pPr>
              <w:spacing w:after="0"/>
              <w:rPr>
                <w:sz w:val="21"/>
                <w:szCs w:val="21"/>
                <w:color w:val="auto"/>
              </w:rPr>
            </w:pPr>
          </w:p>
        </w:tc>
      </w:tr>
      <w:tr>
        <w:trPr>
          <w:trHeight w:val="196"/>
        </w:trPr>
        <w:tc>
          <w:tcPr>
            <w:tcW w:w="5920" w:type="dxa"/>
            <w:vAlign w:val="bottom"/>
            <w:tcBorders>
              <w:top w:val="single" w:sz="8" w:color="CFF0FC"/>
            </w:tcBorders>
            <w:shd w:val="clear" w:color="auto" w:fill="CFF0FC"/>
          </w:tcPr>
          <w:p>
            <w:pPr>
              <w:ind w:left="24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193,247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145,134</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Accrued and other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511,093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532,831</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29,965</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30,472</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734,305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708,437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Senior notes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1,684,744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1,683,264</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debt</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425,829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119,420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310,565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313,762</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163,947</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137,350</w:t>
            </w:r>
          </w:p>
        </w:tc>
        <w:tc>
          <w:tcPr>
            <w:tcW w:w="100" w:type="dxa"/>
            <w:vAlign w:val="bottom"/>
            <w:shd w:val="clear" w:color="auto" w:fill="CFF0FC"/>
          </w:tcPr>
          <w:p>
            <w:pPr>
              <w:spacing w:after="0"/>
              <w:rPr>
                <w:sz w:val="18"/>
                <w:szCs w:val="18"/>
                <w:color w:val="auto"/>
              </w:rPr>
            </w:pPr>
          </w:p>
        </w:tc>
      </w:tr>
      <w:tr>
        <w:trPr>
          <w:trHeight w:val="209"/>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1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3,319,390</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2,962,233</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Equity:</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2,382,356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2,092,595</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269,323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249,064</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(16,873)</w:t>
            </w: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9,803</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2,634,813</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2,351,469</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subsidiary</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38,657</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35,765</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1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2,673,470</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2,387,234</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liabilities and equity</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5,992,860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5,349,467</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4"/>
                <w:szCs w:val="14"/>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6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308,666</w:t>
            </w:r>
          </w:p>
        </w:tc>
        <w:tc>
          <w:tcPr>
            <w:tcW w:w="160" w:type="dxa"/>
            <w:vAlign w:val="bottom"/>
          </w:tcPr>
          <w:p>
            <w:pPr>
              <w:spacing w:after="0"/>
              <w:rPr>
                <w:sz w:val="18"/>
                <w:szCs w:val="18"/>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255,980</w:t>
            </w:r>
          </w:p>
        </w:tc>
        <w:tc>
          <w:tcPr>
            <w:tcW w:w="140" w:type="dxa"/>
            <w:vAlign w:val="bottom"/>
          </w:tcPr>
          <w:p>
            <w:pPr>
              <w:spacing w:after="0"/>
              <w:rPr>
                <w:sz w:val="18"/>
                <w:szCs w:val="18"/>
                <w:color w:val="auto"/>
              </w:rPr>
            </w:pPr>
          </w:p>
        </w:tc>
        <w:tc>
          <w:tcPr>
            <w:tcW w:w="4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601,930</w:t>
            </w:r>
          </w:p>
        </w:tc>
        <w:tc>
          <w:tcPr>
            <w:tcW w:w="140" w:type="dxa"/>
            <w:vAlign w:val="bottom"/>
          </w:tcPr>
          <w:p>
            <w:pPr>
              <w:spacing w:after="0"/>
              <w:rPr>
                <w:sz w:val="18"/>
                <w:szCs w:val="18"/>
                <w:color w:val="auto"/>
              </w:rPr>
            </w:pPr>
          </w:p>
        </w:tc>
        <w:tc>
          <w:tcPr>
            <w:tcW w:w="6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506,614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2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392,688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764,284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701,354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554,278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1,366,214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234,721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253,722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156,684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310,884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40,530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2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(12,385)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(19,314)</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Equity in (loss) income of unconsolidated affiliate, net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Less: net income attributable to</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noncontrolling interest, net of tax</w:t>
            </w:r>
          </w:p>
        </w:tc>
        <w:tc>
          <w:tcPr>
            <w:tcW w:w="2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1,859</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1,428</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5,290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6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20,259</w:t>
            </w:r>
          </w:p>
        </w:tc>
        <w:tc>
          <w:tcPr>
            <w:tcW w:w="1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Basic net income (loss) per share attributable</w:t>
            </w: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60"/>
              <w:spacing w:after="0" w:line="203" w:lineRule="exact"/>
              <w:rPr>
                <w:sz w:val="20"/>
                <w:szCs w:val="20"/>
                <w:color w:val="auto"/>
              </w:rPr>
            </w:pPr>
            <w:r>
              <w:rPr>
                <w:rFonts w:ascii="Arial" w:cs="Arial" w:eastAsia="Arial" w:hAnsi="Arial"/>
                <w:sz w:val="18"/>
                <w:szCs w:val="18"/>
                <w:color w:val="auto"/>
              </w:rPr>
              <w:t>to Viasat, Inc. common stockholders</w:t>
            </w:r>
          </w:p>
        </w:tc>
        <w:tc>
          <w:tcPr>
            <w:tcW w:w="640" w:type="dxa"/>
            <w:vAlign w:val="bottom"/>
            <w:gridSpan w:val="2"/>
          </w:tcPr>
          <w:p>
            <w:pPr>
              <w:jc w:val="right"/>
              <w:ind w:right="268"/>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0.04</w:t>
            </w:r>
          </w:p>
        </w:tc>
        <w:tc>
          <w:tcPr>
            <w:tcW w:w="160" w:type="dxa"/>
            <w:vAlign w:val="bottom"/>
          </w:tcPr>
          <w:p>
            <w:pPr>
              <w:spacing w:after="0"/>
              <w:rPr>
                <w:sz w:val="17"/>
                <w:szCs w:val="17"/>
                <w:color w:val="auto"/>
              </w:rPr>
            </w:pPr>
          </w:p>
        </w:tc>
        <w:tc>
          <w:tcPr>
            <w:tcW w:w="260" w:type="dxa"/>
            <w:vAlign w:val="bottom"/>
            <w:gridSpan w:val="2"/>
          </w:tcPr>
          <w:p>
            <w:pPr>
              <w:jc w:val="right"/>
              <w:ind w:right="8"/>
              <w:spacing w:after="0" w:line="203"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0.03</w:t>
            </w:r>
          </w:p>
        </w:tc>
        <w:tc>
          <w:tcPr>
            <w:tcW w:w="140" w:type="dxa"/>
            <w:vAlign w:val="bottom"/>
          </w:tcPr>
          <w:p>
            <w:pPr>
              <w:spacing w:after="0"/>
              <w:rPr>
                <w:sz w:val="17"/>
                <w:szCs w:val="17"/>
                <w:color w:val="auto"/>
              </w:rPr>
            </w:pPr>
          </w:p>
        </w:tc>
        <w:tc>
          <w:tcPr>
            <w:tcW w:w="460" w:type="dxa"/>
            <w:vAlign w:val="bottom"/>
            <w:gridSpan w:val="2"/>
          </w:tcPr>
          <w:p>
            <w:pPr>
              <w:jc w:val="right"/>
              <w:ind w:right="188"/>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0.28</w:t>
            </w:r>
          </w:p>
        </w:tc>
        <w:tc>
          <w:tcPr>
            <w:tcW w:w="140" w:type="dxa"/>
            <w:vAlign w:val="bottom"/>
          </w:tcPr>
          <w:p>
            <w:pPr>
              <w:spacing w:after="0"/>
              <w:rPr>
                <w:sz w:val="17"/>
                <w:szCs w:val="17"/>
                <w:color w:val="auto"/>
              </w:rPr>
            </w:pPr>
          </w:p>
        </w:tc>
        <w:tc>
          <w:tcPr>
            <w:tcW w:w="660" w:type="dxa"/>
            <w:vAlign w:val="bottom"/>
            <w:gridSpan w:val="2"/>
          </w:tcPr>
          <w:p>
            <w:pPr>
              <w:jc w:val="right"/>
              <w:ind w:right="408"/>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 attributable</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to Viasat, Inc. common stockholders</w:t>
            </w:r>
          </w:p>
        </w:tc>
        <w:tc>
          <w:tcPr>
            <w:tcW w:w="640" w:type="dxa"/>
            <w:vAlign w:val="bottom"/>
            <w:gridSpan w:val="2"/>
            <w:shd w:val="clear" w:color="auto" w:fill="CFF0FC"/>
          </w:tcPr>
          <w:p>
            <w:pPr>
              <w:jc w:val="right"/>
              <w:ind w:right="268"/>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0.04</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
              <w:spacing w:after="0" w:line="203"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0.03</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88"/>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0.27</w:t>
            </w:r>
          </w:p>
        </w:tc>
        <w:tc>
          <w:tcPr>
            <w:tcW w:w="1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408"/>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Shares used in computing basic net income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60"/>
              <w:spacing w:after="0" w:line="203" w:lineRule="exact"/>
              <w:rPr>
                <w:sz w:val="20"/>
                <w:szCs w:val="20"/>
                <w:color w:val="auto"/>
              </w:rPr>
            </w:pPr>
            <w:r>
              <w:rPr>
                <w:rFonts w:ascii="Arial" w:cs="Arial" w:eastAsia="Arial" w:hAnsi="Arial"/>
                <w:sz w:val="18"/>
                <w:szCs w:val="18"/>
                <w:color w:val="auto"/>
              </w:rPr>
              <w:t>(loss) per share</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73,544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66,576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72,549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64,554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diluted net income</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(loss) per share</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74,872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67,006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73,862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64,554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23,162</w:t>
            </w:r>
          </w:p>
        </w:tc>
        <w:tc>
          <w:tcPr>
            <w:tcW w:w="1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of tax</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(10,934)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4,418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(26,676)</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3,615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(10,934)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(26,676)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income</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(5,784)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(3,514)</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Less: comprehensive income attributable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to noncontrolling interest, net of tax</w:t>
            </w:r>
          </w:p>
        </w:tc>
        <w:tc>
          <w:tcPr>
            <w:tcW w:w="2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1,859</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1,428</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5,290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income attributable to</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Viasat, Inc.</w:t>
            </w:r>
          </w:p>
        </w:tc>
        <w:tc>
          <w:tcPr>
            <w:tcW w:w="640" w:type="dxa"/>
            <w:vAlign w:val="bottom"/>
            <w:gridSpan w:val="2"/>
            <w:shd w:val="clear" w:color="auto" w:fill="CFF0FC"/>
          </w:tcPr>
          <w:p>
            <w:pPr>
              <w:jc w:val="right"/>
              <w:ind w:right="268"/>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(7,643)</w:t>
            </w:r>
          </w:p>
        </w:tc>
        <w:tc>
          <w:tcPr>
            <w:tcW w:w="260" w:type="dxa"/>
            <w:vAlign w:val="bottom"/>
            <w:gridSpan w:val="2"/>
            <w:shd w:val="clear" w:color="auto" w:fill="CFF0FC"/>
          </w:tcPr>
          <w:p>
            <w:pPr>
              <w:jc w:val="right"/>
              <w:ind w:right="8"/>
              <w:spacing w:after="0" w:line="203"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6,381</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88"/>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(6,417)</w:t>
            </w:r>
          </w:p>
        </w:tc>
        <w:tc>
          <w:tcPr>
            <w:tcW w:w="660" w:type="dxa"/>
            <w:vAlign w:val="bottom"/>
            <w:gridSpan w:val="2"/>
            <w:shd w:val="clear" w:color="auto" w:fill="CFF0FC"/>
          </w:tcPr>
          <w:p>
            <w:pPr>
              <w:jc w:val="right"/>
              <w:ind w:right="408"/>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4"/>
          </w:tcPr>
          <w:p>
            <w:pPr>
              <w:jc w:val="right"/>
              <w:ind w:right="129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7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4"/>
                <w:szCs w:val="14"/>
                <w:color w:val="auto"/>
              </w:rPr>
            </w:pPr>
          </w:p>
        </w:tc>
      </w:tr>
      <w:tr>
        <w:trPr>
          <w:trHeight w:val="169"/>
        </w:trPr>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40" w:type="dxa"/>
            <w:vAlign w:val="bottom"/>
            <w:gridSpan w:val="5"/>
          </w:tcPr>
          <w:p>
            <w:pPr>
              <w:jc w:val="right"/>
              <w:ind w:right="16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23,162</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(5,136)</w:t>
            </w:r>
          </w:p>
        </w:tc>
      </w:tr>
      <w:tr>
        <w:trPr>
          <w:trHeight w:val="193"/>
        </w:trPr>
        <w:tc>
          <w:tcPr>
            <w:tcW w:w="714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Adjustments to reconcile net income (loss) to net cash provided by</w:t>
            </w: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1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198,970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157,939</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31,675</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43,241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43,328</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disposition of fixed assets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17,678</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Other non-cash adjustments</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(7,534)</w:t>
            </w:r>
          </w:p>
        </w:tc>
        <w:tc>
          <w:tcPr>
            <w:tcW w:w="18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(2,354)</w:t>
            </w: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in cash resulting from changes in operating</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assets and liabilities, net of effect of acquisitions:</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(59,047)</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73,856</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(8,927)</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(38,034)</w:t>
            </w: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25,660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19,513</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(14,481)</w:t>
            </w: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(48,981)</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52,510</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(22,088)</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(2,972)</w:t>
            </w:r>
          </w:p>
        </w:tc>
      </w:tr>
      <w:tr>
        <w:trPr>
          <w:trHeight w:val="210"/>
        </w:trPr>
        <w:tc>
          <w:tcPr>
            <w:tcW w:w="714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227,799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333,522</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Purchase of property, equipment and satellites</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(448,345)</w:t>
            </w:r>
          </w:p>
        </w:tc>
        <w:tc>
          <w:tcPr>
            <w:tcW w:w="18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(426,298)</w:t>
            </w: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patents, licenses and other assets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(26,633)</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(33,586)</w:t>
            </w: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(138,668)</w:t>
            </w:r>
          </w:p>
        </w:tc>
        <w:tc>
          <w:tcPr>
            <w:tcW w:w="18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(613,646)</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(459,884)</w:t>
            </w: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borrowings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320,000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Payments of debt borrowings</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(15,227)</w:t>
            </w:r>
          </w:p>
        </w:tc>
        <w:tc>
          <w:tcPr>
            <w:tcW w:w="18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(402,940)</w:t>
            </w: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(4,882)</w:t>
            </w: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under equity plans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8,776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9,206</w:t>
            </w:r>
          </w:p>
        </w:tc>
        <w:tc>
          <w:tcPr>
            <w:tcW w:w="120" w:type="dxa"/>
            <w:vAlign w:val="bottom"/>
          </w:tcPr>
          <w:p>
            <w:pPr>
              <w:spacing w:after="0"/>
              <w:rPr>
                <w:sz w:val="18"/>
                <w:szCs w:val="18"/>
                <w:color w:val="auto"/>
              </w:rPr>
            </w:pP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common stock in treasury (immediately retired) related</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to tax withholdings for stock-based compensation</w:t>
            </w:r>
          </w:p>
        </w:tc>
        <w:tc>
          <w:tcPr>
            <w:tcW w:w="16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(1,742)</w:t>
            </w:r>
          </w:p>
        </w:tc>
        <w:tc>
          <w:tcPr>
            <w:tcW w:w="1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(747)</w:t>
            </w:r>
          </w:p>
        </w:tc>
      </w:tr>
      <w:tr>
        <w:trPr>
          <w:trHeight w:val="215"/>
        </w:trPr>
        <w:tc>
          <w:tcPr>
            <w:tcW w:w="7140" w:type="dxa"/>
            <w:vAlign w:val="bottom"/>
          </w:tcPr>
          <w:p>
            <w:pPr>
              <w:ind w:left="260"/>
              <w:spacing w:after="0"/>
              <w:rPr>
                <w:sz w:val="20"/>
                <w:szCs w:val="20"/>
                <w:color w:val="auto"/>
              </w:rPr>
            </w:pPr>
            <w:r>
              <w:rPr>
                <w:rFonts w:ascii="Arial" w:cs="Arial" w:eastAsia="Arial" w:hAnsi="Arial"/>
                <w:sz w:val="18"/>
                <w:szCs w:val="18"/>
                <w:color w:val="auto"/>
              </w:rPr>
              <w:t>Proceeds from common stock issued in private placement, net</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140" w:type="dxa"/>
            <w:vAlign w:val="bottom"/>
          </w:tcPr>
          <w:p>
            <w:pPr>
              <w:ind w:left="400"/>
              <w:spacing w:after="0" w:line="203" w:lineRule="exact"/>
              <w:rPr>
                <w:sz w:val="20"/>
                <w:szCs w:val="20"/>
                <w:color w:val="auto"/>
              </w:rPr>
            </w:pPr>
            <w:r>
              <w:rPr>
                <w:rFonts w:ascii="Arial" w:cs="Arial" w:eastAsia="Arial" w:hAnsi="Arial"/>
                <w:sz w:val="18"/>
                <w:szCs w:val="18"/>
                <w:color w:val="auto"/>
              </w:rPr>
              <w:t>of issuance costs</w:t>
            </w:r>
          </w:p>
        </w:tc>
        <w:tc>
          <w:tcPr>
            <w:tcW w:w="160" w:type="dxa"/>
            <w:vAlign w:val="bottom"/>
          </w:tcPr>
          <w:p>
            <w:pPr>
              <w:spacing w:after="0"/>
              <w:rPr>
                <w:sz w:val="17"/>
                <w:szCs w:val="17"/>
                <w:color w:val="auto"/>
              </w:rPr>
            </w:pPr>
          </w:p>
        </w:tc>
        <w:tc>
          <w:tcPr>
            <w:tcW w:w="196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174,749</w:t>
            </w:r>
          </w:p>
        </w:tc>
        <w:tc>
          <w:tcPr>
            <w:tcW w:w="120" w:type="dxa"/>
            <w:vAlign w:val="bottom"/>
          </w:tcPr>
          <w:p>
            <w:pPr>
              <w:spacing w:after="0"/>
              <w:rPr>
                <w:sz w:val="17"/>
                <w:szCs w:val="17"/>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financing activities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(1,479)</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(3,454)</w:t>
            </w:r>
          </w:p>
        </w:tc>
      </w:tr>
      <w:tr>
        <w:trPr>
          <w:trHeight w:val="210"/>
        </w:trPr>
        <w:tc>
          <w:tcPr>
            <w:tcW w:w="714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310,328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171,932</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(2,776)</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FF0FC"/>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(78,295)</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46,124</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295,949</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304,309</w:t>
            </w:r>
          </w:p>
        </w:tc>
        <w:tc>
          <w:tcPr>
            <w:tcW w:w="120" w:type="dxa"/>
            <w:vAlign w:val="bottom"/>
            <w:shd w:val="clear" w:color="auto" w:fill="CFF0FC"/>
          </w:tcPr>
          <w:p>
            <w:pPr>
              <w:spacing w:after="0"/>
              <w:rPr>
                <w:sz w:val="18"/>
                <w:szCs w:val="18"/>
                <w:color w:val="auto"/>
              </w:rPr>
            </w:pPr>
          </w:p>
        </w:tc>
      </w:tr>
      <w:tr>
        <w:trPr>
          <w:trHeight w:val="250"/>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217,654</w:t>
            </w:r>
          </w:p>
        </w:tc>
        <w:tc>
          <w:tcPr>
            <w:tcW w:w="2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350,433</w:t>
            </w:r>
          </w:p>
        </w:tc>
        <w:tc>
          <w:tcPr>
            <w:tcW w:w="120" w:type="dxa"/>
            <w:vAlign w:val="bottom"/>
            <w:tcBorders>
              <w:bottom w:val="single" w:sz="8" w:color="CFF0FC"/>
            </w:tcBorders>
          </w:tcPr>
          <w:p>
            <w:pPr>
              <w:spacing w:after="0"/>
              <w:rPr>
                <w:sz w:val="21"/>
                <w:szCs w:val="21"/>
                <w:color w:val="auto"/>
              </w:rPr>
            </w:pPr>
          </w:p>
        </w:tc>
      </w:tr>
      <w:tr>
        <w:trPr>
          <w:trHeight w:val="197"/>
        </w:trPr>
        <w:tc>
          <w:tcPr>
            <w:tcW w:w="71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18,099</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53,464</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in connection with acquisition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ind w:left="580"/>
              <w:spacing w:after="0"/>
              <w:rPr>
                <w:sz w:val="20"/>
                <w:szCs w:val="20"/>
                <w:color w:val="auto"/>
              </w:rPr>
            </w:pPr>
            <w:r>
              <w:rPr>
                <w:rFonts w:ascii="Arial" w:cs="Arial" w:eastAsia="Arial" w:hAnsi="Arial"/>
                <w:sz w:val="13"/>
                <w:szCs w:val="13"/>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20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Interest in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Issued</w:t>
            </w:r>
          </w:p>
        </w:tc>
        <w:tc>
          <w:tcPr>
            <w:tcW w:w="1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Income (Loss)</w:t>
            </w: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Subsidiary</w:t>
            </w:r>
          </w:p>
        </w:tc>
        <w:tc>
          <w:tcPr>
            <w:tcW w:w="860" w:type="dxa"/>
            <w:vAlign w:val="bottom"/>
          </w:tcPr>
          <w:p>
            <w:pPr>
              <w:jc w:val="right"/>
              <w:ind w:right="24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9"/>
          </w:tcPr>
          <w:p>
            <w:pPr>
              <w:jc w:val="right"/>
              <w:ind w:right="600"/>
              <w:spacing w:after="0"/>
              <w:rPr>
                <w:sz w:val="20"/>
                <w:szCs w:val="20"/>
                <w:color w:val="auto"/>
              </w:rPr>
            </w:pPr>
            <w:r>
              <w:rPr>
                <w:rFonts w:ascii="Arial" w:cs="Arial" w:eastAsia="Arial" w:hAnsi="Arial"/>
                <w:sz w:val="13"/>
                <w:szCs w:val="13"/>
                <w:b w:val="1"/>
                <w:bCs w:val="1"/>
                <w:color w:val="auto"/>
              </w:rPr>
              <w:t>(In thousands, except share data)</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Three Months Ended September 30, 2021</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Balance at June 30, 2021</w:t>
            </w:r>
          </w:p>
        </w:tc>
        <w:tc>
          <w:tcPr>
            <w:tcW w:w="840" w:type="dxa"/>
            <w:vAlign w:val="bottom"/>
          </w:tcPr>
          <w:p>
            <w:pPr>
              <w:jc w:val="right"/>
              <w:spacing w:after="0"/>
              <w:rPr>
                <w:sz w:val="20"/>
                <w:szCs w:val="20"/>
                <w:color w:val="auto"/>
              </w:rPr>
            </w:pPr>
            <w:r>
              <w:rPr>
                <w:rFonts w:ascii="Arial" w:cs="Arial" w:eastAsia="Arial" w:hAnsi="Arial"/>
                <w:sz w:val="14"/>
                <w:szCs w:val="14"/>
                <w:color w:val="auto"/>
              </w:rPr>
              <w:t>73,320,854</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$ 2,360,023</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266,032</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(5,939)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36,887</w:t>
            </w:r>
          </w:p>
        </w:tc>
        <w:tc>
          <w:tcPr>
            <w:tcW w:w="2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$ 2,657,010</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23,558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23,558</w:t>
            </w: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75,330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(1,284)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Other</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(89)</w:t>
            </w:r>
          </w:p>
        </w:tc>
        <w:tc>
          <w:tcPr>
            <w:tcW w:w="86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1,859</w:t>
            </w: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5,150</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(10,934)</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(10,934)</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Balance at September 30, 2021</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73,398,078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$ 2,382,356</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269,323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(16,873)</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38,657</w:t>
            </w:r>
          </w:p>
        </w:tc>
        <w:tc>
          <w:tcPr>
            <w:tcW w:w="22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$ 2,673,470</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Three Months Ended September 30, 2020</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Balance at June 30, 2020</w:t>
            </w:r>
          </w:p>
        </w:tc>
        <w:tc>
          <w:tcPr>
            <w:tcW w:w="840" w:type="dxa"/>
            <w:vAlign w:val="bottom"/>
          </w:tcPr>
          <w:p>
            <w:pPr>
              <w:jc w:val="right"/>
              <w:spacing w:after="0"/>
              <w:rPr>
                <w:sz w:val="20"/>
                <w:szCs w:val="20"/>
                <w:color w:val="auto"/>
              </w:rPr>
            </w:pPr>
            <w:r>
              <w:rPr>
                <w:rFonts w:ascii="Arial" w:cs="Arial" w:eastAsia="Arial" w:hAnsi="Arial"/>
                <w:sz w:val="14"/>
                <w:szCs w:val="14"/>
                <w:color w:val="auto"/>
              </w:rPr>
              <w:t>63,026,001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$ 1,846,827</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232,984</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(6,851)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26,217</w:t>
            </w:r>
          </w:p>
        </w:tc>
        <w:tc>
          <w:tcPr>
            <w:tcW w:w="2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$ 2,099,183</w:t>
            </w: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Common stock issued in private placement, net of</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issuance costs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4,474,559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174,748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ind w:right="8"/>
              <w:spacing w:after="0" w:line="157" w:lineRule="exact"/>
              <w:rPr>
                <w:sz w:val="20"/>
                <w:szCs w:val="20"/>
                <w:color w:val="auto"/>
              </w:rPr>
            </w:pPr>
            <w:r>
              <w:rPr>
                <w:rFonts w:ascii="Arial" w:cs="Arial" w:eastAsia="Arial" w:hAnsi="Arial"/>
                <w:sz w:val="14"/>
                <w:szCs w:val="14"/>
                <w:color w:val="auto"/>
              </w:rPr>
              <w:t>174,749</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26,296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26,296</w:t>
            </w: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32,309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(346)</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1,428</w:t>
            </w:r>
          </w:p>
        </w:tc>
        <w:tc>
          <w:tcPr>
            <w:tcW w:w="2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3,391</w:t>
            </w: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4,418</w:t>
            </w:r>
          </w:p>
        </w:tc>
        <w:tc>
          <w:tcPr>
            <w:tcW w:w="2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4,418</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20"/>
                <w:szCs w:val="20"/>
                <w:color w:val="auto"/>
              </w:rPr>
            </w:pPr>
            <w:r>
              <w:rPr>
                <w:rFonts w:ascii="Arial" w:cs="Arial" w:eastAsia="Arial" w:hAnsi="Arial"/>
                <w:sz w:val="14"/>
                <w:szCs w:val="14"/>
                <w:color w:val="auto"/>
              </w:rPr>
              <w:t>Balance at September 30, 2020</w:t>
            </w:r>
          </w:p>
        </w:tc>
        <w:tc>
          <w:tcPr>
            <w:tcW w:w="840" w:type="dxa"/>
            <w:vAlign w:val="bottom"/>
          </w:tcPr>
          <w:p>
            <w:pPr>
              <w:jc w:val="right"/>
              <w:spacing w:after="0"/>
              <w:rPr>
                <w:sz w:val="20"/>
                <w:szCs w:val="20"/>
                <w:color w:val="auto"/>
              </w:rPr>
            </w:pPr>
            <w:r>
              <w:rPr>
                <w:rFonts w:ascii="Arial" w:cs="Arial" w:eastAsia="Arial" w:hAnsi="Arial"/>
                <w:sz w:val="14"/>
                <w:szCs w:val="14"/>
                <w:color w:val="auto"/>
              </w:rPr>
              <w:t>67,532,869</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$ 2,047,525</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234,947</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(2,433)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27,645</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$ 2,307,691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3"/>
                <w:szCs w:val="13"/>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84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Other</w:t>
            </w: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Retained</w:t>
            </w:r>
          </w:p>
        </w:tc>
        <w:tc>
          <w:tcPr>
            <w:tcW w:w="130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Interest in</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9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Issued</w:t>
            </w:r>
          </w:p>
        </w:tc>
        <w:tc>
          <w:tcPr>
            <w:tcW w:w="1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Subsidiary</w:t>
            </w: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20" w:type="dxa"/>
            <w:vAlign w:val="bottom"/>
            <w:tcBorders>
              <w:top w:val="single" w:sz="8" w:color="auto"/>
            </w:tcBorders>
            <w:gridSpan w:val="10"/>
          </w:tcPr>
          <w:p>
            <w:pPr>
              <w:jc w:val="right"/>
              <w:ind w:right="580"/>
              <w:spacing w:after="0"/>
              <w:rPr>
                <w:sz w:val="20"/>
                <w:szCs w:val="20"/>
                <w:color w:val="auto"/>
              </w:rPr>
            </w:pPr>
            <w:r>
              <w:rPr>
                <w:rFonts w:ascii="Arial" w:cs="Arial" w:eastAsia="Arial" w:hAnsi="Arial"/>
                <w:sz w:val="13"/>
                <w:szCs w:val="13"/>
                <w:b w:val="1"/>
                <w:bCs w:val="1"/>
                <w:color w:val="auto"/>
              </w:rPr>
              <w:t>(In thousands, except share data)</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Six Months Ended September 30, 2021</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Balance at March 31, 2021</w:t>
            </w:r>
          </w:p>
        </w:tc>
        <w:tc>
          <w:tcPr>
            <w:tcW w:w="840" w:type="dxa"/>
            <w:vAlign w:val="bottom"/>
          </w:tcPr>
          <w:p>
            <w:pPr>
              <w:jc w:val="right"/>
              <w:spacing w:after="0"/>
              <w:rPr>
                <w:sz w:val="20"/>
                <w:szCs w:val="20"/>
                <w:color w:val="auto"/>
              </w:rPr>
            </w:pPr>
            <w:r>
              <w:rPr>
                <w:rFonts w:ascii="Arial" w:cs="Arial" w:eastAsia="Arial" w:hAnsi="Arial"/>
                <w:sz w:val="14"/>
                <w:szCs w:val="14"/>
                <w:color w:val="auto"/>
              </w:rPr>
              <w:t>68,529,133</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$ 2,092,595</w:t>
            </w:r>
          </w:p>
        </w:tc>
        <w:tc>
          <w:tcPr>
            <w:tcW w:w="1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249,064</w:t>
            </w:r>
          </w:p>
        </w:tc>
        <w:tc>
          <w:tcPr>
            <w:tcW w:w="140" w:type="dxa"/>
            <w:vAlign w:val="bottom"/>
          </w:tcPr>
          <w:p>
            <w:pPr>
              <w:spacing w:after="0"/>
              <w:rPr>
                <w:sz w:val="15"/>
                <w:szCs w:val="15"/>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9,803</w:t>
            </w:r>
          </w:p>
        </w:tc>
        <w:tc>
          <w:tcPr>
            <w:tcW w:w="2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35,765</w:t>
            </w: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$ 2,387,234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313,700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8,706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8,706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51,070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51,070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457,130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24,488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24,488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95,669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(1,742)</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(1,742)</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Shares issued in connection with acquisition of business</w:t>
            </w:r>
          </w:p>
        </w:tc>
        <w:tc>
          <w:tcPr>
            <w:tcW w:w="840" w:type="dxa"/>
            <w:vAlign w:val="bottom"/>
          </w:tcPr>
          <w:p>
            <w:pPr>
              <w:jc w:val="right"/>
              <w:spacing w:after="0"/>
              <w:rPr>
                <w:sz w:val="20"/>
                <w:szCs w:val="20"/>
                <w:color w:val="auto"/>
              </w:rPr>
            </w:pPr>
            <w:r>
              <w:rPr>
                <w:rFonts w:ascii="Arial" w:cs="Arial" w:eastAsia="Arial" w:hAnsi="Arial"/>
                <w:sz w:val="14"/>
                <w:szCs w:val="14"/>
                <w:color w:val="auto"/>
              </w:rPr>
              <w:t>4,000,189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207,169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207,169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20,259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2,903</w:t>
            </w: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23,162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(26,676)</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(26,676)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4"/>
                <w:szCs w:val="14"/>
                <w:color w:val="auto"/>
              </w:rPr>
              <w:t>Balance at September 30, 2021</w:t>
            </w:r>
          </w:p>
        </w:tc>
        <w:tc>
          <w:tcPr>
            <w:tcW w:w="840" w:type="dxa"/>
            <w:vAlign w:val="bottom"/>
          </w:tcPr>
          <w:p>
            <w:pPr>
              <w:jc w:val="right"/>
              <w:spacing w:after="0"/>
              <w:rPr>
                <w:sz w:val="20"/>
                <w:szCs w:val="20"/>
                <w:color w:val="auto"/>
              </w:rPr>
            </w:pPr>
            <w:r>
              <w:rPr>
                <w:rFonts w:ascii="Arial" w:cs="Arial" w:eastAsia="Arial" w:hAnsi="Arial"/>
                <w:sz w:val="14"/>
                <w:szCs w:val="14"/>
                <w:color w:val="auto"/>
              </w:rPr>
              <w:t>73,398,078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$ 2,382,356</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269,323</w:t>
            </w: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(16,873)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38,657</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$ 2,673,470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b w:val="1"/>
                <w:bCs w:val="1"/>
                <w:color w:val="auto"/>
              </w:rPr>
              <w:t>For the Six Months Ended September 30, 2020</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62,147,140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$ 1,788,456</w:t>
            </w:r>
          </w:p>
        </w:tc>
        <w:tc>
          <w:tcPr>
            <w:tcW w:w="12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245,373</w:t>
            </w:r>
          </w:p>
        </w:tc>
        <w:tc>
          <w:tcPr>
            <w:tcW w:w="140" w:type="dxa"/>
            <w:vAlign w:val="bottom"/>
            <w:shd w:val="clear" w:color="auto" w:fill="CFF0FC"/>
          </w:tcPr>
          <w:p>
            <w:pPr>
              <w:spacing w:after="0"/>
              <w:rPr>
                <w:sz w:val="15"/>
                <w:szCs w:val="15"/>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(6,048)</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22,355</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$ 2,050,142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282,269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9,206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Common stock issued in private placement, net of</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issuance costs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4,474,559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w:t>
            </w:r>
          </w:p>
        </w:tc>
        <w:tc>
          <w:tcPr>
            <w:tcW w:w="10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174,748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174,749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50,456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50,456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580,846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25,406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25,406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48,055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(747)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(10,426)</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5,290</w:t>
            </w:r>
          </w:p>
        </w:tc>
        <w:tc>
          <w:tcPr>
            <w:tcW w:w="12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(5,136)</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3,615</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September 30, 2020</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67,532,869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$ 2,047,525</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234,947</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(2,433)</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27,645</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$ 2,307,691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accompanying condensed consolidated balance sheet at September 30, 2021, the condensed consolidated statements of operations and comprehensive income (loss) for the three and six months ended September 30, 2021 and 2020, the condensed consolidated statements of cash flows for the six months ended September 30, 2021 and 2020 and the condensed consolidated statements of equity for the three and six months ended September 30, 2021 and 2020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2021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2021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1" w:lineRule="exact"/>
        <w:rPr>
          <w:sz w:val="20"/>
          <w:szCs w:val="20"/>
          <w:color w:val="auto"/>
        </w:rPr>
      </w:pPr>
    </w:p>
    <w:p>
      <w:pPr>
        <w:ind w:right="60" w:firstLine="510"/>
        <w:spacing w:after="0" w:line="246"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 During the first quarter of fiscal year 2022, the Company completed the acquisitions of the remaining 51% interest in Euro Broadband Infrastructure Sàrl (Euro Infrastructure Co.) and RigNet, Inc. (RigNet) (see Note 12 – Acquisitions for more information). The acquisitions were accounted for as purchases and accordingly, the condensed consolidated financial statements include the operating results of Euro Infrastructure Co. and RigNet from the dates of acquisition.</w:t>
      </w:r>
    </w:p>
    <w:p>
      <w:pPr>
        <w:spacing w:after="0" w:line="145" w:lineRule="exact"/>
        <w:rPr>
          <w:sz w:val="20"/>
          <w:szCs w:val="20"/>
          <w:color w:val="auto"/>
        </w:rPr>
      </w:pPr>
    </w:p>
    <w:p>
      <w:pPr>
        <w:jc w:val="both"/>
        <w:ind w:right="320" w:firstLine="510"/>
        <w:spacing w:after="0"/>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9"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During the second quarter of fiscal year 2021, the Company issued and sold an aggregate of 4,474,559 shares of the Company’s common stock at a purchase price of $ 39.11 per share to certain accredited investors in a private placement transaction exempt from registration under the Securities Act of 1933, as amended, resulting in net proceeds of approximately $174.7 million after deducting offering expenses.</w:t>
      </w:r>
    </w:p>
    <w:p>
      <w:pPr>
        <w:spacing w:after="0" w:line="15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The Company applies the five-step model under Accounting Standards Codification (ASC) 606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 842. As 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49"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99"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2020 or 2021. As of September 30, 2021, the DCAA had completed its incurred cost audit for fiscal years 2004, 2016 and 2019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2019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2021 and March 31, 2021, the Company had $10.9 million and $10.3 million, respectively, in contract-related reserves for its estimate of potential refunds to customers for potential cost adjustments on several multi-year U.S. Government cost reimbursable contracts (see Note 8 — Commitments and Contingencies for more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right="20" w:firstLine="510"/>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200" w:lineRule="exact"/>
        <w:rPr>
          <w:sz w:val="20"/>
          <w:szCs w:val="20"/>
          <w:color w:val="auto"/>
        </w:rPr>
      </w:pPr>
    </w:p>
    <w:p>
      <w:pPr>
        <w:ind w:right="30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September 30, 2021, the aggregate amount of the transaction price allocated to remaining performance obligations was $2.3 billion, of which the Company expects to recognize approximately half over the next 12 months, with the balance recognized thereafter.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and six months ended</w:t>
      </w:r>
    </w:p>
    <w:p>
      <w:pPr>
        <w:spacing w:after="0"/>
        <w:rPr>
          <w:sz w:val="20"/>
          <w:szCs w:val="20"/>
          <w:color w:val="auto"/>
        </w:rPr>
      </w:pPr>
      <w:r>
        <w:rPr>
          <w:rFonts w:ascii="Arial" w:cs="Arial" w:eastAsia="Arial" w:hAnsi="Arial"/>
          <w:sz w:val="18"/>
          <w:szCs w:val="18"/>
          <w:color w:val="auto"/>
        </w:rPr>
        <w:t>September 30,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 September 30, 2021</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40" w:type="dxa"/>
            <w:vAlign w:val="bottom"/>
          </w:tcPr>
          <w:p>
            <w:pPr>
              <w:spacing w:after="0"/>
              <w:rPr>
                <w:sz w:val="13"/>
                <w:szCs w:val="13"/>
                <w:color w:val="auto"/>
              </w:rPr>
            </w:pPr>
          </w:p>
        </w:tc>
        <w:tc>
          <w:tcPr>
            <w:tcW w:w="148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118,935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189,731</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308,666</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300,110</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15,871</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76,707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392,688</w:t>
            </w:r>
          </w:p>
        </w:tc>
        <w:tc>
          <w:tcPr>
            <w:tcW w:w="100" w:type="dxa"/>
            <w:vAlign w:val="bottom"/>
            <w:tcBorders>
              <w:bottom w:val="single" w:sz="8" w:color="CFF0FC"/>
            </w:tcBorders>
          </w:tcPr>
          <w:p>
            <w:pPr>
              <w:spacing w:after="0"/>
              <w:rPr>
                <w:sz w:val="18"/>
                <w:szCs w:val="18"/>
                <w:color w:val="auto"/>
              </w:rPr>
            </w:pPr>
          </w:p>
        </w:tc>
      </w:tr>
      <w:tr>
        <w:trPr>
          <w:trHeight w:val="209"/>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300,110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134,806</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266,438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Six Months Ended September 30, 2021</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40" w:type="dxa"/>
            <w:vAlign w:val="bottom"/>
          </w:tcPr>
          <w:p>
            <w:pPr>
              <w:spacing w:after="0"/>
              <w:rPr>
                <w:sz w:val="13"/>
                <w:szCs w:val="13"/>
                <w:color w:val="auto"/>
              </w:rPr>
            </w:pPr>
          </w:p>
        </w:tc>
        <w:tc>
          <w:tcPr>
            <w:tcW w:w="148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09"/>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220,466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381,464</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601,930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574,227</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32,936</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157,121</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764,284</w:t>
            </w:r>
          </w:p>
        </w:tc>
        <w:tc>
          <w:tcPr>
            <w:tcW w:w="100" w:type="dxa"/>
            <w:vAlign w:val="bottom"/>
            <w:tcBorders>
              <w:bottom w:val="single" w:sz="8" w:color="CFF0FC"/>
            </w:tcBorders>
          </w:tcPr>
          <w:p>
            <w:pPr>
              <w:spacing w:after="0"/>
              <w:rPr>
                <w:sz w:val="18"/>
                <w:szCs w:val="18"/>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574,227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253,402</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538,585</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1,366,214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 September 30, 2020</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40" w:type="dxa"/>
            <w:vAlign w:val="bottom"/>
          </w:tcPr>
          <w:p>
            <w:pPr>
              <w:spacing w:after="0"/>
              <w:rPr>
                <w:sz w:val="13"/>
                <w:szCs w:val="13"/>
                <w:color w:val="auto"/>
              </w:rPr>
            </w:pPr>
          </w:p>
        </w:tc>
        <w:tc>
          <w:tcPr>
            <w:tcW w:w="148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66,751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189,229</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255,980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215,887</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70,302</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298,298</w:t>
            </w:r>
          </w:p>
        </w:tc>
        <w:tc>
          <w:tcPr>
            <w:tcW w:w="100" w:type="dxa"/>
            <w:vAlign w:val="bottom"/>
            <w:tcBorders>
              <w:bottom w:val="single" w:sz="8" w:color="CFF0FC"/>
            </w:tcBorders>
          </w:tcPr>
          <w:p>
            <w:pPr>
              <w:spacing w:after="0"/>
              <w:rPr>
                <w:sz w:val="18"/>
                <w:szCs w:val="18"/>
                <w:color w:val="auto"/>
              </w:rPr>
            </w:pPr>
          </w:p>
        </w:tc>
      </w:tr>
      <w:tr>
        <w:trPr>
          <w:trHeight w:val="209"/>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215,887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78,860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259,531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554,278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Six Months Ended September 30, 2020</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40" w:type="dxa"/>
            <w:vAlign w:val="bottom"/>
          </w:tcPr>
          <w:p>
            <w:pPr>
              <w:spacing w:after="0"/>
              <w:rPr>
                <w:sz w:val="13"/>
                <w:szCs w:val="13"/>
                <w:color w:val="auto"/>
              </w:rPr>
            </w:pPr>
          </w:p>
        </w:tc>
        <w:tc>
          <w:tcPr>
            <w:tcW w:w="148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121,870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384,744</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506,614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417,871</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24,152</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136,129</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578,152</w:t>
            </w:r>
          </w:p>
        </w:tc>
        <w:tc>
          <w:tcPr>
            <w:tcW w:w="100" w:type="dxa"/>
            <w:vAlign w:val="bottom"/>
            <w:tcBorders>
              <w:bottom w:val="single" w:sz="8" w:color="CFF0FC"/>
            </w:tcBorders>
          </w:tcPr>
          <w:p>
            <w:pPr>
              <w:spacing w:after="0"/>
              <w:rPr>
                <w:sz w:val="18"/>
                <w:szCs w:val="18"/>
                <w:color w:val="auto"/>
              </w:rPr>
            </w:pPr>
          </w:p>
        </w:tc>
      </w:tr>
      <w:tr>
        <w:trPr>
          <w:trHeight w:val="20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417,871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146,022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520,873</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1,084,766</w:t>
            </w:r>
          </w:p>
        </w:tc>
        <w:tc>
          <w:tcPr>
            <w:tcW w:w="100" w:type="dxa"/>
            <w:vAlign w:val="bottom"/>
            <w:shd w:val="clear" w:color="auto" w:fill="CFF0FC"/>
          </w:tcPr>
          <w:p>
            <w:pPr>
              <w:spacing w:after="0"/>
              <w:rPr>
                <w:sz w:val="18"/>
                <w:szCs w:val="18"/>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Revenues from the U.S. Government as an individual customer comprised approximately 25% and 27% of total revenues for the three and six months ended September 30, 2021, respectively, and approximately 32% and 31% of total revenues for the three and six months ended September 30, 2020, respectively, mainly reported within the government systems segment. Revenues from the Company’s other customers, mainly reported within the commercial networks and satellite services segments, comprised approximately 75% and 73% of total revenues for the three and six months ended September 30, 2021, respectively, and approximately 68% and 69% of total revenues for the three and six months ended September 30, 2020, respectively.</w:t>
      </w:r>
    </w:p>
    <w:p>
      <w:pPr>
        <w:spacing w:after="0" w:line="191" w:lineRule="exact"/>
        <w:rPr>
          <w:sz w:val="20"/>
          <w:szCs w:val="20"/>
          <w:color w:val="auto"/>
        </w:rPr>
      </w:pPr>
    </w:p>
    <w:p>
      <w:pPr>
        <w:ind w:right="500" w:firstLine="510"/>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in-flight services and advanced software and communication infrastructure services (acquired through the RigNet acquisition).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91% and 90% of the Company’s total revenues for these segments for the three and six months ended September 30, 2021, respectively, and approximately 87% and 86% of the Company’s total revenues for these segments for the three and six months ended September 30, 2020,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2"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23% of its total revenues for both the three and six months ended September 30, 2021, and approximately 23% and 25% of its total revenues for the three and six months ended September 30, 2020, respectively.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89"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September 30, 2021 and March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right"/>
              <w:ind w:right="899"/>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 of</w:t>
            </w:r>
          </w:p>
        </w:tc>
      </w:tr>
      <w:tr>
        <w:trPr>
          <w:trHeight w:val="175"/>
        </w:trPr>
        <w:tc>
          <w:tcPr>
            <w:tcW w:w="5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right"/>
              <w:ind w:right="399"/>
              <w:spacing w:after="0"/>
              <w:rPr>
                <w:sz w:val="20"/>
                <w:szCs w:val="20"/>
                <w:color w:val="auto"/>
              </w:rPr>
            </w:pPr>
            <w:r>
              <w:rPr>
                <w:rFonts w:ascii="Arial" w:cs="Arial" w:eastAsia="Arial" w:hAnsi="Arial"/>
                <w:sz w:val="14"/>
                <w:szCs w:val="14"/>
                <w:b w:val="1"/>
                <w:bCs w:val="1"/>
                <w:color w:val="auto"/>
              </w:rPr>
              <w:t>September 30, 2021</w:t>
            </w:r>
          </w:p>
        </w:tc>
        <w:tc>
          <w:tcPr>
            <w:tcW w:w="560" w:type="dxa"/>
            <w:vAlign w:val="bottom"/>
          </w:tcPr>
          <w:p>
            <w:pPr>
              <w:spacing w:after="0"/>
              <w:rPr>
                <w:sz w:val="15"/>
                <w:szCs w:val="15"/>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March 31, 2021</w:t>
            </w:r>
          </w:p>
        </w:tc>
      </w:tr>
      <w:tr>
        <w:trPr>
          <w:trHeight w:val="209"/>
        </w:trPr>
        <w:tc>
          <w:tcPr>
            <w:tcW w:w="5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102,111</w:t>
            </w:r>
          </w:p>
        </w:tc>
        <w:tc>
          <w:tcPr>
            <w:tcW w:w="5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70,785</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59"/>
              <w:spacing w:after="0"/>
              <w:rPr>
                <w:sz w:val="20"/>
                <w:szCs w:val="20"/>
                <w:color w:val="auto"/>
              </w:rPr>
            </w:pPr>
            <w:r>
              <w:rPr>
                <w:rFonts w:ascii="Arial" w:cs="Arial" w:eastAsia="Arial" w:hAnsi="Arial"/>
                <w:sz w:val="18"/>
                <w:szCs w:val="18"/>
                <w:color w:val="auto"/>
              </w:rPr>
              <w:t>201,050</w:t>
            </w:r>
          </w:p>
        </w:tc>
        <w:tc>
          <w:tcPr>
            <w:tcW w:w="5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216,594</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86,569</w:t>
            </w:r>
          </w:p>
        </w:tc>
        <w:tc>
          <w:tcPr>
            <w:tcW w:w="5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84,654</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300" w:firstLine="510"/>
        <w:spacing w:after="0"/>
        <w:rPr>
          <w:sz w:val="20"/>
          <w:szCs w:val="20"/>
          <w:color w:val="auto"/>
        </w:rPr>
      </w:pPr>
      <w:r>
        <w:rPr>
          <w:rFonts w:ascii="Arial" w:cs="Arial" w:eastAsia="Arial" w:hAnsi="Arial"/>
          <w:sz w:val="18"/>
          <w:szCs w:val="18"/>
          <w:color w:val="auto"/>
        </w:rPr>
        <w:t>Unbilled accounts receivable increased $31.3 million during the six months ended September 30, 2021, primarily driven by revenue recognized in the Company’s commercial networks and satellite services segments in excess of billings. The acquisition of RigNet contributed $17.5 million of unbilled accounts receivable.</w:t>
      </w:r>
    </w:p>
    <w:p>
      <w:pPr>
        <w:spacing w:after="0" w:line="149" w:lineRule="exact"/>
        <w:rPr>
          <w:sz w:val="20"/>
          <w:szCs w:val="20"/>
          <w:color w:val="auto"/>
        </w:rPr>
      </w:pPr>
    </w:p>
    <w:p>
      <w:pPr>
        <w:ind w:right="200" w:firstLine="510"/>
        <w:spacing w:after="0"/>
        <w:rPr>
          <w:sz w:val="20"/>
          <w:szCs w:val="20"/>
          <w:color w:val="auto"/>
        </w:rPr>
      </w:pPr>
      <w:r>
        <w:rPr>
          <w:rFonts w:ascii="Arial" w:cs="Arial" w:eastAsia="Arial" w:hAnsi="Arial"/>
          <w:sz w:val="18"/>
          <w:szCs w:val="18"/>
          <w:color w:val="auto"/>
        </w:rPr>
        <w:t>Collections in excess of revenues and deferred revenues decreased $15.5 million during the six months ended September 30, 2021, primarily driven by revenue recognized in excess of advances on goods or services received in the Company’s commercial networks segment.</w:t>
      </w:r>
    </w:p>
    <w:p>
      <w:pPr>
        <w:spacing w:after="0" w:line="149" w:lineRule="exact"/>
        <w:rPr>
          <w:sz w:val="20"/>
          <w:szCs w:val="20"/>
          <w:color w:val="auto"/>
        </w:rPr>
      </w:pPr>
    </w:p>
    <w:p>
      <w:pPr>
        <w:ind w:right="320" w:firstLine="510"/>
        <w:spacing w:after="0" w:line="238" w:lineRule="auto"/>
        <w:rPr>
          <w:sz w:val="20"/>
          <w:szCs w:val="20"/>
          <w:color w:val="auto"/>
        </w:rPr>
      </w:pPr>
      <w:r>
        <w:rPr>
          <w:rFonts w:ascii="Arial" w:cs="Arial" w:eastAsia="Arial" w:hAnsi="Arial"/>
          <w:sz w:val="18"/>
          <w:szCs w:val="18"/>
          <w:color w:val="auto"/>
        </w:rPr>
        <w:t>During the three and six months ended September 30, 2021, the Company recognized revenue of $43.8 million and $122.0 million, respectively, that was previously included in the Company’s collections in excess of revenues and deferred revenues at March 31, 2021. During the three and six months ended September 30, 2020, the Company recognized revenue of $17.0 million and $74.6 million, respectively, that was previously included in the Company’s collections in excess of revenues and deferred revenues at March 31,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38 years. Leasehold improvements are capitalized and amortized using the straight-line method over the shorter of the lease term or the life of the improvement.</w:t>
      </w:r>
    </w:p>
    <w:p>
      <w:pPr>
        <w:spacing w:after="0" w:line="159" w:lineRule="exact"/>
        <w:rPr>
          <w:sz w:val="20"/>
          <w:szCs w:val="20"/>
          <w:color w:val="auto"/>
        </w:rPr>
      </w:pPr>
    </w:p>
    <w:p>
      <w:pPr>
        <w:ind w:right="200" w:firstLine="510"/>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49"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construction of satellites, gateway and networking equipment and other assets under construction, the Company capitalized $24.8 million and $48.4 million of interest expense for the three and six months ended September 30, 2021, respectively, and $20.0 million and $35.9 million for the three and six months ended September 30, 2020, respectively.</w:t>
      </w:r>
    </w:p>
    <w:p>
      <w:pPr>
        <w:spacing w:after="0" w:line="151"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Company owns three satellites in service over North America (ViaSat-2, ViaSat-1 and WildBlue-1) and, after acquiring the remaining interest in Euro Infrastructure Co. during the first quarter of fiscal year 2022, the Company also owns the KA-SAT satellite over Europe, Middle East, and Africa (EMEA). In addition, the Company has lifetime leases of Ka-band capacity on two satellites. The Company also has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September 30, 2021 were $405.3 million and $201.4 million, respectively. The total cost and accumulated depreciation of CPE units included in property, equipment and satellites, net, as of March 31, 2021 were $409.9 million and $193.7 million,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80" w:firstLine="510"/>
        <w:spacing w:after="0" w:line="246"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w:t>
      </w:r>
    </w:p>
    <w:p>
      <w:pPr>
        <w:spacing w:after="0" w:line="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within depreciation expense (see Note 1 — Basis of Presentation – Leases for more information). The Company’s finance leases consist primarily of satellite lifetime Ka-band capacity leases and have remaining terms from less than one year to five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8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For contracts entered into on or after April 1, 2019,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right="180" w:firstLine="8"/>
        <w:spacing w:after="0" w:line="238"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8" w:lineRule="exact"/>
        <w:rPr>
          <w:sz w:val="20"/>
          <w:szCs w:val="20"/>
          <w:color w:val="auto"/>
        </w:rPr>
      </w:pPr>
    </w:p>
    <w:p>
      <w:pPr>
        <w:jc w:val="both"/>
        <w:ind w:right="8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12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81" w:lineRule="exact"/>
        <w:rPr>
          <w:sz w:val="20"/>
          <w:szCs w:val="20"/>
          <w:color w:val="auto"/>
        </w:rPr>
      </w:pPr>
    </w:p>
    <w:p>
      <w:pPr>
        <w:ind w:right="60" w:firstLine="510"/>
        <w:spacing w:after="0" w:line="246"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the Company has made an accounting policy election not to separate the broadband equipment from the related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ind w:right="60" w:firstLine="510"/>
        <w:spacing w:after="0" w:line="234"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$3.5 million related to patents were included in other assets as of both September 30, 2021 and March 31, 2021. The Company capitalized costs of $ 60.4 million and $53.8 million related to acquiring and obtaining orbital slots and other licenses included in other assets as of September 30, 2021 and March 31, 2021, respectively. Accumulated amortization related to these assets was $4.6 million and</w:t>
      </w:r>
    </w:p>
    <w:p>
      <w:pPr>
        <w:spacing w:after="0" w:line="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$4.4 million as of September 30, 2021 and March 31, 2021, respectively. Amortization expense related to these assets was an insignificant amount for the three and six months ended September 30, 2021 and 2020. If a patent, orbital slot or other license is rejected, abandoned or otherwise invalidated, the unamortized cost is expensed in that period. During the three and six months ended September 30, 2021 and 2020, the Company did not write off any significant costs due to abandonment or impairment.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six months ended September 30, 2021 and 2020, no debt issuance costs and $5.1 million of debt issuance costs were capitalized, respectively.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the Company’s 5.625% Senior Secured Notes due 2027 (the 2027 Notes), the Company’s 6.500% Senior Notes due 2028 (the 2028 Notes and, together with the 2025 Notes and the 2027 Notes, the Notes) and the Ex-Im Credit Facility are recorded as a direct deduction from the carrying amount of the related debt, consistent with debt discounts, in accordance with the authoritative guidance for imputation of interest (ASC 835-30).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right="20" w:firstLine="510"/>
        <w:spacing w:after="0" w:line="234"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$228.9 million and $237.1 million related to software developed for resale were included in other assets as of September 30, 2021 and March 31, 2021, respectively. The Company capitalized $11.0 million and</w:t>
      </w:r>
    </w:p>
    <w:p>
      <w:pPr>
        <w:spacing w:after="0" w:line="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$20.9 million of costs related to software developed for resale for the three and six months ended September 30, 2021, respectively. The Company capitalized $14.2 million and $28.5 million of costs related to software developed for resale for the three and six months ended September 30, 2020, respectively. Amortization expense for capitalized software development costs was $14.6 million and $29.1 million for the three and six months ended September 30, 2021, respectively, and $14.9 million and $28.0 million for the three and six months ended September 30, 2020, respectively.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$7.0 million and $6.9 million in accrued and other liabilities in the condensed consolidated balance sheets as of September 30, 2021 and March 31, 2021,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30, 2021 and March 31, 2021, no such amounts were accrued related to the aforementioned provisions.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8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firstLine="510"/>
        <w:spacing w:after="0" w:line="252"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and March 31, 2021, the Company had no shares of common stock held in treasury.</w:t>
      </w:r>
    </w:p>
    <w:p>
      <w:pPr>
        <w:spacing w:after="0" w:line="158"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During the three months ended September 30, 2021 and 2020, the Company issued 99,947 and 40,676 shares of common stock, respectively, based on the vesting terms of certain restricted stock unit agreements. During the six months ended September 30, 2021 and 2020, the Company issued 129,007 and 64,970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September 30, 2021 and 2020, the Company repurchased 24,617</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and 8,367 shares of common stock, respectively, at cost and with a total value of $1.3 million and an insignificant amount, respectively. During the six months ended September 30, 2021 and 2020, the Company repurchased 33,338 and 16,915 shares of common stock, respectively, at cost and with a total value of $1.7 million and an insignificant amount,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w:t>
      </w:r>
    </w:p>
    <w:p>
      <w:pPr>
        <w:spacing w:after="0" w:line="1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Company accounts for forfeitures as they occur. The Company recognized $21.0 million and $ 43.2 million of stock-based compensation expense for the three and six months ended September 30, 2021, respectively. The Company recognized $22.4 million and $43.3 million of stock-based compensation expense for the three and six months ended September 30, 2020, respectively.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research and development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six months ended September 30, 2021 and 2020 by applying the actual effective tax rate to the pretax income (loss) for the three-month and six-month periods.</w:t>
      </w:r>
    </w:p>
    <w:p>
      <w:pPr>
        <w:spacing w:after="0" w:line="153" w:lineRule="exact"/>
        <w:rPr>
          <w:sz w:val="20"/>
          <w:szCs w:val="20"/>
          <w:color w:val="auto"/>
        </w:rPr>
      </w:pPr>
    </w:p>
    <w:p>
      <w:pPr>
        <w:ind w:right="180" w:firstLine="510"/>
        <w:spacing w:after="0" w:line="23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9"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(ASC 740): Simplifying the Accounting for Income Taxes, which is intended to simplify various areas related to accounting for income taxes. ASU 2019-12 removes certain exceptions to the general principles in ASC 740 and also clarifies and amends existing guidance to improve consistent application. The Company adopted the new guidance in the first quarter of fiscal year 2022 on a prospective basis and as a result upon purchase of the remaining 51% interest in Euro Infrastructure Co. from Eutelsat (see Note 12 — Acquisitions for more information), and assertion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permanently reinvest future earnings, the deferred tax liability recorded for Euro Infrastructure Co.’s outside basis difference of $8.1 million was reversed and recorded in the first quarter of fiscal year 2022 as an income tax benefit in the condensed consolidated statements of operations and comprehensive income (loss).</w:t>
      </w:r>
    </w:p>
    <w:p>
      <w:pPr>
        <w:spacing w:after="0" w:line="14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January 2020, the FASB issued ASU 2020-01, Investments – Equity Securities (ASC 321), Investments – Equity Method and Joint Ventures (ASC 323) and Derivatives and Hedging (ASC 815). ASU 2020-01 clarifies the interaction of the accounting for equity securities under ASC 321 and investments accounted for under the equity method of accounting under ASC 323, and the accounting for certain forward contracts and purchased options accounted for under ASC 815. The Company adopted the new guidance in the first quarter of fiscal year 2022 on a prospective basis and the guidance did not have a material impact on the Company’s consolidated financial statements and disclosures.</w:t>
      </w:r>
    </w:p>
    <w:p>
      <w:pPr>
        <w:spacing w:after="0" w:line="191"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In August 2020, the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new standard will become effective for the Company beginning in fiscal year 2023, with early adoption permitted. The Company is currently evaluating the impact of this standard on its consolidated financial statements and disclosures.</w:t>
      </w:r>
    </w:p>
    <w:p>
      <w:pPr>
        <w:spacing w:after="0" w:line="19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In October 2020, the FASB issued ASU 2020-08, Codification Improvements to Subtopic 310-20, Receivables – Nonrefundable Fees and Other Costs. ASU 2020-08 clarifies that a company should reevaluate whether a callable debt security is within the scope of ASC paragraph 310-20-35-33 for each reporting period. The Company adopted the new guidance in the first quarter of fiscal year 2022 on a prospective basis and the guidance did not have a material impact on the Company’s consolidated financial statements and disclosures.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gridSpan w:val="2"/>
          </w:tcPr>
          <w:p>
            <w:pPr>
              <w:jc w:val="right"/>
              <w:ind w:right="940"/>
              <w:spacing w:after="0"/>
              <w:rPr>
                <w:sz w:val="20"/>
                <w:szCs w:val="20"/>
                <w:color w:val="auto"/>
              </w:rPr>
            </w:pPr>
            <w:r>
              <w:rPr>
                <w:rFonts w:ascii="Arial" w:cs="Arial" w:eastAsia="Arial" w:hAnsi="Arial"/>
                <w:sz w:val="11"/>
                <w:szCs w:val="11"/>
                <w:b w:val="1"/>
                <w:bCs w:val="1"/>
                <w:color w:val="auto"/>
              </w:rPr>
              <w:t>As of</w:t>
            </w:r>
          </w:p>
        </w:tc>
        <w:tc>
          <w:tcPr>
            <w:tcW w:w="320" w:type="dxa"/>
            <w:vAlign w:val="bottom"/>
          </w:tcPr>
          <w:p>
            <w:pPr>
              <w:spacing w:after="0"/>
              <w:rPr>
                <w:sz w:val="10"/>
                <w:szCs w:val="10"/>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September 30, 2021</w:t>
            </w:r>
          </w:p>
        </w:tc>
        <w:tc>
          <w:tcPr>
            <w:tcW w:w="320" w:type="dxa"/>
            <w:vAlign w:val="bottom"/>
          </w:tcPr>
          <w:p>
            <w:pPr>
              <w:spacing w:after="0"/>
              <w:rPr>
                <w:sz w:val="11"/>
                <w:szCs w:val="11"/>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129"/>
        </w:trPr>
        <w:tc>
          <w:tcPr>
            <w:tcW w:w="6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0" w:type="dxa"/>
            <w:vAlign w:val="bottom"/>
            <w:tcBorders>
              <w:top w:val="single" w:sz="8" w:color="auto"/>
            </w:tcBorders>
            <w:gridSpan w:val="3"/>
          </w:tcPr>
          <w:p>
            <w:pPr>
              <w:jc w:val="right"/>
              <w:ind w:right="42"/>
              <w:spacing w:after="0"/>
              <w:rPr>
                <w:sz w:val="20"/>
                <w:szCs w:val="20"/>
                <w:color w:val="auto"/>
              </w:rPr>
            </w:pPr>
            <w:r>
              <w:rPr>
                <w:rFonts w:ascii="Arial" w:cs="Arial" w:eastAsia="Arial" w:hAnsi="Arial"/>
                <w:sz w:val="11"/>
                <w:szCs w:val="11"/>
                <w:b w:val="1"/>
                <w:bCs w:val="1"/>
                <w:color w:val="auto"/>
              </w:rPr>
              <w:t>(In thousands)</w:t>
            </w: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spacing w:after="0"/>
              <w:rPr>
                <w:sz w:val="20"/>
                <w:szCs w:val="20"/>
                <w:color w:val="auto"/>
              </w:rPr>
            </w:pPr>
            <w:r>
              <w:rPr>
                <w:rFonts w:ascii="Arial" w:cs="Arial" w:eastAsia="Arial" w:hAnsi="Arial"/>
                <w:sz w:val="12"/>
                <w:szCs w:val="12"/>
                <w:color w:val="auto"/>
              </w:rPr>
              <w:t>Accounts receivable, net:</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Billed</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272,689</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172,559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Unbilled</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102,111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70,785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Allowance for doubtful accounts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2"/>
                <w:szCs w:val="12"/>
                <w:color w:val="auto"/>
              </w:rPr>
              <w:t>(5,578)</w:t>
            </w:r>
          </w:p>
        </w:tc>
        <w:tc>
          <w:tcPr>
            <w:tcW w:w="32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(4,692)</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369,222</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238,652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Inventories:</w:t>
            </w:r>
          </w:p>
        </w:tc>
        <w:tc>
          <w:tcPr>
            <w:tcW w:w="1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Raw materials</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86,810</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98,338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Work in process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75,657</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Finished goods</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185,875</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166,459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348,342</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336,672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Prepaid expenses and other current assets:</w:t>
            </w:r>
          </w:p>
        </w:tc>
        <w:tc>
          <w:tcPr>
            <w:tcW w:w="13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Prepaid expenses</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96,144</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94,405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35,025</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25,555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131,169</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119,960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Property, equipment and satellites, net:</w:t>
            </w:r>
          </w:p>
        </w:tc>
        <w:tc>
          <w:tcPr>
            <w:tcW w:w="13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Equipment and software (estimated useful life of 3-7 years)</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1,634,630</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1,505,697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CPE leased equipment (estimated useful life of 4-5 years)</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405,349</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409,942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Furniture and fixtures (estimated useful life of 7 years)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58,497</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57,433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Leasehold improvements (estimated useful life of 2-17 years)</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152,806</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149,324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Buildings (estimated useful life of 12-38 years)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12,385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Land</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3,973</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Construction in progress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277,795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219,482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(estimated useful life of 7-17 years)</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1,063,748</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969,952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173,480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173,467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under construction</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1,570,169</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1,338,408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5,352,832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4,834,919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Less: accumulated depreciation and amortization</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(1,887,465)</w:t>
            </w: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(1,784,436)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3,465,367</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3,050,483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acquired intangible assets, net:</w:t>
            </w:r>
          </w:p>
        </w:tc>
        <w:tc>
          <w:tcPr>
            <w:tcW w:w="13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Technology (weighted average useful life of 7 years)</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151,739</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78,185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Contracts and customer relationships (weighted average useful life of 10 years)</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168,204</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55,161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8,600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Trade name (weighted average useful life of 7 years)</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32,128</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 (weighted average useful life of 9 years)</w:t>
            </w:r>
          </w:p>
        </w:tc>
        <w:tc>
          <w:tcPr>
            <w:tcW w:w="13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18,641</w:t>
            </w:r>
          </w:p>
        </w:tc>
        <w:tc>
          <w:tcPr>
            <w:tcW w:w="3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3,663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379,312</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151,549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Less: accumulated amortization</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2"/>
                <w:szCs w:val="12"/>
                <w:color w:val="auto"/>
              </w:rPr>
              <w:t>(135,981)</w:t>
            </w:r>
          </w:p>
        </w:tc>
        <w:tc>
          <w:tcPr>
            <w:tcW w:w="32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(141,981)</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243,331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Other assets:</w:t>
            </w:r>
          </w:p>
        </w:tc>
        <w:tc>
          <w:tcPr>
            <w:tcW w:w="1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Investment in unconsolidated affiliate</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176,938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290,463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273,288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Capitalized software costs, net</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228,910</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237,100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Patents, orbital slots and other licenses, net</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59,338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52,889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107,774</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95,212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686,485</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835,427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Accrued and other liabilities:</w:t>
            </w:r>
          </w:p>
        </w:tc>
        <w:tc>
          <w:tcPr>
            <w:tcW w:w="13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Collections in excess of revenues and deferred revenues</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201,050</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216,594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Accrued employee compensation</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68,042</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87,153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Accrued vacation</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54,606</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59,509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current portion</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5,234</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Operating lease liabilities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51,683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48,896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130,478</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113,986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511,093</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532,831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liabilities:</w:t>
            </w:r>
          </w:p>
        </w:tc>
        <w:tc>
          <w:tcPr>
            <w:tcW w:w="13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Deferred revenues, long-term portion</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86,569</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84,654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long-term portion</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6,036</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Satellite performance incentive obligations, long-term portion</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20,471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22,191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Deferred income taxes, long-term</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15,651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35,220</w:t>
            </w:r>
          </w:p>
        </w:tc>
        <w:tc>
          <w:tcPr>
            <w:tcW w:w="3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25,312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163,947</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137,350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8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7"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jc w:val="both"/>
        <w:ind w:left="1000" w:right="4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320" w:firstLine="510"/>
        <w:spacing w:after="0" w:line="246" w:lineRule="auto"/>
        <w:rPr>
          <w:sz w:val="20"/>
          <w:szCs w:val="20"/>
          <w:color w:val="auto"/>
        </w:rPr>
      </w:pPr>
      <w:r>
        <w:rPr>
          <w:rFonts w:ascii="Arial" w:cs="Arial" w:eastAsia="Arial" w:hAnsi="Arial"/>
          <w:sz w:val="18"/>
          <w:szCs w:val="18"/>
          <w:color w:val="auto"/>
        </w:rPr>
        <w:t>The Company had $5.0 million in cash equivalents (Level 1) and no liabilities measured at fair value on a recurring basis as of both September 30, 2021 and March 31, 2021.</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10"/>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6"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acquisition of the remaining 51% interest in Euro Infrastructure Co. on April 30, 2021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12 — Acquisitions for more information), part of the purchase price consideration will not be determined until two years after the closing date, when the Company may pay or receive up to €20.0 million, or approximately $23.4 million, in cash. The consideration to be paid in the future is contingent based on certain outcomes as defined in the acquisition agreement. Each reporting period, the Company estimates the fair value of the contingent consideration based on unobservable inputs and probability weightings using standard valuation techniques (Level 3). The fair value amount is currently recorded in other assets on the condensed consolidated balance sheets and any change to fair value is recorded in the Company’s condensed consolidated statements of operations each reporting period. As of and for the three-month and six-month periods ended September 30, 2021, the Company’s fair value estimate, and change in fair value of the contingent consideration since the acquisition date, were immaterial.</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the Credit Facilities), $700.0 million in aggregate principal amount of 2025 Notes, $600.0 million in aggregate principal amount</w:t>
      </w:r>
    </w:p>
    <w:p>
      <w:pPr>
        <w:spacing w:after="0" w:line="234" w:lineRule="auto"/>
        <w:rPr>
          <w:sz w:val="20"/>
          <w:szCs w:val="20"/>
          <w:color w:val="auto"/>
        </w:rPr>
      </w:pPr>
      <w:r>
        <w:rPr>
          <w:rFonts w:ascii="Arial" w:cs="Arial" w:eastAsia="Arial" w:hAnsi="Arial"/>
          <w:sz w:val="18"/>
          <w:szCs w:val="18"/>
          <w:color w:val="auto"/>
        </w:rPr>
        <w:t>of 2027 Notes, $400.0 million in aggregate principal amount of 2028 Notes and finance lease obligations reported at the present value of</w:t>
      </w:r>
    </w:p>
    <w:p>
      <w:pPr>
        <w:spacing w:after="0" w:line="235" w:lineRule="auto"/>
        <w:rPr>
          <w:sz w:val="20"/>
          <w:szCs w:val="20"/>
          <w:color w:val="auto"/>
        </w:rPr>
      </w:pPr>
      <w:r>
        <w:rPr>
          <w:rFonts w:ascii="Arial" w:cs="Arial" w:eastAsia="Arial" w:hAnsi="Arial"/>
          <w:sz w:val="18"/>
          <w:szCs w:val="18"/>
          <w:color w:val="auto"/>
        </w:rPr>
        <w:t>future minimum lease payments with current accrued interest. Long-term debt related to the Revolving Credit Facility is reported at the</w:t>
      </w:r>
    </w:p>
    <w:p>
      <w:pPr>
        <w:spacing w:after="0" w:line="235" w:lineRule="auto"/>
        <w:rPr>
          <w:sz w:val="20"/>
          <w:szCs w:val="20"/>
          <w:color w:val="auto"/>
        </w:rPr>
      </w:pPr>
      <w:r>
        <w:rPr>
          <w:rFonts w:ascii="Arial" w:cs="Arial" w:eastAsia="Arial" w:hAnsi="Arial"/>
          <w:sz w:val="18"/>
          <w:szCs w:val="18"/>
          <w:color w:val="auto"/>
        </w:rPr>
        <w:t>outstanding principal amount of borrowings, while long-term debt related to the Ex-Im Credit Facility, the 2025 Notes, the 2027 Notes and the</w:t>
      </w:r>
    </w:p>
    <w:p>
      <w:pPr>
        <w:spacing w:after="0" w:line="235" w:lineRule="auto"/>
        <w:rPr>
          <w:sz w:val="20"/>
          <w:szCs w:val="20"/>
          <w:color w:val="auto"/>
        </w:rPr>
      </w:pPr>
      <w:r>
        <w:rPr>
          <w:rFonts w:ascii="Arial" w:cs="Arial" w:eastAsia="Arial" w:hAnsi="Arial"/>
          <w:sz w:val="18"/>
          <w:szCs w:val="18"/>
          <w:color w:val="auto"/>
        </w:rPr>
        <w:t>2028 Notes is reported at amortized cost. However, for disclosure purposes, the Company is required to measure the fair value of</w:t>
      </w:r>
    </w:p>
    <w:p>
      <w:pPr>
        <w:spacing w:after="0" w:line="235" w:lineRule="auto"/>
        <w:rPr>
          <w:sz w:val="20"/>
          <w:szCs w:val="20"/>
          <w:color w:val="auto"/>
        </w:rPr>
      </w:pPr>
      <w:r>
        <w:rPr>
          <w:rFonts w:ascii="Arial" w:cs="Arial" w:eastAsia="Arial" w:hAnsi="Arial"/>
          <w:sz w:val="18"/>
          <w:szCs w:val="18"/>
          <w:color w:val="auto"/>
        </w:rPr>
        <w:t>outstanding debt on a recurring basis. The fair value of the Company’s long-term debt related to the Revolving Credit Facility approximates</w:t>
      </w:r>
    </w:p>
    <w:p>
      <w:pPr>
        <w:spacing w:after="0" w:line="234" w:lineRule="auto"/>
        <w:rPr>
          <w:sz w:val="20"/>
          <w:szCs w:val="20"/>
          <w:color w:val="auto"/>
        </w:rPr>
      </w:pPr>
      <w:r>
        <w:rPr>
          <w:rFonts w:ascii="Arial" w:cs="Arial" w:eastAsia="Arial" w:hAnsi="Arial"/>
          <w:sz w:val="18"/>
          <w:szCs w:val="18"/>
          <w:color w:val="auto"/>
        </w:rPr>
        <w:t>its carrying amount due to its variable interest rate, which approximates a market interest rate. As of September 30, 2021 and March 31,</w:t>
      </w:r>
    </w:p>
    <w:p>
      <w:pPr>
        <w:spacing w:after="0" w:line="235" w:lineRule="auto"/>
        <w:rPr>
          <w:sz w:val="20"/>
          <w:szCs w:val="20"/>
          <w:color w:val="auto"/>
        </w:rPr>
      </w:pPr>
      <w:r>
        <w:rPr>
          <w:rFonts w:ascii="Arial" w:cs="Arial" w:eastAsia="Arial" w:hAnsi="Arial"/>
          <w:sz w:val="18"/>
          <w:szCs w:val="18"/>
          <w:color w:val="auto"/>
        </w:rPr>
        <w:t>2021, the fair value of the Company’s long-term debt related to the Ex-Im Credit Facility was determined based on a discounted cash flow</w:t>
      </w:r>
    </w:p>
    <w:p>
      <w:pPr>
        <w:spacing w:after="0" w:line="235" w:lineRule="auto"/>
        <w:rPr>
          <w:sz w:val="20"/>
          <w:szCs w:val="20"/>
          <w:color w:val="auto"/>
        </w:rPr>
      </w:pPr>
      <w:r>
        <w:rPr>
          <w:rFonts w:ascii="Arial" w:cs="Arial" w:eastAsia="Arial" w:hAnsi="Arial"/>
          <w:sz w:val="18"/>
          <w:szCs w:val="18"/>
          <w:color w:val="auto"/>
        </w:rPr>
        <w:t>analysis using observable market interest rates for instruments with similar terms (Level 2) and was approximately $89.5 million and</w:t>
      </w:r>
    </w:p>
    <w:p>
      <w:pPr>
        <w:spacing w:after="0" w:line="235" w:lineRule="auto"/>
        <w:rPr>
          <w:sz w:val="20"/>
          <w:szCs w:val="20"/>
          <w:color w:val="auto"/>
        </w:rPr>
      </w:pPr>
      <w:r>
        <w:rPr>
          <w:rFonts w:ascii="Arial" w:cs="Arial" w:eastAsia="Arial" w:hAnsi="Arial"/>
          <w:sz w:val="18"/>
          <w:szCs w:val="18"/>
          <w:color w:val="auto"/>
        </w:rPr>
        <w:t>$100.1 million, respectively. As of September 30, 2021 and March 31, 2021, the estimated fair value of the Company’s outstanding long-term</w:t>
      </w:r>
    </w:p>
    <w:p>
      <w:pPr>
        <w:spacing w:after="0" w:line="235" w:lineRule="auto"/>
        <w:rPr>
          <w:sz w:val="20"/>
          <w:szCs w:val="20"/>
          <w:color w:val="auto"/>
        </w:rPr>
      </w:pPr>
      <w:r>
        <w:rPr>
          <w:rFonts w:ascii="Arial" w:cs="Arial" w:eastAsia="Arial" w:hAnsi="Arial"/>
          <w:sz w:val="18"/>
          <w:szCs w:val="18"/>
          <w:color w:val="auto"/>
        </w:rPr>
        <w:t>debt related to each series of Notes was determined based on actual or estimated bids and offers for such series of Notes in an over-the-</w:t>
      </w:r>
    </w:p>
    <w:p>
      <w:pPr>
        <w:spacing w:after="0" w:line="234" w:lineRule="auto"/>
        <w:rPr>
          <w:sz w:val="20"/>
          <w:szCs w:val="20"/>
          <w:color w:val="auto"/>
        </w:rPr>
      </w:pPr>
      <w:r>
        <w:rPr>
          <w:rFonts w:ascii="Arial" w:cs="Arial" w:eastAsia="Arial" w:hAnsi="Arial"/>
          <w:sz w:val="18"/>
          <w:szCs w:val="18"/>
          <w:color w:val="auto"/>
        </w:rPr>
        <w:t>counter market (Level 2) and was $708.1 million and $709.6 million, respectively, for the 2025 Notes, $624.0 million and $629.2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 for the 2027 Notes, and $420.3 million and $420.5 million, respectively, for the 2028 Notes.</w:t>
      </w:r>
    </w:p>
    <w:p>
      <w:pPr>
        <w:spacing w:after="0" w:line="140" w:lineRule="exact"/>
        <w:rPr>
          <w:sz w:val="20"/>
          <w:szCs w:val="20"/>
          <w:color w:val="auto"/>
        </w:rPr>
      </w:pPr>
    </w:p>
    <w:p>
      <w:pPr>
        <w:ind w:right="100" w:firstLine="510"/>
        <w:spacing w:after="0" w:line="250"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the manufacturers of the ViaSat-1 and ViaSat-2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Company to make monthly in-orbit satellite performance incentive payments, including interest, through fiscal year 2027 and fiscal year 2028, respectively, subject to the continued satisfactory performance 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September 30, 2021 and March 31, 2021, the Company’s estimated satellite performance incentive obligations relating to the ViaSat-1 and ViaSat-2 satellites, including accrued interest, were $</w:t>
      </w:r>
      <w:r>
        <w:rPr>
          <w:rFonts w:ascii="Arial" w:cs="Arial" w:eastAsia="Arial" w:hAnsi="Arial"/>
          <w:sz w:val="18"/>
          <w:szCs w:val="18"/>
          <w:i w:val="1"/>
          <w:iCs w:val="1"/>
          <w:color w:val="auto"/>
        </w:rPr>
        <w:t>25.6</w:t>
      </w:r>
      <w:r>
        <w:rPr>
          <w:rFonts w:ascii="Arial" w:cs="Arial" w:eastAsia="Arial" w:hAnsi="Arial"/>
          <w:sz w:val="18"/>
          <w:szCs w:val="18"/>
          <w:color w:val="auto"/>
        </w:rPr>
        <w:t xml:space="preserve"> million and $</w:t>
      </w:r>
      <w:r>
        <w:rPr>
          <w:rFonts w:ascii="Arial" w:cs="Arial" w:eastAsia="Arial" w:hAnsi="Arial"/>
          <w:sz w:val="18"/>
          <w:szCs w:val="18"/>
          <w:i w:val="1"/>
          <w:iCs w:val="1"/>
          <w:color w:val="auto"/>
        </w:rPr>
        <w:t>27.1</w:t>
      </w:r>
      <w:r>
        <w:rPr>
          <w:rFonts w:ascii="Arial" w:cs="Arial" w:eastAsia="Arial" w:hAnsi="Arial"/>
          <w:sz w:val="18"/>
          <w:szCs w:val="18"/>
          <w:color w:val="auto"/>
        </w:rPr>
        <w:t xml:space="preserve">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290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90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0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760" w:type="dxa"/>
            <w:vAlign w:val="bottom"/>
            <w:gridSpan w:val="3"/>
          </w:tcPr>
          <w:p>
            <w:pPr>
              <w:ind w:left="200"/>
              <w:spacing w:after="0"/>
              <w:rPr>
                <w:sz w:val="20"/>
                <w:szCs w:val="20"/>
                <w:color w:val="auto"/>
              </w:rPr>
            </w:pPr>
            <w:r>
              <w:rPr>
                <w:rFonts w:ascii="Arial" w:cs="Arial" w:eastAsia="Arial" w:hAnsi="Arial"/>
                <w:sz w:val="14"/>
                <w:szCs w:val="14"/>
                <w:b w:val="1"/>
                <w:bCs w:val="1"/>
                <w:color w:val="auto"/>
              </w:rPr>
              <w:t>September 30, 2020</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660" w:type="dxa"/>
            <w:vAlign w:val="bottom"/>
            <w:gridSpan w:val="3"/>
          </w:tcPr>
          <w:p>
            <w:pPr>
              <w:ind w:left="200"/>
              <w:spacing w:after="0"/>
              <w:rPr>
                <w:sz w:val="20"/>
                <w:szCs w:val="20"/>
                <w:color w:val="auto"/>
              </w:rPr>
            </w:pPr>
            <w:r>
              <w:rPr>
                <w:rFonts w:ascii="Arial" w:cs="Arial" w:eastAsia="Arial" w:hAnsi="Arial"/>
                <w:sz w:val="14"/>
                <w:szCs w:val="14"/>
                <w:b w:val="1"/>
                <w:bCs w:val="1"/>
                <w:color w:val="auto"/>
              </w:rPr>
              <w:t>September 30, 2020</w:t>
            </w:r>
          </w:p>
        </w:tc>
      </w:tr>
      <w:tr>
        <w:trPr>
          <w:trHeight w:val="169"/>
        </w:trPr>
        <w:tc>
          <w:tcPr>
            <w:tcW w:w="40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900" w:type="dxa"/>
            <w:vAlign w:val="bottom"/>
            <w:tcBorders>
              <w:top w:val="single" w:sz="8" w:color="auto"/>
            </w:tcBorders>
            <w:gridSpan w:val="3"/>
          </w:tcPr>
          <w:p>
            <w:pPr>
              <w:jc w:val="right"/>
              <w:ind w:right="875"/>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Common shares outstanding used in</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calculating basic net income (loss)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per share attributable to Viasat, Inc.</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tcPr>
          <w:p>
            <w:pPr>
              <w:ind w:left="140"/>
              <w:spacing w:after="0" w:line="203" w:lineRule="exact"/>
              <w:rPr>
                <w:sz w:val="20"/>
                <w:szCs w:val="20"/>
                <w:color w:val="auto"/>
              </w:rPr>
            </w:pPr>
            <w:r>
              <w:rPr>
                <w:rFonts w:ascii="Arial" w:cs="Arial" w:eastAsia="Arial" w:hAnsi="Arial"/>
                <w:sz w:val="18"/>
                <w:szCs w:val="18"/>
                <w:color w:val="auto"/>
              </w:rPr>
              <w:t>common stockholders</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73,544</w:t>
            </w:r>
          </w:p>
        </w:tc>
        <w:tc>
          <w:tcPr>
            <w:tcW w:w="1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66,576</w:t>
            </w:r>
          </w:p>
        </w:tc>
        <w:tc>
          <w:tcPr>
            <w:tcW w:w="2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72,549</w:t>
            </w:r>
          </w:p>
        </w:tc>
        <w:tc>
          <w:tcPr>
            <w:tcW w:w="1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64,554</w:t>
            </w:r>
          </w:p>
        </w:tc>
        <w:tc>
          <w:tcPr>
            <w:tcW w:w="100" w:type="dxa"/>
            <w:vAlign w:val="bottom"/>
          </w:tcPr>
          <w:p>
            <w:pPr>
              <w:spacing w:after="0"/>
              <w:rPr>
                <w:sz w:val="17"/>
                <w:szCs w:val="17"/>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 as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0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determined by application of the</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treasury stock method</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TSR performance stock options to</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purchase common stock as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determined by application of the</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tcPr>
          <w:p>
            <w:pPr>
              <w:ind w:left="140"/>
              <w:spacing w:after="0" w:line="203" w:lineRule="exact"/>
              <w:rPr>
                <w:sz w:val="20"/>
                <w:szCs w:val="20"/>
                <w:color w:val="auto"/>
              </w:rPr>
            </w:pPr>
            <w:r>
              <w:rPr>
                <w:rFonts w:ascii="Arial" w:cs="Arial" w:eastAsia="Arial" w:hAnsi="Arial"/>
                <w:sz w:val="18"/>
                <w:szCs w:val="18"/>
                <w:color w:val="auto"/>
              </w:rPr>
              <w:t>treasury stock method</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178</w:t>
            </w:r>
          </w:p>
        </w:tc>
        <w:tc>
          <w:tcPr>
            <w:tcW w:w="200" w:type="dxa"/>
            <w:vAlign w:val="bottom"/>
          </w:tcPr>
          <w:p>
            <w:pPr>
              <w:spacing w:after="0"/>
              <w:rPr>
                <w:sz w:val="17"/>
                <w:szCs w:val="17"/>
                <w:color w:val="auto"/>
              </w:rPr>
            </w:pPr>
          </w:p>
        </w:tc>
        <w:tc>
          <w:tcPr>
            <w:tcW w:w="15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144</w:t>
            </w:r>
          </w:p>
        </w:tc>
        <w:tc>
          <w:tcPr>
            <w:tcW w:w="200" w:type="dxa"/>
            <w:vAlign w:val="bottom"/>
          </w:tcPr>
          <w:p>
            <w:pPr>
              <w:spacing w:after="0"/>
              <w:rPr>
                <w:sz w:val="17"/>
                <w:szCs w:val="17"/>
                <w:color w:val="auto"/>
              </w:rPr>
            </w:pPr>
          </w:p>
        </w:tc>
        <w:tc>
          <w:tcPr>
            <w:tcW w:w="14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to acquire</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0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common stock as determined by</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application of the treasury stock</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method</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942</w:t>
            </w:r>
          </w:p>
        </w:tc>
        <w:tc>
          <w:tcPr>
            <w:tcW w:w="15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132</w:t>
            </w: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809</w:t>
            </w:r>
          </w:p>
        </w:tc>
        <w:tc>
          <w:tcPr>
            <w:tcW w:w="2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Potentially issuable shares in</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connection with certain terms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of the Viasat 401(k) Profit</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Sharing Plan and Employee Stock</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tcPr>
          <w:p>
            <w:pPr>
              <w:ind w:left="140"/>
              <w:spacing w:after="0" w:line="203" w:lineRule="exact"/>
              <w:rPr>
                <w:sz w:val="20"/>
                <w:szCs w:val="20"/>
                <w:color w:val="auto"/>
              </w:rPr>
            </w:pPr>
            <w:r>
              <w:rPr>
                <w:rFonts w:ascii="Arial" w:cs="Arial" w:eastAsia="Arial" w:hAnsi="Arial"/>
                <w:sz w:val="18"/>
                <w:szCs w:val="18"/>
                <w:color w:val="auto"/>
              </w:rPr>
              <w:t>Purchase Plan</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198</w:t>
            </w:r>
          </w:p>
        </w:tc>
        <w:tc>
          <w:tcPr>
            <w:tcW w:w="1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298</w:t>
            </w:r>
          </w:p>
        </w:tc>
        <w:tc>
          <w:tcPr>
            <w:tcW w:w="2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352</w:t>
            </w:r>
          </w:p>
        </w:tc>
        <w:tc>
          <w:tcPr>
            <w:tcW w:w="200" w:type="dxa"/>
            <w:vAlign w:val="bottom"/>
          </w:tcPr>
          <w:p>
            <w:pPr>
              <w:spacing w:after="0"/>
              <w:rPr>
                <w:sz w:val="17"/>
                <w:szCs w:val="17"/>
                <w:color w:val="auto"/>
              </w:rPr>
            </w:pPr>
          </w:p>
        </w:tc>
        <w:tc>
          <w:tcPr>
            <w:tcW w:w="14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9"/>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computing diluted net</w:t>
            </w:r>
          </w:p>
        </w:tc>
        <w:tc>
          <w:tcPr>
            <w:tcW w:w="13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40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income (loss) per share attributable</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to Viasat, Inc. common stockholders</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74,872</w:t>
            </w:r>
          </w:p>
        </w:tc>
        <w:tc>
          <w:tcPr>
            <w:tcW w:w="15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67,006</w:t>
            </w: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73,862</w:t>
            </w:r>
          </w:p>
        </w:tc>
        <w:tc>
          <w:tcPr>
            <w:tcW w:w="15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64,554</w:t>
            </w:r>
          </w:p>
        </w:tc>
        <w:tc>
          <w:tcPr>
            <w:tcW w:w="100" w:type="dxa"/>
            <w:vAlign w:val="bottom"/>
            <w:shd w:val="clear" w:color="auto" w:fill="CFF0FC"/>
          </w:tcPr>
          <w:p>
            <w:pPr>
              <w:spacing w:after="0"/>
              <w:rPr>
                <w:sz w:val="17"/>
                <w:szCs w:val="17"/>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Antidilutive shares excluded from the calculation for the three months ended September 30, 2021 and 2020 consisted of 983,561 and 1,221,537 shares related to stock options (other than TSR performance stock options), respectively, no shares related to TSR performance stock options, 848,711 and 2,539,518 shares related to restricted stock units, respectively, and 8,861 and 15,572 shares related to certain terms of the Employee Stock Purchase Plan, respectively. Antidilutive shares excluded from the calculation for the six months ended September 30, 2021 consisted of 971,884 shares related to stock options (other than TSR performance stock options), zero shares related to TSR performance stock options, 917,918 shares related to restricted stock units, and 6,194 shares related to certain terms of the Employee Stock Purchase Plan.</w:t>
      </w:r>
    </w:p>
    <w:p>
      <w:pPr>
        <w:spacing w:after="0" w:line="18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six months ended September 30, 2020, as the Company incurred a net loss attributable to Viasat, Inc. common stockholders for such periods and inclusion of potentially dilutive weighted average shares of common stock would be antidilutive. Potentially dilutive weighted average shares excluded from the calculation for the six months ended September 30, 2020 consisted of 1,223,375 shares related to stock options (other than TSR performance stock options), no shares related to TSR performance stock options, 2,623,634 shares related to restricted stock units and 416,650 shares related to certain terms of the Viasat 401(k) Profit Sharing Plan and Employee Stock Purchase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85"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During the six months ended September 30, 2021, the increase in the Company’s goodwill primarily related to the acquisitions of the remaining 51% interest in Euro Infrastructure Co. and of RigNet on April 30, 2021 (see Note 12 – Acquisitions for more information) and an insignificant effect of foreign currency translation recorded within all three of the Company’s segments. During the six months ended September 30, 2020, the increase in the Company’s goodwill related to the effects of foreign currency translation recorded within all three of the Company’s segments.</w:t>
      </w:r>
    </w:p>
    <w:p>
      <w:pPr>
        <w:spacing w:after="0" w:line="148"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12 years (which approximates the economic pattern of benefit). Amortization expense related to other acquired intangible assets was $ 7.4 million and $1.3 million for the three months ended September 30, 2021 and 2020, respectively, and $13.3 million and $2.9 million for the six months ended September 30, 2021 and 2020, respectively.</w:t>
      </w:r>
    </w:p>
    <w:p>
      <w:pPr>
        <w:spacing w:after="0" w:line="151" w:lineRule="exact"/>
        <w:rPr>
          <w:sz w:val="20"/>
          <w:szCs w:val="20"/>
          <w:color w:val="auto"/>
        </w:rPr>
      </w:pPr>
    </w:p>
    <w:p>
      <w:pPr>
        <w:ind w:right="220" w:firstLine="510"/>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The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r>
      <w:tr>
        <w:trPr>
          <w:trHeight w:val="169"/>
        </w:trPr>
        <w:tc>
          <w:tcPr>
            <w:tcW w:w="5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2021</w:t>
            </w: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13,328</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2022</w:t>
            </w: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14,966</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29,935</w:t>
            </w: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28,371</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for fiscal year 2025</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26,252</w:t>
            </w: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2026</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26,100</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117,707</w:t>
            </w:r>
          </w:p>
        </w:tc>
        <w:tc>
          <w:tcPr>
            <w:tcW w:w="120" w:type="dxa"/>
            <w:vAlign w:val="bottom"/>
            <w:tcBorders>
              <w:bottom w:val="single" w:sz="8" w:color="CFF0FC"/>
            </w:tcBorders>
          </w:tcPr>
          <w:p>
            <w:pPr>
              <w:spacing w:after="0"/>
              <w:rPr>
                <w:sz w:val="18"/>
                <w:szCs w:val="18"/>
                <w:color w:val="auto"/>
              </w:rPr>
            </w:pPr>
          </w:p>
        </w:tc>
      </w:tr>
      <w:tr>
        <w:trPr>
          <w:trHeight w:val="210"/>
        </w:trPr>
        <w:tc>
          <w:tcPr>
            <w:tcW w:w="598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243,331</w:t>
            </w:r>
          </w:p>
        </w:tc>
        <w:tc>
          <w:tcPr>
            <w:tcW w:w="120" w:type="dxa"/>
            <w:vAlign w:val="bottom"/>
            <w:shd w:val="clear" w:color="auto" w:fill="CFF0FC"/>
          </w:tcPr>
          <w:p>
            <w:pPr>
              <w:spacing w:after="0"/>
              <w:rPr>
                <w:sz w:val="18"/>
                <w:szCs w:val="18"/>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20" w:firstLine="510"/>
        <w:spacing w:after="0" w:line="246" w:lineRule="auto"/>
        <w:rPr>
          <w:sz w:val="20"/>
          <w:szCs w:val="20"/>
          <w:color w:val="auto"/>
        </w:rPr>
      </w:pPr>
      <w:r>
        <w:rPr>
          <w:rFonts w:ascii="Arial" w:cs="Arial" w:eastAsia="Arial" w:hAnsi="Arial"/>
          <w:sz w:val="18"/>
          <w:szCs w:val="18"/>
          <w:color w:val="auto"/>
        </w:rPr>
        <w:t>In the first quarter of fiscal year 2022, the gross amount and accumulated amortization for acquired identifiable intangible assets were reduced by the retirement of fully amortized assets that were no longer in use.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September 30, 2021 and March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6"/>
          </w:tcPr>
          <w:p>
            <w:pPr>
              <w:jc w:val="right"/>
              <w:ind w:right="14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2028 Notes</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2027 Notes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Revolving Credit Facility</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98,261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Finance lease obligations (see Note 1)</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56,336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2,159,551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1,854,597</w:t>
            </w: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Unamortized discount and debt issuance costs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(19,013)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(21,441)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Total long-term debt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2,110,573</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1,802,684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0" w:type="dxa"/>
            <w:vAlign w:val="bottom"/>
            <w:vMerge w:val="restart"/>
          </w:tcPr>
          <w:p>
            <w:pPr>
              <w:jc w:val="right"/>
              <w:ind w:right="570"/>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As of September 30, 2021, the Revolving Credit Facility provided a $ 700.0 million revolving line of credit (including up to $150.0 million of letters of credit), with a maturity date of January 18, 2024. At September 30, 2021, the Company had $320.0 million in principal amount of outstanding borrowings under the Revolving Credit Facility and $52.8 million outstanding under standby letters of credit, leaving borrowing availability under the Revolving Credit Facility as of September 30, 2021 of $327.2 million.</w:t>
      </w:r>
    </w:p>
    <w:p>
      <w:pPr>
        <w:spacing w:after="0" w:line="15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As of September 30, 2021, the weighted average effective interest rate on the Company’s outstanding borrowings under the Revolving Credit Facility was 1.84%.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September 30, 2021, none of the Company’s subsidiaries guaranteed the Revolving Credit Facility.</w:t>
      </w:r>
    </w:p>
    <w:p>
      <w:pPr>
        <w:spacing w:after="0" w:line="154"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September 30,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w:t>
      </w:r>
    </w:p>
    <w:p>
      <w:pPr>
        <w:spacing w:after="0" w:line="234" w:lineRule="auto"/>
        <w:rPr>
          <w:sz w:val="20"/>
          <w:szCs w:val="20"/>
          <w:color w:val="auto"/>
        </w:rPr>
      </w:pPr>
      <w:r>
        <w:rPr>
          <w:rFonts w:ascii="Arial" w:cs="Arial" w:eastAsia="Arial" w:hAnsi="Arial"/>
          <w:sz w:val="18"/>
          <w:szCs w:val="18"/>
          <w:color w:val="auto"/>
        </w:rPr>
        <w:t>$362.4 million in principal amount of borrowings made under the Ex-Im Credit Facility, $321.2 million was used to finance up to 85% of the</w:t>
      </w:r>
    </w:p>
    <w:p>
      <w:pPr>
        <w:spacing w:after="0" w:line="235" w:lineRule="auto"/>
        <w:rPr>
          <w:sz w:val="20"/>
          <w:szCs w:val="20"/>
          <w:color w:val="auto"/>
        </w:rPr>
      </w:pPr>
      <w:r>
        <w:rPr>
          <w:rFonts w:ascii="Arial" w:cs="Arial" w:eastAsia="Arial" w:hAnsi="Arial"/>
          <w:sz w:val="18"/>
          <w:szCs w:val="18"/>
          <w:color w:val="auto"/>
        </w:rPr>
        <w:t>costs of 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As of September 30, 2021, the Company had $88.4 million in principal amount of</w:t>
      </w:r>
    </w:p>
    <w:p>
      <w:pPr>
        <w:spacing w:after="0"/>
        <w:rPr>
          <w:sz w:val="20"/>
          <w:szCs w:val="20"/>
          <w:color w:val="auto"/>
        </w:rPr>
      </w:pPr>
      <w:r>
        <w:rPr>
          <w:rFonts w:ascii="Arial" w:cs="Arial" w:eastAsia="Arial" w:hAnsi="Arial"/>
          <w:sz w:val="18"/>
          <w:szCs w:val="18"/>
          <w:color w:val="auto"/>
        </w:rPr>
        <w:t>outstanding borrowings under the Ex-Im Credit Facility.</w:t>
      </w:r>
    </w:p>
    <w:p>
      <w:pPr>
        <w:spacing w:after="0" w:line="158"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49"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September 30, 2021.</w:t>
      </w:r>
    </w:p>
    <w:p>
      <w:pPr>
        <w:spacing w:after="0" w:line="151"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8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51"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September 30, 2021,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49" w:lineRule="exact"/>
        <w:rPr>
          <w:sz w:val="20"/>
          <w:szCs w:val="20"/>
          <w:color w:val="auto"/>
        </w:rPr>
      </w:pPr>
    </w:p>
    <w:p>
      <w:pPr>
        <w:ind w:right="380" w:firstLine="510"/>
        <w:spacing w:after="0" w:line="238"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380" w:firstLine="510"/>
        <w:spacing w:after="0" w:line="265" w:lineRule="auto"/>
        <w:rPr>
          <w:sz w:val="20"/>
          <w:szCs w:val="20"/>
          <w:color w:val="auto"/>
        </w:rPr>
      </w:pPr>
      <w:r>
        <w:rPr>
          <w:rFonts w:ascii="Arial" w:cs="Arial" w:eastAsia="Arial" w:hAnsi="Arial"/>
          <w:sz w:val="17"/>
          <w:szCs w:val="17"/>
          <w:color w:val="auto"/>
        </w:rPr>
        <w:t>Prior to July 15, 2023, the Company may redeem up to 40% of the 2028 Notes at a redemption price of 106.500% of the principal amount thereof, plus accrued and unpaid interest, if any, thereon to the redemption date, from the net cash proceeds of specified equity</w:t>
      </w:r>
    </w:p>
    <w:p>
      <w:pPr>
        <w:ind w:right="20"/>
        <w:spacing w:after="0" w:line="238" w:lineRule="auto"/>
        <w:rPr>
          <w:sz w:val="20"/>
          <w:szCs w:val="20"/>
          <w:color w:val="auto"/>
        </w:rPr>
      </w:pPr>
      <w:r>
        <w:rPr>
          <w:rFonts w:ascii="Arial" w:cs="Arial" w:eastAsia="Arial" w:hAnsi="Arial"/>
          <w:sz w:val="18"/>
          <w:szCs w:val="18"/>
          <w:color w:val="auto"/>
        </w:rPr>
        <w:t>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48" w:lineRule="exact"/>
        <w:rPr>
          <w:sz w:val="20"/>
          <w:szCs w:val="20"/>
          <w:color w:val="auto"/>
        </w:rPr>
      </w:pPr>
    </w:p>
    <w:p>
      <w:pPr>
        <w:jc w:val="both"/>
        <w:ind w:right="6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51" w:lineRule="exact"/>
        <w:rPr>
          <w:sz w:val="20"/>
          <w:szCs w:val="20"/>
          <w:color w:val="auto"/>
        </w:rPr>
      </w:pPr>
    </w:p>
    <w:p>
      <w:pPr>
        <w:ind w:right="180" w:firstLine="510"/>
        <w:spacing w:after="0" w:line="246"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September 30, 2021, none of the Company’s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subsidiaries guaranteed the 2027 Notes. The 2027 Notes are secured, equally and ratably with the Revolving Credit Facility and any future parity lien debt, by liens on substantially all of the Company’s assets.</w:t>
      </w:r>
    </w:p>
    <w:p>
      <w:pPr>
        <w:spacing w:after="0" w:line="143"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54" w:lineRule="exact"/>
        <w:rPr>
          <w:sz w:val="20"/>
          <w:szCs w:val="20"/>
          <w:color w:val="auto"/>
        </w:rPr>
      </w:pPr>
    </w:p>
    <w:p>
      <w:pPr>
        <w:ind w:right="440" w:firstLine="510"/>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0" w:lineRule="exact"/>
        <w:rPr>
          <w:sz w:val="20"/>
          <w:szCs w:val="20"/>
          <w:color w:val="auto"/>
        </w:rPr>
      </w:pPr>
    </w:p>
    <w:p>
      <w:pPr>
        <w:jc w:val="both"/>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September 30, 2021,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60" w:firstLine="510"/>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320" w:firstLine="510"/>
        <w:spacing w:after="0"/>
        <w:rPr>
          <w:sz w:val="20"/>
          <w:szCs w:val="20"/>
          <w:color w:val="auto"/>
        </w:rPr>
      </w:pPr>
      <w:r>
        <w:rPr>
          <w:rFonts w:ascii="Arial" w:cs="Arial" w:eastAsia="Arial" w:hAnsi="Arial"/>
          <w:sz w:val="18"/>
          <w:szCs w:val="18"/>
          <w:color w:val="auto"/>
        </w:rPr>
        <w:t>The 2025 Notes may be redeemed, in whole or in part, at any time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49" w:lineRule="exact"/>
        <w:rPr>
          <w:sz w:val="20"/>
          <w:szCs w:val="20"/>
          <w:color w:val="auto"/>
        </w:rPr>
      </w:pPr>
    </w:p>
    <w:p>
      <w:pPr>
        <w:jc w:val="both"/>
        <w:ind w:right="14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September 30, 2021 and 2020:</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r>
      <w:tr>
        <w:trPr>
          <w:trHeight w:val="156"/>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169"/>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3,423</w:t>
            </w:r>
          </w:p>
        </w:tc>
        <w:tc>
          <w:tcPr>
            <w:tcW w:w="80" w:type="dxa"/>
            <w:vAlign w:val="bottom"/>
          </w:tcPr>
          <w:p>
            <w:pPr>
              <w:spacing w:after="0"/>
              <w:rPr>
                <w:sz w:val="18"/>
                <w:szCs w:val="18"/>
                <w:color w:val="auto"/>
              </w:rPr>
            </w:pPr>
          </w:p>
        </w:tc>
      </w:tr>
      <w:tr>
        <w:trPr>
          <w:trHeight w:val="215"/>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made (in cash or in kind) during the</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8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period</w:t>
            </w: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(4,680)</w:t>
            </w: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(2,547)</w:t>
            </w: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12,519</w:t>
            </w:r>
          </w:p>
        </w:tc>
        <w:tc>
          <w:tcPr>
            <w:tcW w:w="8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9"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The Company has entered into satellite construction agreements with The Boeing Company (Boeing) for the construction and purchase of three ViaSat-3 class satellites and the integration of Viasat’s payload and technologies into the satellites. See Note 12 – Commitments to the consolidated financial statements included in the Company’s Annual Report on Form 10-K for the year ended March 31, 2021 for information regarding the Company’s future minimum payments under its satellite construction contracts and other satellite-related purchase commitments.</w:t>
      </w:r>
    </w:p>
    <w:p>
      <w:pPr>
        <w:spacing w:after="0" w:line="18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2020 or 2021. As of September 30, 2021, the DCAA had completed its incurred cost audit for fiscal years 2004, 2016 and 2019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2019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2021 and March 31, 2021, the Company had $10.9 million and $10.3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six months ended September 30, 2021 and 2020 by applying the actual effective tax rate to the income (loss) for the three-month and six-month periods.</w:t>
      </w:r>
    </w:p>
    <w:p>
      <w:pPr>
        <w:spacing w:after="0" w:line="154"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For the three and six months ended September 30, 2021, the Company recorded an income tax benefit of $2.9 million and $7.0 million, respectively, resulting in effective tax benefit rates of negative 126% and negative 42%, respectively. The effective tax rates for such periods differed from the U.S. statutory rate primarily due to the benefit of federal and state R&amp;D tax credits and in the six months ended September 30, 2021, due to the reversal of a deferred tax liability recorded for Euro Infrastructure Co.’s outside basis difference upon assertion made during the first quarter of fiscal year 2022 to indefinitely reinvest future earnings.</w:t>
      </w:r>
    </w:p>
    <w:p>
      <w:pPr>
        <w:spacing w:after="0" w:line="148" w:lineRule="exact"/>
        <w:rPr>
          <w:sz w:val="20"/>
          <w:szCs w:val="20"/>
          <w:color w:val="auto"/>
        </w:rPr>
      </w:pPr>
    </w:p>
    <w:p>
      <w:pPr>
        <w:jc w:val="both"/>
        <w:ind w:right="40" w:firstLine="510"/>
        <w:spacing w:after="0"/>
        <w:rPr>
          <w:sz w:val="20"/>
          <w:szCs w:val="20"/>
          <w:color w:val="auto"/>
        </w:rPr>
      </w:pPr>
      <w:r>
        <w:rPr>
          <w:rFonts w:ascii="Arial" w:cs="Arial" w:eastAsia="Arial" w:hAnsi="Arial"/>
          <w:sz w:val="18"/>
          <w:szCs w:val="18"/>
          <w:color w:val="auto"/>
        </w:rPr>
        <w:t>For the three and six months ended September 30, 2020, the Company recorded an income tax benefit of an insignificant amount and $6.4 million, respectively, resulting in effective tax benefit rates of negative 23% and positive 56%, respectively. The effective tax rates for the periods differed from the U.S. statutory rate due primarily to the benefit of federal and state R&amp;D tax credits.</w:t>
      </w:r>
    </w:p>
    <w:p>
      <w:pPr>
        <w:spacing w:after="0" w:line="149"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51" w:lineRule="exact"/>
        <w:rPr>
          <w:sz w:val="20"/>
          <w:szCs w:val="20"/>
          <w:color w:val="auto"/>
        </w:rPr>
      </w:pPr>
    </w:p>
    <w:p>
      <w:pPr>
        <w:ind w:right="280" w:firstLine="510"/>
        <w:spacing w:after="0" w:line="246" w:lineRule="auto"/>
        <w:rPr>
          <w:sz w:val="20"/>
          <w:szCs w:val="20"/>
          <w:color w:val="auto"/>
        </w:rPr>
      </w:pPr>
      <w:r>
        <w:rPr>
          <w:rFonts w:ascii="Arial" w:cs="Arial" w:eastAsia="Arial" w:hAnsi="Arial"/>
          <w:sz w:val="18"/>
          <w:szCs w:val="18"/>
          <w:color w:val="auto"/>
        </w:rPr>
        <w:t>For the three and six months ended September 30, 2021, the Company’s gross unrecognized tax benefits increased by $4.8 million and $6.4 million, respectively, including interest and penalties of an insignificant amount, which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included as a component of the provision for income taxes. In the next 12 months it is reasonably possible that the amount of unrecognized tax benefits will not change significantly.</w:t>
      </w:r>
    </w:p>
    <w:p>
      <w:pPr>
        <w:spacing w:after="0" w:line="188" w:lineRule="exact"/>
        <w:rPr>
          <w:sz w:val="20"/>
          <w:szCs w:val="20"/>
          <w:color w:val="auto"/>
        </w:rPr>
      </w:pPr>
    </w:p>
    <w:p>
      <w:pPr>
        <w:ind w:right="5200"/>
        <w:spacing w:after="0" w:line="333"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Euro Broadband Infrastructure Sàrl</w:t>
      </w:r>
    </w:p>
    <w:p>
      <w:pPr>
        <w:spacing w:after="0" w:line="1"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In March 2017, the Company acquired a 49% interest in Euro Infrastructure Co. for $139.5 million as part of the consummation of the Company’s strategic partnering arrangement with Eutelsat. On April 30, 2021, Euro Infrastructure Co. became a consolidated subsidiary when the Company purchased the remaining 51% interest in Euro Infrastructure Co. from Eutelsat (see Note 12 — Acquisitions — Euro Infrastructure Co. for more information).</w:t>
      </w:r>
    </w:p>
    <w:p>
      <w:pPr>
        <w:spacing w:after="0" w:line="191"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Prior to the purchase of the remaining 51% interest on April 30, 2021, the Company’s investment in Euro Infrastructure Co. was accounted for under the equity method and the total investment including basis difference allocated to tangible assets, identifiable intangible assets, deferred income taxes and goodwill, was classified as a single line item, as an investment in unconsolidated affiliate, in the Company’s condensed consolidated balance sheets. Because the underlying net assets in Euro Infrastructure Co. and the related excess carrying value of investment over the proportionate share of net assets was denominated in Euros, foreign currency translation gains or losses impacted the recorded value of the Company’s investment. Prior to the purchase, the Company’s investment in Euro Infrastructure Co. was presented at cost of investment plus its accumulated proportional share of income or loss, including amortization of the difference in the historical basis of the Company’s contribution, less any distributions it has received.</w:t>
      </w:r>
    </w:p>
    <w:p>
      <w:pPr>
        <w:spacing w:after="0" w:line="194"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March 31, 2021 is summarized as follows: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176,938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20"/>
                <w:szCs w:val="20"/>
                <w:color w:val="auto"/>
              </w:rPr>
            </w:pPr>
            <w:r>
              <w:rPr>
                <w:rFonts w:ascii="Arial" w:cs="Arial" w:eastAsia="Arial" w:hAnsi="Arial"/>
                <w:sz w:val="17"/>
                <w:szCs w:val="17"/>
                <w:color w:val="auto"/>
              </w:rPr>
              <w:t>Less: proportionate share of net assets of Euro</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20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159,394</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00" w:type="dxa"/>
            <w:vAlign w:val="bottom"/>
            <w:shd w:val="clear" w:color="auto" w:fill="CFF0FC"/>
          </w:tcPr>
          <w:p>
            <w:pPr>
              <w:ind w:left="240"/>
              <w:spacing w:after="0" w:line="190" w:lineRule="exact"/>
              <w:rPr>
                <w:sz w:val="20"/>
                <w:szCs w:val="20"/>
                <w:color w:val="auto"/>
              </w:rPr>
            </w:pPr>
            <w:r>
              <w:rPr>
                <w:rFonts w:ascii="Arial" w:cs="Arial" w:eastAsia="Arial" w:hAnsi="Arial"/>
                <w:sz w:val="17"/>
                <w:szCs w:val="17"/>
                <w:color w:val="auto"/>
              </w:rPr>
              <w:t>Excess carrying value of investment over</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proportionate share of net assets</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17,544</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7"/>
                <w:szCs w:val="17"/>
                <w:color w:val="auto"/>
              </w:rPr>
              <w:t>The excess carrying value has been primarily</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200" w:type="dxa"/>
            <w:vAlign w:val="bottom"/>
          </w:tcPr>
          <w:p>
            <w:pPr>
              <w:ind w:left="140"/>
              <w:spacing w:after="0"/>
              <w:rPr>
                <w:sz w:val="20"/>
                <w:szCs w:val="20"/>
                <w:color w:val="auto"/>
              </w:rPr>
            </w:pPr>
            <w:r>
              <w:rPr>
                <w:rFonts w:ascii="Arial" w:cs="Arial" w:eastAsia="Arial" w:hAnsi="Arial"/>
                <w:sz w:val="17"/>
                <w:szCs w:val="17"/>
                <w:color w:val="auto"/>
              </w:rPr>
              <w:t>assigned to:</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23,978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8,332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(15,781)</w:t>
            </w:r>
          </w:p>
        </w:tc>
        <w:tc>
          <w:tcPr>
            <w:tcW w:w="0" w:type="dxa"/>
            <w:vAlign w:val="bottom"/>
          </w:tcPr>
          <w:p>
            <w:pPr>
              <w:spacing w:after="0"/>
              <w:rPr>
                <w:sz w:val="1"/>
                <w:szCs w:val="1"/>
                <w:color w:val="auto"/>
              </w:rPr>
            </w:pPr>
          </w:p>
        </w:tc>
      </w:tr>
      <w:tr>
        <w:trPr>
          <w:trHeight w:val="203"/>
        </w:trPr>
        <w:tc>
          <w:tcPr>
            <w:tcW w:w="62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17,544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64" w:lineRule="auto"/>
        <w:rPr>
          <w:sz w:val="20"/>
          <w:szCs w:val="20"/>
          <w:color w:val="auto"/>
        </w:rPr>
      </w:pPr>
      <w:r>
        <w:rPr>
          <w:rFonts w:ascii="Arial" w:cs="Arial" w:eastAsia="Arial" w:hAnsi="Arial"/>
          <w:sz w:val="18"/>
          <w:szCs w:val="18"/>
          <w:color w:val="auto"/>
        </w:rPr>
        <w:t>As of March 31, 2021, the identifiable intangible assets had useful lives of up to 11 years and a weighted average useful life of approximately ten years, and tangible assets had useful lives of up to 11 years and a weighted average useful life of approximately 11 years. Goodwill is not deductible for tax purposes.</w:t>
      </w:r>
    </w:p>
    <w:p>
      <w:pPr>
        <w:spacing w:after="0" w:line="12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7"/>
          <w:szCs w:val="17"/>
          <w:color w:val="auto"/>
        </w:rPr>
        <w:t>The Company’s share of earnings on its investment in Euro Infrastructure Co. was none and an insignificant amount for the three and six months ended September 30, 2021, respectively, and an insignificant amount for both the three and six months ended September 30, 2020, consisting of the Company’s share of equity in Euro Infrastructure Co.’s income (loss), including amortization of the difference in the</w:t>
      </w:r>
    </w:p>
    <w:p>
      <w:pPr>
        <w:spacing w:after="0" w:line="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historical basis of the Company’s contribution. Prior to the purchase of the remaining 51% interest on April 30, 2021, the Company recorded its proportionate share of the results of Euro Infrastructure Co., and any related basis difference amortization expense, within equity in income of unconsolidated affiliate, net, one quarter in arrears. Subsequent to April 30, 2021, the results of Euro Infrastructure Co. have been included within the consolidated results of the Company and will no longer be recorded in arrears with no material impact.</w:t>
      </w:r>
    </w:p>
    <w:p>
      <w:pPr>
        <w:spacing w:after="0" w:line="147" w:lineRule="exact"/>
        <w:rPr>
          <w:sz w:val="20"/>
          <w:szCs w:val="20"/>
          <w:color w:val="auto"/>
        </w:rPr>
      </w:pPr>
    </w:p>
    <w:p>
      <w:pPr>
        <w:ind w:right="60" w:firstLine="510"/>
        <w:spacing w:after="0" w:line="246" w:lineRule="auto"/>
        <w:rPr>
          <w:sz w:val="20"/>
          <w:szCs w:val="20"/>
          <w:color w:val="auto"/>
        </w:rPr>
      </w:pPr>
      <w:r>
        <w:rPr>
          <w:rFonts w:ascii="Arial" w:cs="Arial" w:eastAsia="Arial" w:hAnsi="Arial"/>
          <w:sz w:val="18"/>
          <w:szCs w:val="18"/>
          <w:color w:val="auto"/>
        </w:rPr>
        <w:t>Since acquiring its initial interest in Euro Infrastructure Co. through the purchase date, the Company recorded $10.4 million in retained earnings of undistributed cumulative earnings in equity interests, net of tax, as of April 30, 2021.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9" w:lineRule="exact"/>
        <w:rPr>
          <w:sz w:val="20"/>
          <w:szCs w:val="20"/>
          <w:color w:val="auto"/>
        </w:rPr>
      </w:pPr>
    </w:p>
    <w:p>
      <w:pPr>
        <w:ind w:right="80" w:firstLine="510"/>
        <w:spacing w:after="0" w:line="248" w:lineRule="auto"/>
        <w:rPr>
          <w:sz w:val="20"/>
          <w:szCs w:val="20"/>
          <w:color w:val="auto"/>
        </w:rPr>
      </w:pPr>
      <w:r>
        <w:rPr>
          <w:rFonts w:ascii="Arial" w:cs="Arial" w:eastAsia="Arial" w:hAnsi="Arial"/>
          <w:sz w:val="17"/>
          <w:szCs w:val="17"/>
          <w:color w:val="auto"/>
        </w:rPr>
        <w:t>Transactions with the equity method investee are considered related-party transactions. In the first quarter of fiscal year 2022, the Company acquired the remaining 51% interest in its former equity method investee, Euro Infrastructure Co. Refer to Note 12 — Acquisitions</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 Euro Infrastructure Co. for further information.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tcPr>
          <w:p>
            <w:pPr>
              <w:jc w:val="right"/>
              <w:ind w:right="678"/>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4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September 30, 2020</w:t>
            </w:r>
          </w:p>
        </w:tc>
        <w:tc>
          <w:tcPr>
            <w:tcW w:w="1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5"/>
                <w:szCs w:val="15"/>
                <w:color w:val="auto"/>
              </w:rPr>
            </w:pPr>
          </w:p>
        </w:tc>
      </w:tr>
      <w:tr>
        <w:trPr>
          <w:trHeight w:val="169"/>
        </w:trPr>
        <w:tc>
          <w:tcPr>
            <w:tcW w:w="4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0" w:type="dxa"/>
            <w:vAlign w:val="bottom"/>
            <w:gridSpan w:val="3"/>
          </w:tcPr>
          <w:p>
            <w:pPr>
              <w:ind w:left="14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   $</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Expense – Euro Infrastructure Co.</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right"/>
              <w:ind w:right="378"/>
              <w:spacing w:after="0"/>
              <w:rPr>
                <w:sz w:val="20"/>
                <w:szCs w:val="20"/>
                <w:color w:val="auto"/>
              </w:rPr>
            </w:pPr>
            <w:r>
              <w:rPr>
                <w:rFonts w:ascii="Arial" w:cs="Arial" w:eastAsia="Arial" w:hAnsi="Arial"/>
                <w:sz w:val="18"/>
                <w:szCs w:val="18"/>
                <w:color w:val="auto"/>
              </w:rPr>
              <w:t>4,004</w:t>
            </w:r>
          </w:p>
        </w:tc>
        <w:tc>
          <w:tcPr>
            <w:tcW w:w="1800" w:type="dxa"/>
            <w:vAlign w:val="bottom"/>
          </w:tcPr>
          <w:p>
            <w:pPr>
              <w:jc w:val="right"/>
              <w:spacing w:after="0"/>
              <w:rPr>
                <w:sz w:val="20"/>
                <w:szCs w:val="20"/>
                <w:color w:val="auto"/>
              </w:rPr>
            </w:pPr>
            <w:r>
              <w:rPr>
                <w:rFonts w:ascii="Arial" w:cs="Arial" w:eastAsia="Arial" w:hAnsi="Arial"/>
                <w:sz w:val="18"/>
                <w:szCs w:val="18"/>
                <w:color w:val="auto"/>
              </w:rPr>
              <w:t>8,168</w:t>
            </w:r>
          </w:p>
        </w:tc>
        <w:tc>
          <w:tcPr>
            <w:tcW w:w="12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jc w:val="right"/>
              <w:ind w:right="378"/>
              <w:spacing w:after="0"/>
              <w:rPr>
                <w:sz w:val="20"/>
                <w:szCs w:val="20"/>
                <w:color w:val="auto"/>
              </w:rPr>
            </w:pPr>
            <w:r>
              <w:rPr>
                <w:rFonts w:ascii="Arial" w:cs="Arial" w:eastAsia="Arial" w:hAnsi="Arial"/>
                <w:sz w:val="18"/>
                <w:szCs w:val="18"/>
                <w:color w:val="auto"/>
              </w:rPr>
              <w:t>4,820</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8,222</w:t>
            </w:r>
          </w:p>
        </w:tc>
        <w:tc>
          <w:tcPr>
            <w:tcW w:w="120" w:type="dxa"/>
            <w:vAlign w:val="bottom"/>
            <w:shd w:val="clear" w:color="auto" w:fill="CFF0FC"/>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Cash paid – Euro Infrastructure Co.</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tcPr>
          <w:p>
            <w:pPr>
              <w:jc w:val="right"/>
              <w:ind w:right="378"/>
              <w:spacing w:after="0"/>
              <w:rPr>
                <w:sz w:val="20"/>
                <w:szCs w:val="20"/>
                <w:color w:val="auto"/>
              </w:rPr>
            </w:pPr>
            <w:r>
              <w:rPr>
                <w:rFonts w:ascii="Arial" w:cs="Arial" w:eastAsia="Arial" w:hAnsi="Arial"/>
                <w:sz w:val="18"/>
                <w:szCs w:val="18"/>
                <w:color w:val="auto"/>
              </w:rPr>
              <w:t>4,886</w:t>
            </w:r>
          </w:p>
        </w:tc>
        <w:tc>
          <w:tcPr>
            <w:tcW w:w="1800" w:type="dxa"/>
            <w:vAlign w:val="bottom"/>
          </w:tcPr>
          <w:p>
            <w:pPr>
              <w:jc w:val="right"/>
              <w:spacing w:after="0"/>
              <w:rPr>
                <w:sz w:val="20"/>
                <w:szCs w:val="20"/>
                <w:color w:val="auto"/>
              </w:rPr>
            </w:pPr>
            <w:r>
              <w:rPr>
                <w:rFonts w:ascii="Arial" w:cs="Arial" w:eastAsia="Arial" w:hAnsi="Arial"/>
                <w:sz w:val="18"/>
                <w:szCs w:val="18"/>
                <w:color w:val="auto"/>
              </w:rPr>
              <w:t>13,080</w:t>
            </w:r>
          </w:p>
        </w:tc>
        <w:tc>
          <w:tcPr>
            <w:tcW w:w="120" w:type="dxa"/>
            <w:vAlign w:val="bottom"/>
          </w:tcPr>
          <w:p>
            <w:pPr>
              <w:spacing w:after="0"/>
              <w:rPr>
                <w:sz w:val="19"/>
                <w:szCs w:val="19"/>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 of</w:t>
            </w:r>
          </w:p>
        </w:tc>
      </w:tr>
      <w:tr>
        <w:trPr>
          <w:trHeight w:val="175"/>
        </w:trPr>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 2021</w:t>
            </w:r>
          </w:p>
        </w:tc>
      </w:tr>
      <w:tr>
        <w:trPr>
          <w:trHeight w:val="169"/>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5"/>
        </w:trPr>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Collections in excess of revenues and deferred</w:t>
            </w: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revenues – Euro Infrastructure Co.</w:t>
            </w:r>
          </w:p>
        </w:tc>
        <w:tc>
          <w:tcPr>
            <w:tcW w:w="14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6,013</w:t>
            </w:r>
          </w:p>
        </w:tc>
        <w:tc>
          <w:tcPr>
            <w:tcW w:w="80" w:type="dxa"/>
            <w:vAlign w:val="bottom"/>
            <w:shd w:val="clear" w:color="auto" w:fill="CFF0FC"/>
          </w:tcPr>
          <w:p>
            <w:pPr>
              <w:spacing w:after="0"/>
              <w:rPr>
                <w:sz w:val="17"/>
                <w:szCs w:val="17"/>
                <w:color w:val="auto"/>
              </w:rPr>
            </w:pPr>
          </w:p>
        </w:tc>
      </w:tr>
      <w:tr>
        <w:trPr>
          <w:trHeight w:val="94"/>
        </w:trPr>
        <w:tc>
          <w:tcPr>
            <w:tcW w:w="3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28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300" w:type="dxa"/>
            <w:vAlign w:val="bottom"/>
          </w:tcPr>
          <w:p>
            <w:pPr>
              <w:jc w:val="right"/>
              <w:ind w:right="130"/>
              <w:spacing w:after="0"/>
              <w:rPr>
                <w:sz w:val="20"/>
                <w:szCs w:val="20"/>
                <w:color w:val="auto"/>
              </w:rPr>
            </w:pPr>
            <w:r>
              <w:rPr>
                <w:rFonts w:ascii="Arial" w:cs="Arial" w:eastAsia="Arial" w:hAnsi="Arial"/>
                <w:sz w:val="18"/>
                <w:szCs w:val="18"/>
                <w:color w:val="auto"/>
                <w:w w:val="84"/>
              </w:rPr>
              <w:t>*</w:t>
            </w:r>
          </w:p>
        </w:tc>
        <w:tc>
          <w:tcPr>
            <w:tcW w:w="6480" w:type="dxa"/>
            <w:vAlign w:val="bottom"/>
            <w:gridSpan w:val="3"/>
          </w:tcPr>
          <w:p>
            <w:pPr>
              <w:ind w:left="200"/>
              <w:spacing w:after="0"/>
              <w:rPr>
                <w:sz w:val="20"/>
                <w:szCs w:val="20"/>
                <w:color w:val="auto"/>
              </w:rPr>
            </w:pPr>
            <w:r>
              <w:rPr>
                <w:rFonts w:ascii="Arial" w:cs="Arial" w:eastAsia="Arial" w:hAnsi="Arial"/>
                <w:sz w:val="18"/>
                <w:szCs w:val="18"/>
                <w:color w:val="auto"/>
              </w:rPr>
              <w:t>Amount was insignificant.</w:t>
            </w: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Community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six months ended September 30, 2021 and 2020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5"/>
          </w:tcPr>
          <w:p>
            <w:pPr>
              <w:jc w:val="right"/>
              <w:ind w:right="99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September 30, 2020</w:t>
            </w:r>
          </w:p>
        </w:tc>
      </w:tr>
      <w:tr>
        <w:trPr>
          <w:trHeight w:val="169"/>
        </w:trPr>
        <w:tc>
          <w:tcPr>
            <w:tcW w:w="4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20" w:type="dxa"/>
            <w:vAlign w:val="bottom"/>
            <w:tcBorders>
              <w:top w:val="single" w:sz="8" w:color="auto"/>
            </w:tcBorders>
            <w:gridSpan w:val="6"/>
          </w:tcPr>
          <w:p>
            <w:pPr>
              <w:jc w:val="right"/>
              <w:ind w:right="13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215,887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574,227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417,871</w:t>
            </w:r>
          </w:p>
        </w:tc>
        <w:tc>
          <w:tcPr>
            <w:tcW w:w="120" w:type="dxa"/>
            <w:vAlign w:val="bottom"/>
            <w:tcBorders>
              <w:bottom w:val="single" w:sz="8" w:color="CFF0FC"/>
            </w:tcBorders>
          </w:tcPr>
          <w:p>
            <w:pPr>
              <w:spacing w:after="0"/>
              <w:rPr>
                <w:sz w:val="18"/>
                <w:szCs w:val="18"/>
                <w:color w:val="auto"/>
              </w:rPr>
            </w:pPr>
          </w:p>
        </w:tc>
      </w:tr>
      <w:tr>
        <w:trPr>
          <w:trHeight w:val="210"/>
        </w:trPr>
        <w:tc>
          <w:tcPr>
            <w:tcW w:w="4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300,110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417,871</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118,935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121,870</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24,152</w:t>
            </w:r>
          </w:p>
        </w:tc>
        <w:tc>
          <w:tcPr>
            <w:tcW w:w="120" w:type="dxa"/>
            <w:vAlign w:val="bottom"/>
            <w:tcBorders>
              <w:bottom w:val="single" w:sz="8" w:color="CFF0FC"/>
            </w:tcBorders>
          </w:tcPr>
          <w:p>
            <w:pPr>
              <w:spacing w:after="0"/>
              <w:rPr>
                <w:sz w:val="18"/>
                <w:szCs w:val="18"/>
                <w:color w:val="auto"/>
              </w:rPr>
            </w:pPr>
          </w:p>
        </w:tc>
      </w:tr>
      <w:tr>
        <w:trPr>
          <w:trHeight w:val="210"/>
        </w:trPr>
        <w:tc>
          <w:tcPr>
            <w:tcW w:w="4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134,806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146,022</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189,731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384,744</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76,707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157,121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136,129</w:t>
            </w:r>
          </w:p>
        </w:tc>
        <w:tc>
          <w:tcPr>
            <w:tcW w:w="120" w:type="dxa"/>
            <w:vAlign w:val="bottom"/>
            <w:tcBorders>
              <w:bottom w:val="single" w:sz="8" w:color="CFF0FC"/>
            </w:tcBorders>
          </w:tcPr>
          <w:p>
            <w:pPr>
              <w:spacing w:after="0"/>
              <w:rPr>
                <w:sz w:val="18"/>
                <w:szCs w:val="18"/>
                <w:color w:val="auto"/>
              </w:rPr>
            </w:pPr>
          </w:p>
        </w:tc>
      </w:tr>
      <w:tr>
        <w:trPr>
          <w:trHeight w:val="210"/>
        </w:trPr>
        <w:tc>
          <w:tcPr>
            <w:tcW w:w="4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266,438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538,585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520,873</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Elimination of intersegment revenues</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0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701,354</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554,278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1,366,214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1,084,766</w:t>
            </w:r>
          </w:p>
        </w:tc>
        <w:tc>
          <w:tcPr>
            <w:tcW w:w="120" w:type="dxa"/>
            <w:vAlign w:val="bottom"/>
            <w:shd w:val="clear" w:color="auto" w:fill="CFF0FC"/>
          </w:tcPr>
          <w:p>
            <w:pPr>
              <w:spacing w:after="0"/>
              <w:rPr>
                <w:sz w:val="18"/>
                <w:szCs w:val="18"/>
                <w:color w:val="auto"/>
              </w:rPr>
            </w:pPr>
          </w:p>
        </w:tc>
      </w:tr>
      <w:tr>
        <w:trPr>
          <w:trHeight w:val="20"/>
        </w:trPr>
        <w:tc>
          <w:tcPr>
            <w:tcW w:w="4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profits (losses):</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17,046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11,483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29,559</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9,626</w:t>
            </w: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networks</w:t>
            </w: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(45,321)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(45,363)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(83,029)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(96,757)</w:t>
            </w: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43,972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47,863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97,358</w:t>
            </w:r>
          </w:p>
        </w:tc>
        <w:tc>
          <w:tcPr>
            <w:tcW w:w="120" w:type="dxa"/>
            <w:vAlign w:val="bottom"/>
          </w:tcPr>
          <w:p>
            <w:pPr>
              <w:spacing w:after="0"/>
              <w:rPr>
                <w:sz w:val="18"/>
                <w:szCs w:val="18"/>
                <w:color w:val="auto"/>
              </w:rPr>
            </w:pPr>
          </w:p>
        </w:tc>
      </w:tr>
      <w:tr>
        <w:trPr>
          <w:trHeight w:val="215"/>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Elimination of intersegment operating</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1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profits</w:t>
            </w:r>
          </w:p>
        </w:tc>
        <w:tc>
          <w:tcPr>
            <w:tcW w:w="1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Segment operating profit before corporate</w:t>
            </w: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120" w:type="dxa"/>
            <w:vAlign w:val="bottom"/>
          </w:tcPr>
          <w:p>
            <w:pPr>
              <w:ind w:left="160"/>
              <w:spacing w:after="0" w:line="202" w:lineRule="exact"/>
              <w:rPr>
                <w:sz w:val="20"/>
                <w:szCs w:val="20"/>
                <w:color w:val="auto"/>
              </w:rPr>
            </w:pPr>
            <w:r>
              <w:rPr>
                <w:rFonts w:ascii="Arial" w:cs="Arial" w:eastAsia="Arial" w:hAnsi="Arial"/>
                <w:sz w:val="18"/>
                <w:szCs w:val="18"/>
                <w:color w:val="auto"/>
              </w:rPr>
              <w:t>and amortization of acquired intangible</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120" w:type="dxa"/>
            <w:vAlign w:val="bottom"/>
          </w:tcPr>
          <w:p>
            <w:pPr>
              <w:ind w:left="160"/>
              <w:spacing w:after="0" w:line="203"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15,697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13,983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37,918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10,227</w:t>
            </w:r>
          </w:p>
        </w:tc>
        <w:tc>
          <w:tcPr>
            <w:tcW w:w="120" w:type="dxa"/>
            <w:vAlign w:val="bottom"/>
          </w:tcPr>
          <w:p>
            <w:pPr>
              <w:spacing w:after="0"/>
              <w:rPr>
                <w:sz w:val="17"/>
                <w:szCs w:val="17"/>
                <w:color w:val="auto"/>
              </w:rPr>
            </w:pP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4120" w:type="dxa"/>
            <w:vAlign w:val="bottom"/>
          </w:tcPr>
          <w:p>
            <w:pPr>
              <w:ind w:left="260"/>
              <w:spacing w:after="0"/>
              <w:rPr>
                <w:sz w:val="20"/>
                <w:szCs w:val="20"/>
                <w:color w:val="auto"/>
              </w:rPr>
            </w:pPr>
            <w:r>
              <w:rPr>
                <w:rFonts w:ascii="Arial" w:cs="Arial" w:eastAsia="Arial" w:hAnsi="Arial"/>
                <w:sz w:val="18"/>
                <w:szCs w:val="18"/>
                <w:color w:val="auto"/>
              </w:rPr>
              <w:t>Amortization of acquired intangible</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12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6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(7,399)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(1,300)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(13,328)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(2,858)</w:t>
            </w:r>
          </w:p>
        </w:tc>
      </w:tr>
      <w:tr>
        <w:trPr>
          <w:trHeight w:val="20"/>
        </w:trPr>
        <w:tc>
          <w:tcPr>
            <w:tcW w:w="4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w:t>
            </w:r>
          </w:p>
        </w:tc>
        <w:tc>
          <w:tcPr>
            <w:tcW w:w="120" w:type="dxa"/>
            <w:vAlign w:val="bottom"/>
            <w:shd w:val="clear" w:color="auto" w:fill="CFF0FC"/>
          </w:tcPr>
          <w:p>
            <w:pPr>
              <w:spacing w:after="0"/>
              <w:rPr>
                <w:sz w:val="18"/>
                <w:szCs w:val="18"/>
                <w:color w:val="auto"/>
              </w:rPr>
            </w:pPr>
          </w:p>
        </w:tc>
      </w:tr>
      <w:tr>
        <w:trPr>
          <w:trHeight w:val="20"/>
        </w:trPr>
        <w:tc>
          <w:tcPr>
            <w:tcW w:w="4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September 30, 2021 and March 31, 2021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30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451,194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64,048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231,186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168,334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27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468,263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470,389</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1,150,643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702,771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27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4,842,217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4,646,696</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5,992,860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5,349,467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bottom w:val="single" w:sz="8" w:color="CFF0FC"/>
            </w:tcBorders>
            <w:vMerge w:val="restart"/>
          </w:tcPr>
          <w:p>
            <w:pPr>
              <w:jc w:val="right"/>
              <w:ind w:right="1230"/>
              <w:spacing w:after="0"/>
              <w:rPr>
                <w:sz w:val="20"/>
                <w:szCs w:val="20"/>
                <w:color w:val="auto"/>
              </w:rPr>
            </w:pPr>
            <w:r>
              <w:rPr>
                <w:rFonts w:ascii="Arial" w:cs="Arial" w:eastAsia="Arial" w:hAnsi="Arial"/>
                <w:sz w:val="18"/>
                <w:szCs w:val="18"/>
                <w:color w:val="auto"/>
              </w:rPr>
              <w:t>30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ind w:right="60" w:firstLine="510"/>
        <w:spacing w:after="0" w:line="246" w:lineRule="auto"/>
        <w:rPr>
          <w:sz w:val="20"/>
          <w:szCs w:val="20"/>
          <w:color w:val="auto"/>
        </w:rPr>
      </w:pPr>
      <w:r>
        <w:rPr>
          <w:rFonts w:ascii="Arial" w:cs="Arial" w:eastAsia="Arial" w:hAnsi="Arial"/>
          <w:sz w:val="18"/>
          <w:szCs w:val="18"/>
          <w:color w:val="auto"/>
        </w:rPr>
        <w:t>Other acquired intangible assets, net and goodwill included in segment assets as of September 30, 2021 and March 31, 2021 were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1038"/>
              <w:spacing w:after="0"/>
              <w:rPr>
                <w:sz w:val="20"/>
                <w:szCs w:val="20"/>
                <w:color w:val="auto"/>
              </w:rPr>
            </w:pPr>
            <w:r>
              <w:rPr>
                <w:rFonts w:ascii="Arial" w:cs="Arial" w:eastAsia="Arial" w:hAnsi="Arial"/>
                <w:sz w:val="14"/>
                <w:szCs w:val="14"/>
                <w:b w:val="1"/>
                <w:bCs w:val="1"/>
                <w:color w:val="auto"/>
              </w:rPr>
              <w:t>Assets, Net</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136"/>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5"/>
                <w:szCs w:val="15"/>
                <w:color w:val="auto"/>
              </w:rPr>
            </w:pPr>
          </w:p>
        </w:tc>
      </w:tr>
      <w:tr>
        <w:trPr>
          <w:trHeight w:val="156"/>
        </w:trPr>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58"/>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458"/>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3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As of</w:t>
            </w:r>
          </w:p>
        </w:tc>
      </w:tr>
      <w:tr>
        <w:trPr>
          <w:trHeight w:val="175"/>
        </w:trPr>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18"/>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2021</w:t>
            </w:r>
          </w:p>
        </w:tc>
      </w:tr>
      <w:tr>
        <w:trPr>
          <w:trHeight w:val="169"/>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32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240,419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w:t>
            </w: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82,764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Commercial networks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44,044</w:t>
            </w:r>
          </w:p>
        </w:tc>
        <w:tc>
          <w:tcPr>
            <w:tcW w:w="100" w:type="dxa"/>
            <w:vAlign w:val="bottom"/>
          </w:tcPr>
          <w:p>
            <w:pPr>
              <w:spacing w:after="0"/>
              <w:rPr>
                <w:sz w:val="18"/>
                <w:szCs w:val="18"/>
                <w:color w:val="auto"/>
              </w:rPr>
            </w:pPr>
          </w:p>
        </w:tc>
      </w:tr>
      <w:tr>
        <w:trPr>
          <w:trHeight w:val="216"/>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0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2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64,294</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64,442</w:t>
            </w:r>
          </w:p>
        </w:tc>
        <w:tc>
          <w:tcPr>
            <w:tcW w:w="100" w:type="dxa"/>
            <w:vAlign w:val="bottom"/>
            <w:shd w:val="clear" w:color="auto" w:fill="CFF0FC"/>
          </w:tcPr>
          <w:p>
            <w:pPr>
              <w:spacing w:after="0"/>
              <w:rPr>
                <w:sz w:val="18"/>
                <w:szCs w:val="18"/>
                <w:color w:val="auto"/>
              </w:rPr>
            </w:pPr>
          </w:p>
        </w:tc>
      </w:tr>
      <w:tr>
        <w:trPr>
          <w:trHeight w:val="209"/>
        </w:trPr>
        <w:tc>
          <w:tcPr>
            <w:tcW w:w="272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243,331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9,568</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191,125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122,300</w:t>
            </w:r>
          </w:p>
        </w:tc>
        <w:tc>
          <w:tcPr>
            <w:tcW w:w="100" w:type="dxa"/>
            <w:vAlign w:val="bottom"/>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510"/>
        <w:spacing w:after="0" w:line="246" w:lineRule="auto"/>
        <w:rPr>
          <w:sz w:val="20"/>
          <w:szCs w:val="20"/>
          <w:color w:val="auto"/>
        </w:rPr>
      </w:pPr>
      <w:r>
        <w:rPr>
          <w:rFonts w:ascii="Arial" w:cs="Arial" w:eastAsia="Arial" w:hAnsi="Arial"/>
          <w:sz w:val="18"/>
          <w:szCs w:val="18"/>
          <w:color w:val="auto"/>
        </w:rPr>
        <w:t>Amortization of acquired intangible assets by segment for the three and six months ended September 30, 2021 and 2020 was as follows:</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r>
      <w:tr>
        <w:trPr>
          <w:trHeight w:val="169"/>
        </w:trPr>
        <w:tc>
          <w:tcPr>
            <w:tcW w:w="3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7,097</w:t>
            </w:r>
          </w:p>
        </w:tc>
        <w:tc>
          <w:tcPr>
            <w:tcW w:w="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12,419</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networks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7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FF0FC"/>
          </w:tcPr>
          <w:p>
            <w:pPr>
              <w:spacing w:after="0"/>
              <w:rPr>
                <w:sz w:val="18"/>
                <w:szCs w:val="18"/>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8"/>
                <w:szCs w:val="18"/>
                <w:color w:val="auto"/>
              </w:rPr>
              <w:t>Total amortization of acquired</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040" w:type="dxa"/>
            <w:vAlign w:val="bottom"/>
          </w:tcPr>
          <w:p>
            <w:pPr>
              <w:ind w:left="140"/>
              <w:spacing w:after="0" w:line="203" w:lineRule="exact"/>
              <w:rPr>
                <w:sz w:val="20"/>
                <w:szCs w:val="20"/>
                <w:color w:val="auto"/>
              </w:rPr>
            </w:pPr>
            <w:r>
              <w:rPr>
                <w:rFonts w:ascii="Arial" w:cs="Arial" w:eastAsia="Arial" w:hAnsi="Arial"/>
                <w:sz w:val="18"/>
                <w:szCs w:val="18"/>
                <w:color w:val="auto"/>
              </w:rPr>
              <w:t>intangible assets</w:t>
            </w:r>
          </w:p>
        </w:tc>
        <w:tc>
          <w:tcPr>
            <w:tcW w:w="114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7,399</w:t>
            </w:r>
          </w:p>
        </w:tc>
        <w:tc>
          <w:tcPr>
            <w:tcW w:w="98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1,300</w:t>
            </w:r>
          </w:p>
        </w:tc>
        <w:tc>
          <w:tcPr>
            <w:tcW w:w="82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13,328</w:t>
            </w:r>
          </w:p>
        </w:tc>
        <w:tc>
          <w:tcPr>
            <w:tcW w:w="220" w:type="dxa"/>
            <w:vAlign w:val="bottom"/>
          </w:tcPr>
          <w:p>
            <w:pPr>
              <w:spacing w:after="0"/>
              <w:rPr>
                <w:sz w:val="17"/>
                <w:szCs w:val="17"/>
                <w:color w:val="auto"/>
              </w:rPr>
            </w:pPr>
          </w:p>
        </w:tc>
        <w:tc>
          <w:tcPr>
            <w:tcW w:w="72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2,858</w:t>
            </w:r>
          </w:p>
        </w:tc>
        <w:tc>
          <w:tcPr>
            <w:tcW w:w="100" w:type="dxa"/>
            <w:vAlign w:val="bottom"/>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six months ended September 30, 2021 and 2020 were as follows:</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5"/>
          </w:tcPr>
          <w:p>
            <w:pPr>
              <w:ind w:left="130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598,291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1,165,777</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6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103,063</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200,437</w:t>
            </w:r>
          </w:p>
        </w:tc>
        <w:tc>
          <w:tcPr>
            <w:tcW w:w="100" w:type="dxa"/>
            <w:vAlign w:val="bottom"/>
            <w:tcBorders>
              <w:bottom w:val="single" w:sz="8" w:color="CFF0FC"/>
            </w:tcBorders>
          </w:tcPr>
          <w:p>
            <w:pPr>
              <w:spacing w:after="0"/>
              <w:rPr>
                <w:sz w:val="18"/>
                <w:szCs w:val="18"/>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701,354</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1,366,214</w:t>
            </w:r>
          </w:p>
        </w:tc>
        <w:tc>
          <w:tcPr>
            <w:tcW w:w="100" w:type="dxa"/>
            <w:vAlign w:val="bottom"/>
            <w:shd w:val="clear" w:color="auto" w:fill="CFF0FC"/>
          </w:tcPr>
          <w:p>
            <w:pPr>
              <w:spacing w:after="0"/>
              <w:rPr>
                <w:sz w:val="18"/>
                <w:szCs w:val="18"/>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0"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September 30, 2020</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Six Months Ended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 2020</w:t>
      </w:r>
    </w:p>
    <w:p>
      <w:pPr>
        <w:spacing w:after="0" w:line="1" w:lineRule="exact"/>
        <w:rPr>
          <w:sz w:val="20"/>
          <w:szCs w:val="20"/>
          <w:color w:val="auto"/>
        </w:rPr>
      </w:pPr>
    </w:p>
    <w:p>
      <w:pPr>
        <w:sectPr>
          <w:pgSz w:w="11900" w:h="16838" w:orient="portrait"/>
          <w:cols w:equalWidth="0" w:num="2">
            <w:col w:w="8280" w:space="700"/>
            <w:col w:w="2260"/>
          </w:cols>
          <w:pgMar w:left="320" w:top="118" w:right="339" w:bottom="1440" w:gutter="0" w:footer="0" w:header="0"/>
          <w:type w:val="continuous"/>
        </w:sectPr>
      </w:pPr>
    </w:p>
    <w:tbl>
      <w:tblPr>
        <w:tblLayout w:type="fixed"/>
        <w:tblInd w:w="58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32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513,015</w:t>
            </w:r>
          </w:p>
        </w:tc>
        <w:tc>
          <w:tcPr>
            <w:tcW w:w="9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1,011,530</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6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41,263</w:t>
            </w:r>
          </w:p>
        </w:tc>
        <w:tc>
          <w:tcPr>
            <w:tcW w:w="24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73,236</w:t>
            </w:r>
          </w:p>
        </w:tc>
        <w:tc>
          <w:tcPr>
            <w:tcW w:w="100" w:type="dxa"/>
            <w:vAlign w:val="bottom"/>
            <w:tcBorders>
              <w:bottom w:val="single" w:sz="8" w:color="CFF0FC"/>
            </w:tcBorders>
          </w:tcPr>
          <w:p>
            <w:pPr>
              <w:spacing w:after="0"/>
              <w:rPr>
                <w:sz w:val="18"/>
                <w:szCs w:val="18"/>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32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554,278</w:t>
            </w:r>
          </w:p>
        </w:tc>
        <w:tc>
          <w:tcPr>
            <w:tcW w:w="94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1,084,766</w:t>
            </w:r>
          </w:p>
        </w:tc>
        <w:tc>
          <w:tcPr>
            <w:tcW w:w="100" w:type="dxa"/>
            <w:vAlign w:val="bottom"/>
            <w:shd w:val="clear" w:color="auto" w:fill="CFF0FC"/>
          </w:tcPr>
          <w:p>
            <w:pPr>
              <w:spacing w:after="0"/>
              <w:rPr>
                <w:sz w:val="18"/>
                <w:szCs w:val="18"/>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 Infrastructure Co.</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On April 30, 2021, the Company acquired the remaining 51% interest in Euro Infrastructure Co., a broadband services provider, from Eutelsat. By completing the acquisition, the Company gained 100% ownership and control of Euro Infrastructure Co. and the KA-SAT satellite over EMEA and related ground infrastructure, which is expected to facilitate the diversification of the Company’s business portfolio in Europe, while establishing operations, distribution and sales of satellite-based broadband services, ahead of the anticipated ViaSat-3 (EMEA) satellite launch. The benefits and additional opportunities of the acquisition were among the factors that contributed to a purchase price resulting in the recognition of preliminary estimated goodwill, which was recorded within the Company’s satellite services segment. The goodwill recognized is not deductible for U.S. and foreign income tax purposes.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Prior to the acquisition date, the Company owned a 49% interest in Euro Infrastructure Co. and accounted for the investment using the equity method of accounting (see Note 10 – Equity Method Investments and Related-Party Transactions for more information). The acquisition of the remaining equity interest in Euro Infrastructure Co. was accounted for as a step acquisition in accordance with the authoritative guidance for business combinations (ASC 805). Accordingly, the Company allocated the purchase price of the acquired company to the net tangible assets and intangible assets acquired based upon their preliminary estimated fair values. The Company remeasured the previously held equity method investment to its fair value based upon a valuation of the acquired business, as of the date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acquisition. The Company considered multiple factors in determining the fair value of the previously held equity method investment, including, (i) the price negotiated with the selling shareholder for the remaining 51% interest in Euro Infrastructure Co. and (ii) an income valuation model (discounted cash flow). As a result of the equity method investment remeasurement, recognition of previously unrecognized foreign currency gain and settlement of insignificant preexisting relationships, the Company recognized an insignificant total net gain included in other income, net, in the condensed consolidated statements of operations and comprehensive income (loss) in the first quarter of fiscal year 2022.</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purchase price of $327.4 million was primarily comprised of $167.0 million of cash, net of what is currently estimated to be an</w:t>
      </w:r>
    </w:p>
    <w:p>
      <w:pPr>
        <w:spacing w:after="0" w:line="234" w:lineRule="auto"/>
        <w:rPr>
          <w:sz w:val="20"/>
          <w:szCs w:val="20"/>
          <w:color w:val="auto"/>
        </w:rPr>
      </w:pPr>
      <w:r>
        <w:rPr>
          <w:rFonts w:ascii="Arial" w:cs="Arial" w:eastAsia="Arial" w:hAnsi="Arial"/>
          <w:sz w:val="18"/>
          <w:szCs w:val="18"/>
          <w:color w:val="auto"/>
        </w:rPr>
        <w:t>immaterial amount of estimated purchase price consideration to be settled among the parties over the next 24 months (up to plus or minus</w:t>
      </w:r>
    </w:p>
    <w:p>
      <w:pPr>
        <w:spacing w:after="0" w:line="235" w:lineRule="auto"/>
        <w:rPr>
          <w:sz w:val="20"/>
          <w:szCs w:val="20"/>
          <w:color w:val="auto"/>
        </w:rPr>
      </w:pPr>
      <w:r>
        <w:rPr>
          <w:rFonts w:ascii="Arial" w:cs="Arial" w:eastAsia="Arial" w:hAnsi="Arial"/>
          <w:sz w:val="18"/>
          <w:szCs w:val="18"/>
          <w:color w:val="auto"/>
        </w:rPr>
        <w:t>€20.0 million, or approximately $23.4 million, see Note 3 — Fair Value Measurements for more information) from the closing date (which after</w:t>
      </w:r>
    </w:p>
    <w:p>
      <w:pPr>
        <w:spacing w:after="0" w:line="235" w:lineRule="auto"/>
        <w:rPr>
          <w:sz w:val="20"/>
          <w:szCs w:val="20"/>
          <w:color w:val="auto"/>
        </w:rPr>
      </w:pPr>
      <w:r>
        <w:rPr>
          <w:rFonts w:ascii="Arial" w:cs="Arial" w:eastAsia="Arial" w:hAnsi="Arial"/>
          <w:sz w:val="18"/>
          <w:szCs w:val="18"/>
          <w:color w:val="auto"/>
        </w:rPr>
        <w:t>consideration of approximately $121.7 million of Euro Infrastructure Co.’s cash on hand, resulted in a net cash outlay of approximately $51.0</w:t>
      </w:r>
    </w:p>
    <w:p>
      <w:pPr>
        <w:spacing w:after="0"/>
        <w:rPr>
          <w:sz w:val="20"/>
          <w:szCs w:val="20"/>
          <w:color w:val="auto"/>
        </w:rPr>
      </w:pPr>
      <w:r>
        <w:rPr>
          <w:rFonts w:ascii="Arial" w:cs="Arial" w:eastAsia="Arial" w:hAnsi="Arial"/>
          <w:sz w:val="18"/>
          <w:szCs w:val="18"/>
          <w:color w:val="auto"/>
        </w:rPr>
        <w:t>million) and the fair value of previously held equity method investment of approximately $160.4 million.</w:t>
      </w:r>
    </w:p>
    <w:p>
      <w:pPr>
        <w:spacing w:after="0" w:line="158" w:lineRule="exact"/>
        <w:rPr>
          <w:sz w:val="20"/>
          <w:szCs w:val="20"/>
          <w:color w:val="auto"/>
        </w:rPr>
      </w:pPr>
    </w:p>
    <w:p>
      <w:pPr>
        <w:jc w:val="both"/>
        <w:ind w:right="60" w:firstLine="510"/>
        <w:spacing w:after="0" w:line="238" w:lineRule="auto"/>
        <w:rPr>
          <w:sz w:val="20"/>
          <w:szCs w:val="20"/>
          <w:color w:val="auto"/>
        </w:rPr>
      </w:pPr>
      <w:r>
        <w:rPr>
          <w:rFonts w:ascii="Arial" w:cs="Arial" w:eastAsia="Arial" w:hAnsi="Arial"/>
          <w:sz w:val="18"/>
          <w:szCs w:val="18"/>
          <w:color w:val="auto"/>
        </w:rPr>
        <w:t>The purchase price allocation is preliminary primarily due to the finalization of the Company’s valuation analysis and review of various tax attributes</w:t>
      </w:r>
      <w:r>
        <w:rPr>
          <w:rFonts w:ascii="Arial" w:cs="Arial" w:eastAsia="Arial" w:hAnsi="Arial"/>
          <w:sz w:val="18"/>
          <w:szCs w:val="18"/>
          <w:b w:val="1"/>
          <w:bCs w:val="1"/>
          <w:color w:val="auto"/>
        </w:rPr>
        <w:t>.</w:t>
      </w:r>
      <w:r>
        <w:rPr>
          <w:rFonts w:ascii="Arial" w:cs="Arial" w:eastAsia="Arial" w:hAnsi="Arial"/>
          <w:sz w:val="18"/>
          <w:szCs w:val="18"/>
          <w:color w:val="auto"/>
        </w:rPr>
        <w:t xml:space="preserve"> The preliminary purchase price allocation of the acquired assets and assumed liabilities based on the estimated fair values as of April 30, 2021, slightly adjusted during the second quarter of fiscal year 2022 primarily between goodwill and identifiable intangible assets, is as follows:</w:t>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7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r>
      <w:tr>
        <w:trPr>
          <w:trHeight w:val="209"/>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154,479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109,433</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46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26,574</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41,157</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FF0FC"/>
          </w:tcPr>
          <w:p>
            <w:pPr>
              <w:spacing w:after="0"/>
              <w:rPr>
                <w:sz w:val="18"/>
                <w:szCs w:val="18"/>
                <w:color w:val="auto"/>
              </w:rPr>
            </w:pPr>
          </w:p>
        </w:tc>
      </w:tr>
      <w:tr>
        <w:trPr>
          <w:trHeight w:val="210"/>
        </w:trPr>
        <w:tc>
          <w:tcPr>
            <w:tcW w:w="7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 acquired</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332,647</w:t>
            </w:r>
          </w:p>
        </w:tc>
        <w:tc>
          <w:tcPr>
            <w:tcW w:w="100" w:type="dxa"/>
            <w:vAlign w:val="bottom"/>
            <w:tcBorders>
              <w:bottom w:val="single" w:sz="8" w:color="CFF0FC"/>
            </w:tcBorders>
          </w:tcPr>
          <w:p>
            <w:pPr>
              <w:spacing w:after="0"/>
              <w:rPr>
                <w:sz w:val="18"/>
                <w:szCs w:val="18"/>
                <w:color w:val="auto"/>
              </w:rPr>
            </w:pPr>
          </w:p>
        </w:tc>
      </w:tr>
      <w:tr>
        <w:trPr>
          <w:trHeight w:val="210"/>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 assumed</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(5,296)</w:t>
            </w: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327,351</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0"/>
        <w:spacing w:after="0" w:line="246" w:lineRule="auto"/>
        <w:rPr>
          <w:sz w:val="20"/>
          <w:szCs w:val="20"/>
          <w:color w:val="auto"/>
        </w:rPr>
      </w:pPr>
      <w:r>
        <w:rPr>
          <w:rFonts w:ascii="Arial" w:cs="Arial" w:eastAsia="Arial" w:hAnsi="Arial"/>
          <w:sz w:val="18"/>
          <w:szCs w:val="18"/>
          <w:color w:val="auto"/>
        </w:rPr>
        <w:t>Amounts assigned to identifiable intangible assets are preliminary and are being amortized on a straight-line basis over their estimated useful lives (which approximates the economic pattern of benefit) and are as follows as of April 30, 2021:</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680" w:type="dxa"/>
            <w:vAlign w:val="bottom"/>
          </w:tcPr>
          <w:p>
            <w:pPr>
              <w:jc w:val="center"/>
              <w:ind w:left="541"/>
              <w:spacing w:after="0"/>
              <w:rPr>
                <w:sz w:val="20"/>
                <w:szCs w:val="20"/>
                <w:color w:val="auto"/>
              </w:rPr>
            </w:pPr>
            <w:r>
              <w:rPr>
                <w:rFonts w:ascii="Arial" w:cs="Arial" w:eastAsia="Arial" w:hAnsi="Arial"/>
                <w:sz w:val="14"/>
                <w:szCs w:val="14"/>
                <w:b w:val="1"/>
                <w:bCs w:val="1"/>
                <w:color w:val="auto"/>
              </w:rPr>
              <w:t>Preliminary</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Estimated Weighted</w:t>
            </w:r>
          </w:p>
        </w:tc>
      </w:tr>
      <w:tr>
        <w:trPr>
          <w:trHeight w:val="216"/>
        </w:trPr>
        <w:tc>
          <w:tcPr>
            <w:tcW w:w="5160" w:type="dxa"/>
            <w:vAlign w:val="bottom"/>
          </w:tcPr>
          <w:p>
            <w:pPr>
              <w:spacing w:after="0"/>
              <w:rPr>
                <w:sz w:val="18"/>
                <w:szCs w:val="18"/>
                <w:color w:val="auto"/>
              </w:rPr>
            </w:pPr>
          </w:p>
        </w:tc>
        <w:tc>
          <w:tcPr>
            <w:tcW w:w="1680" w:type="dxa"/>
            <w:vAlign w:val="bottom"/>
          </w:tcPr>
          <w:p>
            <w:pPr>
              <w:jc w:val="center"/>
              <w:ind w:left="521"/>
              <w:spacing w:after="0"/>
              <w:rPr>
                <w:sz w:val="20"/>
                <w:szCs w:val="20"/>
                <w:color w:val="auto"/>
              </w:rPr>
            </w:pPr>
            <w:r>
              <w:rPr>
                <w:rFonts w:ascii="Arial" w:cs="Arial" w:eastAsia="Arial" w:hAnsi="Arial"/>
                <w:sz w:val="14"/>
                <w:szCs w:val="14"/>
                <w:b w:val="1"/>
                <w:bCs w:val="1"/>
                <w:color w:val="auto"/>
              </w:rPr>
              <w:t>Fair Value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r>
      <w:tr>
        <w:trPr>
          <w:trHeight w:val="201"/>
        </w:trPr>
        <w:tc>
          <w:tcPr>
            <w:tcW w:w="5160" w:type="dxa"/>
            <w:vAlign w:val="bottom"/>
            <w:tcBorders>
              <w:bottom w:val="single" w:sz="8" w:color="CFF0FC"/>
            </w:tcBorders>
          </w:tcPr>
          <w:p>
            <w:pPr>
              <w:spacing w:after="0"/>
              <w:rPr>
                <w:sz w:val="17"/>
                <w:szCs w:val="17"/>
                <w:color w:val="auto"/>
              </w:rPr>
            </w:pPr>
          </w:p>
        </w:tc>
        <w:tc>
          <w:tcPr>
            <w:tcW w:w="1680" w:type="dxa"/>
            <w:vAlign w:val="bottom"/>
            <w:tcBorders>
              <w:bottom w:val="single" w:sz="8" w:color="auto"/>
            </w:tcBorders>
          </w:tcPr>
          <w:p>
            <w:pPr>
              <w:jc w:val="center"/>
              <w:ind w:left="541"/>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680" w:type="dxa"/>
            <w:vAlign w:val="bottom"/>
            <w:shd w:val="clear" w:color="auto" w:fill="CFF0FC"/>
          </w:tcPr>
          <w:p>
            <w:pPr>
              <w:jc w:val="right"/>
              <w:ind w:right="150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17,877</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7,851</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6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identifiable intangible assets</w:t>
            </w:r>
          </w:p>
        </w:tc>
        <w:tc>
          <w:tcPr>
            <w:tcW w:w="1680" w:type="dxa"/>
            <w:vAlign w:val="bottom"/>
            <w:tcBorders>
              <w:bottom w:val="single" w:sz="8" w:color="auto"/>
            </w:tcBorders>
          </w:tcPr>
          <w:p>
            <w:pPr>
              <w:jc w:val="right"/>
              <w:ind w:right="150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26,574</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10"/>
        <w:spacing w:after="0"/>
        <w:rPr>
          <w:sz w:val="20"/>
          <w:szCs w:val="20"/>
          <w:color w:val="auto"/>
        </w:rPr>
      </w:pPr>
      <w:r>
        <w:rPr>
          <w:rFonts w:ascii="Arial" w:cs="Arial" w:eastAsia="Arial" w:hAnsi="Arial"/>
          <w:sz w:val="18"/>
          <w:szCs w:val="18"/>
          <w:color w:val="auto"/>
        </w:rPr>
        <w:t>At the closing of the acquisition, Euro Infrastructure Co. became a wholly owned subsidiary of the Company and Euro Infrastructure Co.’s operations have been included in the Company’s condensed consolidated financial statements in the Company’s satellite services segment commencing on the acquisition date.</w:t>
      </w:r>
    </w:p>
    <w:p>
      <w:pPr>
        <w:spacing w:after="0" w:line="149" w:lineRule="exact"/>
        <w:rPr>
          <w:sz w:val="20"/>
          <w:szCs w:val="20"/>
          <w:color w:val="auto"/>
        </w:rPr>
      </w:pPr>
    </w:p>
    <w:p>
      <w:pPr>
        <w:ind w:right="500" w:firstLine="510"/>
        <w:spacing w:after="0" w:line="246" w:lineRule="auto"/>
        <w:rPr>
          <w:sz w:val="20"/>
          <w:szCs w:val="20"/>
          <w:color w:val="auto"/>
        </w:rPr>
      </w:pPr>
      <w:r>
        <w:rPr>
          <w:rFonts w:ascii="Arial" w:cs="Arial" w:eastAsia="Arial" w:hAnsi="Arial"/>
          <w:sz w:val="18"/>
          <w:szCs w:val="18"/>
          <w:color w:val="auto"/>
        </w:rPr>
        <w:t>As Euro Infrastructure Co.’s results of operations are not material to the Company’s consolidated results of operations, pro forma results of operations for this acquisition have not been presented.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RigNet, Inc.</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On April 30, 2021, the Company completed the acquisition of all outstanding shares of RigNet, a publicly held leading provider of ultra-secure, intelligent networking solutions and specialized applications. The acquisition of RigNet is beneficial to the Company as it enables the Company to expand into new and adjacent industries, including renewable energy, transportation, maritime, mining and other enterprise markets. These benefits and additional opportunities were among the factors that contributed to a purchase price resulting in the recognition of preliminary estimated goodwill, which was recorded within the Company’s satellite services segment. The goodwill recognized is not deductible for U.S. and foreign income tax purposes.</w:t>
      </w:r>
    </w:p>
    <w:p>
      <w:pPr>
        <w:spacing w:after="0" w:line="151" w:lineRule="exact"/>
        <w:rPr>
          <w:sz w:val="20"/>
          <w:szCs w:val="20"/>
          <w:color w:val="auto"/>
        </w:rPr>
      </w:pPr>
    </w:p>
    <w:p>
      <w:pPr>
        <w:ind w:right="200" w:firstLine="510"/>
        <w:spacing w:after="0" w:line="237" w:lineRule="auto"/>
        <w:rPr>
          <w:sz w:val="20"/>
          <w:szCs w:val="20"/>
          <w:color w:val="auto"/>
        </w:rPr>
      </w:pPr>
      <w:r>
        <w:rPr>
          <w:rFonts w:ascii="Arial" w:cs="Arial" w:eastAsia="Arial" w:hAnsi="Arial"/>
          <w:sz w:val="18"/>
          <w:szCs w:val="18"/>
          <w:color w:val="auto"/>
        </w:rPr>
        <w:t>The consideration transferred of approximately $317.9 million was primarily comprised of $207.2 million of the fair value of approximately 4.0 million shares of the Company’s common stock issued at the closing date, $107.3 million related to the pay down of outstanding borrowings of RigNet’s revolving credit facility, a de minimis amount in cash consideration in respect of fractional shares to the former shareholders of RigNet and an insignificant amount of other consideration. In connection with the RigNet acquisition, the Company recorded merger-related transaction costs of an insignificant amount and approximately $7.1 million, respectively, for the three and six months ended September 30, 2021, included in selling, general and administrative expenses.</w:t>
      </w:r>
    </w:p>
    <w:p>
      <w:pPr>
        <w:spacing w:after="0" w:line="151" w:lineRule="exact"/>
        <w:rPr>
          <w:sz w:val="20"/>
          <w:szCs w:val="20"/>
          <w:color w:val="auto"/>
        </w:rPr>
      </w:pPr>
    </w:p>
    <w:p>
      <w:pPr>
        <w:jc w:val="both"/>
        <w:ind w:right="80" w:firstLine="510"/>
        <w:spacing w:after="0"/>
        <w:rPr>
          <w:sz w:val="20"/>
          <w:szCs w:val="20"/>
          <w:color w:val="auto"/>
        </w:rPr>
      </w:pPr>
      <w:r>
        <w:rPr>
          <w:rFonts w:ascii="Arial" w:cs="Arial" w:eastAsia="Arial" w:hAnsi="Arial"/>
          <w:sz w:val="18"/>
          <w:szCs w:val="18"/>
          <w:color w:val="auto"/>
        </w:rPr>
        <w:t>The purchase price allocation is preliminary primarily due to the finalization of the Company’s valuation analysis and review of various tax attributes. The preliminary purchase price allocation of the acquired assets and assumed liabilities based on the estimated fair values as of April 30, 2021 is as follows: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4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(In thousands)</w:t>
            </w:r>
          </w:p>
        </w:tc>
      </w:tr>
      <w:tr>
        <w:trPr>
          <w:trHeight w:val="209"/>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2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5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63,191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560" w:type="dxa"/>
            <w:vAlign w:val="bottom"/>
            <w:shd w:val="clear" w:color="auto" w:fill="CFF0FC"/>
          </w:tcPr>
          <w:p>
            <w:pPr>
              <w:spacing w:after="0"/>
              <w:rPr>
                <w:sz w:val="18"/>
                <w:szCs w:val="18"/>
                <w:color w:val="auto"/>
              </w:rPr>
            </w:pPr>
          </w:p>
        </w:tc>
        <w:tc>
          <w:tcPr>
            <w:tcW w:w="2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221,540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29,132</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560" w:type="dxa"/>
            <w:vAlign w:val="bottom"/>
            <w:tcBorders>
              <w:bottom w:val="single" w:sz="8" w:color="auto"/>
            </w:tcBorders>
            <w:shd w:val="clear" w:color="auto" w:fill="CFF0FC"/>
          </w:tcPr>
          <w:p>
            <w:pPr>
              <w:spacing w:after="0"/>
              <w:rPr>
                <w:sz w:val="18"/>
                <w:szCs w:val="18"/>
                <w:color w:val="auto"/>
              </w:rPr>
            </w:pPr>
          </w:p>
        </w:tc>
        <w:tc>
          <w:tcPr>
            <w:tcW w:w="2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shd w:val="clear" w:color="auto" w:fill="CFF0FC"/>
          </w:tcPr>
          <w:p>
            <w:pPr>
              <w:spacing w:after="0"/>
              <w:rPr>
                <w:sz w:val="18"/>
                <w:szCs w:val="18"/>
                <w:color w:val="auto"/>
              </w:rPr>
            </w:pPr>
          </w:p>
        </w:tc>
      </w:tr>
      <w:tr>
        <w:trPr>
          <w:trHeight w:val="210"/>
        </w:trPr>
        <w:tc>
          <w:tcPr>
            <w:tcW w:w="6900" w:type="dxa"/>
            <w:vAlign w:val="bottom"/>
          </w:tcPr>
          <w:p>
            <w:pPr>
              <w:ind w:left="240"/>
              <w:spacing w:after="0"/>
              <w:rPr>
                <w:sz w:val="20"/>
                <w:szCs w:val="20"/>
                <w:color w:val="auto"/>
              </w:rPr>
            </w:pPr>
            <w:r>
              <w:rPr>
                <w:rFonts w:ascii="Arial" w:cs="Arial" w:eastAsia="Arial" w:hAnsi="Arial"/>
                <w:sz w:val="18"/>
                <w:szCs w:val="18"/>
                <w:color w:val="auto"/>
              </w:rPr>
              <w:t>Total assets acquired</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415,379</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FF0FC"/>
          </w:tcPr>
          <w:p>
            <w:pPr>
              <w:spacing w:after="0"/>
              <w:rPr>
                <w:sz w:val="18"/>
                <w:szCs w:val="18"/>
                <w:color w:val="auto"/>
              </w:rPr>
            </w:pPr>
          </w:p>
        </w:tc>
        <w:tc>
          <w:tcPr>
            <w:tcW w:w="2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(66,006)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60" w:type="dxa"/>
            <w:vAlign w:val="bottom"/>
          </w:tcPr>
          <w:p>
            <w:pPr>
              <w:spacing w:after="0"/>
              <w:rPr>
                <w:sz w:val="18"/>
                <w:szCs w:val="18"/>
                <w:color w:val="auto"/>
              </w:rPr>
            </w:pPr>
          </w:p>
        </w:tc>
        <w:tc>
          <w:tcPr>
            <w:tcW w:w="2640" w:type="dxa"/>
            <w:vAlign w:val="bottom"/>
            <w:gridSpan w:val="2"/>
          </w:tcPr>
          <w:p>
            <w:pPr>
              <w:jc w:val="right"/>
              <w:ind w:right="40"/>
              <w:spacing w:after="0"/>
              <w:rPr>
                <w:sz w:val="20"/>
                <w:szCs w:val="20"/>
                <w:color w:val="auto"/>
              </w:rPr>
            </w:pPr>
            <w:r>
              <w:rPr>
                <w:rFonts w:ascii="Arial" w:cs="Arial" w:eastAsia="Arial" w:hAnsi="Arial"/>
                <w:sz w:val="18"/>
                <w:szCs w:val="18"/>
                <w:color w:val="auto"/>
              </w:rPr>
              <w:t>(31,433)</w:t>
            </w:r>
          </w:p>
        </w:tc>
      </w:tr>
      <w:tr>
        <w:trPr>
          <w:trHeight w:val="20"/>
        </w:trPr>
        <w:tc>
          <w:tcPr>
            <w:tcW w:w="69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 assumed</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2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(97,439)</w:t>
            </w:r>
          </w:p>
        </w:tc>
      </w:tr>
      <w:tr>
        <w:trPr>
          <w:trHeight w:val="209"/>
        </w:trPr>
        <w:tc>
          <w:tcPr>
            <w:tcW w:w="690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2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317,940</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Amounts assigned to identifiable intangible assets are preliminary and are being amortized on a straight-line basis over their estimated useful lives (which approximates the economic pattern of benefit) and are as follows as of April 30, 2021:</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jc w:val="center"/>
              <w:ind w:right="297"/>
              <w:spacing w:after="0"/>
              <w:rPr>
                <w:sz w:val="20"/>
                <w:szCs w:val="20"/>
                <w:color w:val="auto"/>
              </w:rPr>
            </w:pPr>
            <w:r>
              <w:rPr>
                <w:rFonts w:ascii="Arial" w:cs="Arial" w:eastAsia="Arial" w:hAnsi="Arial"/>
                <w:sz w:val="14"/>
                <w:szCs w:val="14"/>
                <w:b w:val="1"/>
                <w:bCs w:val="1"/>
                <w:color w:val="auto"/>
              </w:rPr>
              <w:t>Preliminary</w:t>
            </w:r>
          </w:p>
        </w:tc>
        <w:tc>
          <w:tcPr>
            <w:tcW w:w="24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Estimated Weighted</w:t>
            </w:r>
          </w:p>
        </w:tc>
      </w:tr>
      <w:tr>
        <w:trPr>
          <w:trHeight w:val="216"/>
        </w:trPr>
        <w:tc>
          <w:tcPr>
            <w:tcW w:w="3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center"/>
              <w:ind w:right="317"/>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r>
      <w:tr>
        <w:trPr>
          <w:trHeight w:val="201"/>
        </w:trPr>
        <w:tc>
          <w:tcPr>
            <w:tcW w:w="392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CFF0FC"/>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85,440</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101,920</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25,540</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26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Total identifiable intangible assets</w:t>
            </w: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221,540</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In connection with the acquisition, the Company assumed a contingent liability associated with a RigNet predecessor subsidiary of approximately $13.8 million, which represented the maximum amount payable under the terms of the agreement. As of September 30, 2021, no amount remains payable as the maximum amount payable was paid during the first and second quarters of fiscal year 2022.</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180" w:firstLine="510"/>
        <w:spacing w:after="0" w:line="238" w:lineRule="auto"/>
        <w:rPr>
          <w:sz w:val="20"/>
          <w:szCs w:val="20"/>
          <w:color w:val="auto"/>
        </w:rPr>
      </w:pPr>
      <w:r>
        <w:rPr>
          <w:rFonts w:ascii="Arial" w:cs="Arial" w:eastAsia="Arial" w:hAnsi="Arial"/>
          <w:sz w:val="18"/>
          <w:szCs w:val="18"/>
          <w:color w:val="auto"/>
        </w:rPr>
        <w:t>The condensed consolidated financial statements include the operating results of RigNet from the date of acquisition. Since the acquisition date, the Company recorded approximately $45.2 million and $79.2 million in revenue for the three and six months ended September 30, 2021, respectively, and $9.9 million and $16.2 million of net losses for the three and six months ended September 30, 2021, respectively, with respect to the RigNet business primarily in the Company’s satellite services segment (with a portion included in its commercial networks segment) in the condensed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8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RigNet on a pro forma basis, as though the companies had been combined as of the beginning of the prior fiscal year, April 1, 2020.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three-month and six-month periods ended September 30, 2021, and September 30, 2020 include the business combination accounting effects primarily related to the amortization and depreciation changes from acquired intangible and tangible assets, acquisition-related transaction costs and related tax effects.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3240" w:type="dxa"/>
            <w:vAlign w:val="bottom"/>
          </w:tcPr>
          <w:p>
            <w:pPr>
              <w:spacing w:after="0"/>
              <w:rPr>
                <w:sz w:val="18"/>
                <w:szCs w:val="18"/>
                <w:color w:val="auto"/>
              </w:rPr>
            </w:pPr>
          </w:p>
        </w:tc>
        <w:tc>
          <w:tcPr>
            <w:tcW w:w="16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September 30, 2021</w:t>
            </w:r>
          </w:p>
        </w:tc>
        <w:tc>
          <w:tcPr>
            <w:tcW w:w="1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September 30, 2020</w:t>
            </w:r>
          </w:p>
        </w:tc>
        <w:tc>
          <w:tcPr>
            <w:tcW w:w="164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September 30, 2021</w:t>
            </w:r>
          </w:p>
        </w:tc>
        <w:tc>
          <w:tcPr>
            <w:tcW w:w="1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2020</w:t>
            </w:r>
          </w:p>
        </w:tc>
      </w:tr>
      <w:tr>
        <w:trPr>
          <w:trHeight w:val="210"/>
        </w:trPr>
        <w:tc>
          <w:tcPr>
            <w:tcW w:w="3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701,354</w:t>
            </w:r>
          </w:p>
        </w:tc>
        <w:tc>
          <w:tcPr>
            <w:tcW w:w="8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603,000</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1,377,831</w:t>
            </w:r>
          </w:p>
        </w:tc>
        <w:tc>
          <w:tcPr>
            <w:tcW w:w="7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1,186,879</w:t>
            </w:r>
          </w:p>
        </w:tc>
        <w:tc>
          <w:tcPr>
            <w:tcW w:w="120" w:type="dxa"/>
            <w:vAlign w:val="bottom"/>
            <w:shd w:val="clear" w:color="auto" w:fill="CFF0FC"/>
          </w:tcPr>
          <w:p>
            <w:pPr>
              <w:spacing w:after="0"/>
              <w:rPr>
                <w:sz w:val="18"/>
                <w:szCs w:val="18"/>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8"/>
                <w:szCs w:val="18"/>
                <w:color w:val="auto"/>
              </w:rPr>
              <w:t>Viasat, Inc.</w:t>
            </w: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3,291</w:t>
            </w:r>
          </w:p>
        </w:tc>
        <w:tc>
          <w:tcPr>
            <w:tcW w:w="840" w:type="dxa"/>
            <w:vAlign w:val="bottom"/>
          </w:tcPr>
          <w:p>
            <w:pPr>
              <w:jc w:val="right"/>
              <w:ind w:right="55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(7,582)</w:t>
            </w: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15,835</w:t>
            </w:r>
          </w:p>
        </w:tc>
        <w:tc>
          <w:tcPr>
            <w:tcW w:w="72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(43,356)</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On November 8, 2021, the Company entered into a Share Purchase Agreement to combine with Connect Topco Limited, a private company limited by shares and incorporated in Guernsey (Inmarsat), with the shareholders of Inmarsat and certain management and employees who hold options and shares of a wholly owned subsidiary of Inmarsat whose options and shares will be exchanged for shares of Inmarsat prior to closing (collectively, the Sellers). Pursuant to the Share Purchase Agreement, the Company will purchase all of the issued and outstanding shares of Inmarsat from the Sellers upon the terms and subject to the conditions set forth in the Share Purchase Agreement.</w:t>
      </w:r>
    </w:p>
    <w:p>
      <w:pPr>
        <w:spacing w:after="0" w:line="54" w:lineRule="exact"/>
        <w:rPr>
          <w:sz w:val="20"/>
          <w:szCs w:val="20"/>
          <w:color w:val="auto"/>
        </w:rPr>
      </w:pPr>
    </w:p>
    <w:p>
      <w:pPr>
        <w:ind w:right="240" w:firstLine="510"/>
        <w:spacing w:after="0" w:line="246" w:lineRule="auto"/>
        <w:rPr>
          <w:sz w:val="20"/>
          <w:szCs w:val="20"/>
          <w:color w:val="auto"/>
        </w:rPr>
      </w:pPr>
      <w:r>
        <w:rPr>
          <w:rFonts w:ascii="Arial" w:cs="Arial" w:eastAsia="Arial" w:hAnsi="Arial"/>
          <w:sz w:val="18"/>
          <w:szCs w:val="18"/>
          <w:color w:val="auto"/>
        </w:rPr>
        <w:t>The total consideration payable by the Company under the Share Purchase Agreement consists of $850.0 million in cash, subject to adjustments, and approximately 46.36 million unregistered shares of the Company’s common stock.</w:t>
      </w:r>
    </w:p>
    <w:p>
      <w:pPr>
        <w:spacing w:after="0" w:line="48"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closing of the transaction is subject to customary closing conditions, including receipt of regulatory approvals and clearances, and approval by the stockholders of the Company of the issuance of shares in the transaction and an amendment to the Company’s certificate of incorporation to increase the number of shares of common stock authorized for issuance. The Share Purchase Agreement contains certain termination rights for both the Company and certain of the Sellers and further provides that, upon termination of the Share Purchase Agreement under certain circumstances, the Company may be obligated to pay a termination fee of up to $200.0 million or to reimburse certain out-of-pocket expenses of certain Sellers up to $40.0 million.</w:t>
      </w:r>
    </w:p>
    <w:p>
      <w:pPr>
        <w:spacing w:after="0" w:line="70" w:lineRule="exact"/>
        <w:rPr>
          <w:sz w:val="20"/>
          <w:szCs w:val="20"/>
          <w:color w:val="auto"/>
        </w:rPr>
      </w:pPr>
    </w:p>
    <w:p>
      <w:pPr>
        <w:ind w:right="600" w:firstLine="510"/>
        <w:spacing w:after="0" w:line="238" w:lineRule="auto"/>
        <w:rPr>
          <w:sz w:val="20"/>
          <w:szCs w:val="20"/>
          <w:color w:val="auto"/>
        </w:rPr>
      </w:pPr>
      <w:r>
        <w:rPr>
          <w:rFonts w:ascii="Arial" w:cs="Arial" w:eastAsia="Arial" w:hAnsi="Arial"/>
          <w:sz w:val="18"/>
          <w:szCs w:val="18"/>
          <w:color w:val="auto"/>
        </w:rPr>
        <w:t>The Company has obtained financing commitments for $ 2.3 billion of new debt facilities in connection with the transaction. The Company also plans to assume $2.1 billion in principal amount of Inmarsat senior secured bonds and $ 1.7 billion outstanding under Inmarsat’s $2.4 billion senior secured credit facilities. The Company has also obtained commitments of $3.2 billion to backstop certain amendments required under the Credit Facilities and Inmarsat’s $2.4 billion senior secured credit facilities.</w:t>
      </w:r>
    </w:p>
    <w:p>
      <w:pPr>
        <w:spacing w:after="0" w:line="56" w:lineRule="exact"/>
        <w:rPr>
          <w:sz w:val="20"/>
          <w:szCs w:val="20"/>
          <w:color w:val="auto"/>
        </w:rPr>
      </w:pPr>
    </w:p>
    <w:p>
      <w:pPr>
        <w:ind w:right="440" w:firstLine="510"/>
        <w:spacing w:after="0" w:line="246" w:lineRule="auto"/>
        <w:rPr>
          <w:sz w:val="20"/>
          <w:szCs w:val="20"/>
          <w:color w:val="auto"/>
        </w:rPr>
      </w:pPr>
      <w:r>
        <w:rPr>
          <w:rFonts w:ascii="Arial" w:cs="Arial" w:eastAsia="Arial" w:hAnsi="Arial"/>
          <w:sz w:val="18"/>
          <w:szCs w:val="18"/>
          <w:color w:val="auto"/>
        </w:rPr>
        <w:t>Additional information regarding the proposed transaction and Share Purchase Agreement is contained in the Company’s Current Report on Form 8-K filed with the SEC on November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right="2980"/>
        <w:spacing w:after="0" w:line="33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749"/>
        <w:spacing w:after="0" w:line="249" w:lineRule="auto"/>
        <w:rPr>
          <w:sz w:val="20"/>
          <w:szCs w:val="20"/>
          <w:color w:val="auto"/>
        </w:rPr>
      </w:pPr>
      <w:r>
        <w:rPr>
          <w:rFonts w:ascii="Arial" w:cs="Arial" w:eastAsia="Arial" w:hAnsi="Arial"/>
          <w:sz w:val="17"/>
          <w:szCs w:val="17"/>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proposed acquisition of Inmarsat (the Transaction) and any statements regarding the expected timing, benefits, synergies, growth opportunities and other financial and operating benefits thereof, the closing of the Transaction and timing or satisfaction of regulatory and other closing conditions, or the anticipated operations, financial position, liquidity, performance, prospects or growth and scale opportunities of the combined company; the impact of the novel coronavirus (COVID-19) pandemic on our business; our expectations regarding an end to the pandemic and a lessening of its effects on our business, including expectations for increased airline passenger traffic and in-flight connectivity (IFC) growth; projections of earnings, revenue, costs or other financial items; anticipated growth and trends in our business or key markets; future economic conditions and performance; the anticipated benefits of our acquisitions of RigNet, Inc. (RigNet) and Euro Broadband Infrastructure Sàrl (Euro Infrastructure Co.);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and uncertainties related to the Transaction, including the failure to obtain, or delays in obtaining, required regulatory approvals or clearances; the risk that any such approval may result in the imposition of conditions that could adversely affect Viasat,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Viasat to pay a termination fee; the risk that Viasat’s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its ongoing business; the effect of the announcement of the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Transaction, including the expectation of enhancements to Viasat’s products and services, greater revenue or growth opportunities, operating efficiencies and cost savings; the ability to ensure continued performance and market growth of the combined company’s business;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acquisitions or strategic partnering arrangements, including the RigNet and Euro Infrastructure Co. acquisitions;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5" w:name="page36"/>
    <w:bookmarkEnd w:id="35"/>
    <w:p>
      <w:pPr>
        <w:ind w:right="40"/>
        <w:spacing w:after="0" w:line="252" w:lineRule="auto"/>
        <w:rPr>
          <w:sz w:val="20"/>
          <w:szCs w:val="20"/>
          <w:color w:val="auto"/>
        </w:rPr>
      </w:pPr>
      <w:r>
        <w:rPr>
          <w:rFonts w:ascii="Arial" w:cs="Arial" w:eastAsia="Arial" w:hAnsi="Arial"/>
          <w:sz w:val="17"/>
          <w:szCs w:val="17"/>
          <w:color w:val="auto"/>
        </w:rPr>
        <w:t>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2021,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Viasat, Inc. was incorporated in California in 1986, and reincorporated as a Delaware corporation in 1996.</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On November 8, 2021, we entered into a Share Purchase Agreement to combine with Connect Topco Limited, a private company limited by shares and incorporated in Guernsey (Inmarsat), with the shareholders of Inmarsat and certain management and employees who hold options and shares of a wholly owned subsidiary of Inmarsat whose options and shares will be exchanged for shares of Inmarsat prior to closing (collectively, the Sellers). Pursuant to the Share Purchase Agreement, we will purchase all of the issued and outstanding shares of Inmarsat from the Sellers upon the terms and subject to the conditions set forth in the Share Purchase Agreement (the Transaction). Our board of directors has unanimously approved the Share Purchase Agreement and the proposed Transaction.</w:t>
      </w:r>
    </w:p>
    <w:p>
      <w:pPr>
        <w:spacing w:after="0" w:line="56" w:lineRule="exact"/>
        <w:rPr>
          <w:sz w:val="20"/>
          <w:szCs w:val="20"/>
          <w:color w:val="auto"/>
        </w:rPr>
      </w:pPr>
    </w:p>
    <w:p>
      <w:pPr>
        <w:ind w:right="40" w:firstLine="510"/>
        <w:spacing w:after="0" w:line="246" w:lineRule="auto"/>
        <w:rPr>
          <w:sz w:val="20"/>
          <w:szCs w:val="20"/>
          <w:color w:val="auto"/>
        </w:rPr>
      </w:pPr>
      <w:r>
        <w:rPr>
          <w:rFonts w:ascii="Arial" w:cs="Arial" w:eastAsia="Arial" w:hAnsi="Arial"/>
          <w:sz w:val="18"/>
          <w:szCs w:val="18"/>
          <w:color w:val="auto"/>
        </w:rPr>
        <w:t>The total consideration payable by us under the Share Purchase Agreement consists of $850.0 million in cash, subject to adjustments, and approximately 46.36 million unregistered shares of our common stock.</w:t>
      </w:r>
    </w:p>
    <w:p>
      <w:pPr>
        <w:spacing w:after="0" w:line="48"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closing of the Transaction is subject to customary closing conditions, including receipt of regulatory approvals and clearances, and approval by our stockholders of the issuance of shares in the Transaction and an amendment to our certificate of incorporation to increase the number of shares of common stock authorized for issuance. The Share Purchase Agreement contains certain termination rights for both us and certain of the Sellers and further provides that, upon termination of the Share Purchase Agreement under certain circumstances, we may be obligated to pay a termination fee of up to $200.0 million or to reimburse certain out-of-pocket expenses of certain Sellers up to $40.0 million.</w:t>
      </w:r>
    </w:p>
    <w:p>
      <w:pPr>
        <w:spacing w:after="0" w:line="70" w:lineRule="exact"/>
        <w:rPr>
          <w:sz w:val="20"/>
          <w:szCs w:val="20"/>
          <w:color w:val="auto"/>
        </w:rPr>
      </w:pPr>
    </w:p>
    <w:p>
      <w:pPr>
        <w:ind w:right="240" w:firstLine="510"/>
        <w:spacing w:after="0" w:line="238" w:lineRule="auto"/>
        <w:rPr>
          <w:sz w:val="20"/>
          <w:szCs w:val="20"/>
          <w:color w:val="auto"/>
        </w:rPr>
      </w:pPr>
      <w:r>
        <w:rPr>
          <w:rFonts w:ascii="Arial" w:cs="Arial" w:eastAsia="Arial" w:hAnsi="Arial"/>
          <w:sz w:val="18"/>
          <w:szCs w:val="18"/>
          <w:color w:val="auto"/>
        </w:rPr>
        <w:t>We have obtained financing commitments for $2.3 billion of new debt facilities in connection with the Transaction. We also plan to assume $2.1 billion in principal amount of Inmarsat senior secured bonds and $1.7 billion outstanding under Inmarsat’s $2.4 billion senior secured credit facilities. We have also obtained commitments of $3.2 billion to backstop certain amendments required under the Revolving Credit Facility and Ex-Im Credit Facility and Inmarsat’s $2.4 billion senior secured credit facilities.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more detail about the Transaction, please see our Current Report on Form 8-K filed with the SEC on November 8,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99" w:lineRule="exact"/>
        <w:rPr>
          <w:sz w:val="20"/>
          <w:szCs w:val="20"/>
          <w:color w:val="auto"/>
        </w:rPr>
      </w:pPr>
    </w:p>
    <w:p>
      <w:pPr>
        <w:ind w:right="280" w:firstLine="510"/>
        <w:spacing w:after="0"/>
        <w:rPr>
          <w:sz w:val="20"/>
          <w:szCs w:val="20"/>
          <w:color w:val="auto"/>
        </w:rPr>
      </w:pPr>
      <w:r>
        <w:rPr>
          <w:rFonts w:ascii="Arial" w:cs="Arial" w:eastAsia="Arial" w:hAnsi="Arial"/>
          <w:sz w:val="18"/>
          <w:szCs w:val="18"/>
          <w:color w:val="auto"/>
        </w:rPr>
        <w:t>On April 30, 2021, we completed our acquisition of the remaining 51% interest in Euro Infrastructure Co., a leading KA-SAT satellite broadband internet service provider in Europe, Middle East and Africa (EMEA) from Eutelsat. The acquisition is expected to facilitate the diversification of our business portfolio in Europe, while establishing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6" w:name="page37"/>
    <w:bookmarkEnd w:id="36"/>
    <w:p>
      <w:pPr>
        <w:ind w:right="40"/>
        <w:spacing w:after="0" w:line="237" w:lineRule="auto"/>
        <w:rPr>
          <w:sz w:val="20"/>
          <w:szCs w:val="20"/>
          <w:color w:val="auto"/>
        </w:rPr>
      </w:pPr>
      <w:r>
        <w:rPr>
          <w:rFonts w:ascii="Arial" w:cs="Arial" w:eastAsia="Arial" w:hAnsi="Arial"/>
          <w:sz w:val="18"/>
          <w:szCs w:val="18"/>
          <w:color w:val="auto"/>
        </w:rPr>
        <w:t>distribution and sales of satellite-based broadband services, ahead of the anticipated ViaSat-3 (EMEA) satellite launch. We paid approximately $167.0 million in cash, net of what is currently estimated to be an immaterial amount of estimated purchase price consideration (resulting in a cash outlay of approximately $51.0 million, net of approximately $121.7 million of Euro Infrastructure Co.’s cash on hand) and the fair value of previously held equity method investment of approximately $160.4 million. In connection with the acquisition, we remeasured the previously held equity method investment to its fair value as of the date of the acquisition, recognized previously unrecognized foreign currency gain and settlement of insignificant preexisting relationships, and as a result recorded an insignificant total net gain included in other income, net in the condensed consolidated statements of operations and comprehensive income (loss).</w:t>
      </w:r>
    </w:p>
    <w:p>
      <w:pPr>
        <w:spacing w:after="0" w:line="149" w:lineRule="exact"/>
        <w:rPr>
          <w:sz w:val="20"/>
          <w:szCs w:val="20"/>
          <w:color w:val="auto"/>
        </w:rPr>
      </w:pPr>
    </w:p>
    <w:p>
      <w:pPr>
        <w:ind w:right="360" w:firstLine="510"/>
        <w:spacing w:after="0" w:line="238" w:lineRule="auto"/>
        <w:rPr>
          <w:sz w:val="20"/>
          <w:szCs w:val="20"/>
          <w:color w:val="auto"/>
        </w:rPr>
      </w:pPr>
      <w:r>
        <w:rPr>
          <w:rFonts w:ascii="Arial" w:cs="Arial" w:eastAsia="Arial" w:hAnsi="Arial"/>
          <w:sz w:val="18"/>
          <w:szCs w:val="18"/>
          <w:color w:val="auto"/>
        </w:rPr>
        <w:t>On April 30, 2021, we completed our acquisition of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paid a de minimis amount of cash in respect of fractional shares and paid an insignificant amount of other consideration. We retained approximately $20.6 million of RigNet’s cash on hand.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March 2020, the global outbreak of COVID-19 was declared a pandemic by the World Health Organization and a national emergency by the U.S. Government. The COVID-19 pandemic and attempts to contain it, such as mandatory closures, “shelter-in-place” orders and travel restrictions, have caused significant disruptions and adverse effects on U.S. and global economies, including impacts to supply chains, customer demand and financial markets. We have taken measures to protect the health and safety of our employees and to work with our customers, employees, suppliers, subcontractors, distributors, resellers and communities to address the disruptions from the pandemic. Although our financial results for the three and six months ended September 30, 2021 were impacted by the pandemic, the impact was not material to our financial position, results of operations or cash flows in such periods, with continued negative impacts particularly in our commercial aviation business offset by strong demand in our fixed broadband services business and other parts of our business. We continue to expect our diversified businesses to provide resiliency for the remainder of fiscal year 2022.</w:t>
      </w:r>
    </w:p>
    <w:p>
      <w:pPr>
        <w:spacing w:after="0" w:line="153"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Our government systems segment, which represented 38% and 39% of our total revenues during the three and six months ended September 30, 2021, respectively, continued to perform in line with our expectations. Demand for products and services in our government systems segment remained strong despite the COVID-19 pandemic, although our government business continued to experience some administrative delays on certain contractual vehicles as government customers continue to adjust to the challenges inherent in the remote work environment resulting from the COVID-19 pandemic.</w:t>
      </w:r>
    </w:p>
    <w:p>
      <w:pPr>
        <w:spacing w:after="0" w:line="148"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During the pandemic, we experienced increased demand for our premium high-speed plans in our fixed broadband services business, reflecting customers’ increased bandwidth needs in a remote working/distance schooling environment. However, the pandemic also caused a severe decline in global air traffic, which reduced demand for our in-flight services and IFC systems in our satellite services and commercial networks segments, respectively. While domestic airline traffic has continued to increase during calendar year 2021 (with increased planes in service and higher passenger volumes), global airline traffic is still a fraction of pre-pandemic activity. We expect to continue to see negative impacts on revenues and operating cash flows from our IFC businesses in the remainder of fiscal year 2022 and potentially beyond, but for the effects to continue to lessen over time with increases in passenger air traffic and the return to service of additional currently inactive aircraft. In fiscal year 2020, prior to the pandemic, less than 10% of our total revenues were generated by services and products provided to commercial airlines reported in our satellite services and commercial networks segments.</w:t>
      </w:r>
    </w:p>
    <w:p>
      <w:pPr>
        <w:spacing w:after="0" w:line="153"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The extent of the impact of the COVID-19 pandemic on our business in fiscal year 2022 and potentially beyond will depend on many factors, including the duration and scope of the public health emergency, the extent, duration and effectiveness of containment actions taken, the efficacy and extent of vaccination programs, the extent of disruption to important global, regional and local supply chains and economic markets, and the impact of the pandemic on overall supply and demand, global air travel, consumer confidence, discretionary spending levels and levels of economic activity.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right="180" w:firstLine="510"/>
        <w:spacing w:after="0" w:line="252" w:lineRule="auto"/>
        <w:rPr>
          <w:sz w:val="20"/>
          <w:szCs w:val="20"/>
          <w:color w:val="auto"/>
        </w:rPr>
      </w:pPr>
      <w:r>
        <w:rPr>
          <w:rFonts w:ascii="Arial" w:cs="Arial" w:eastAsia="Arial" w:hAnsi="Arial"/>
          <w:sz w:val="17"/>
          <w:szCs w:val="17"/>
          <w:color w:val="auto"/>
        </w:rPr>
        <w:t>Our satellite services segment uses our proprietary technology platform to provide satellite-based high-speed broadband services around the globe for use in commercial applications. Our proprietary Ka-band satellites are at the core of our technology platform, and we also have access to a number of Ka-band and Ku-band satellites in service globally. We own three Ka-band satellites in service over North America: our second-generation ViaSat-2 satellite (launched in 2017), our first-generation ViaSat-1 satellite (launched in 2011) and the WildBlue-1 satellite (launched in 2007), and, after acquiring the remaining interest in Euro Infrastructure Co. in the first quarter of fiscal year 2022, we also own the KA-SAT satellite over EMEA. In addition, we have lifetime leases of Ka-band capacity on two satellites—one over North America and a second one over EMEA. We also have a global constellation of three third-generation ViaSat-3 class satellites under construction. We expect our ViaSat-3 constellation, once in service, to enable us to deliver affordable connectivity across most of the world.</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04" w:lineRule="exact"/>
        <w:rPr>
          <w:sz w:val="20"/>
          <w:szCs w:val="20"/>
          <w:color w:val="auto"/>
        </w:rPr>
      </w:pPr>
    </w:p>
    <w:p>
      <w:pPr>
        <w:ind w:left="1000" w:right="24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Voice over Internet Protocol (VoIP) services, primarily in the United States as well as in various countries in Europe and Latin America.</w:t>
      </w:r>
    </w:p>
    <w:p>
      <w:pPr>
        <w:spacing w:after="0" w:line="94" w:lineRule="exact"/>
        <w:rPr>
          <w:rFonts w:ascii="Arial" w:cs="Arial" w:eastAsia="Arial" w:hAnsi="Arial"/>
          <w:sz w:val="18"/>
          <w:szCs w:val="18"/>
          <w:color w:val="auto"/>
        </w:rPr>
      </w:pPr>
    </w:p>
    <w:p>
      <w:pPr>
        <w:ind w:left="1000" w:hanging="493"/>
        <w:spacing w:after="0" w:line="23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wireless in-flight entertainment and aviation software services. As of September 30, 2021, we had our IFC systems installed and in service on approximately 1,700 commercial aircraft, of which, due to impacts of the COVID-19 pandemic approximately 80 were inactive at quarter end. We anticipate that approximately 1,070 additional commercial aircraft under existing 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 See the section entitled “COVID-19” above for a discussion of the impact of the COVID-19 pandemic on our in-flight services business.</w:t>
      </w:r>
    </w:p>
    <w:p>
      <w:pPr>
        <w:spacing w:after="0" w:line="126" w:lineRule="exact"/>
        <w:rPr>
          <w:rFonts w:ascii="Arial" w:cs="Arial" w:eastAsia="Arial" w:hAnsi="Arial"/>
          <w:sz w:val="18"/>
          <w:szCs w:val="18"/>
          <w:color w:val="auto"/>
        </w:rPr>
      </w:pPr>
    </w:p>
    <w:p>
      <w:pPr>
        <w:ind w:left="1000" w:right="14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Community Internet services, which offer innovative, affordable, satellite-based connectivity in communities with that have little, or no, access to the internet. The services help foster digital inclusion by enabling millions of people to connect to affordable high-quality internet services via a centralized community hotspot connected to the internet via satellite. Since launch, our Community Internet services have reached approximately 2 million people living and working in thousands of rural, suburban and urban communities in Mexico. We are trialing services in advance of full commercial launch in other countries, including Brazil, Guatemala and Nigeria.</w:t>
      </w:r>
    </w:p>
    <w:p>
      <w:pPr>
        <w:spacing w:after="0" w:line="94" w:lineRule="exact"/>
        <w:rPr>
          <w:rFonts w:ascii="Arial" w:cs="Arial" w:eastAsia="Arial" w:hAnsi="Arial"/>
          <w:sz w:val="18"/>
          <w:szCs w:val="18"/>
          <w:color w:val="auto"/>
        </w:rPr>
      </w:pPr>
    </w:p>
    <w:p>
      <w:pPr>
        <w:ind w:left="1000" w:right="240" w:hanging="493"/>
        <w:spacing w:after="0" w:line="23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123" w:lineRule="exact"/>
        <w:rPr>
          <w:rFonts w:ascii="Arial" w:cs="Arial" w:eastAsia="Arial" w:hAnsi="Arial"/>
          <w:sz w:val="18"/>
          <w:szCs w:val="18"/>
          <w:color w:val="auto"/>
        </w:rPr>
      </w:pPr>
    </w:p>
    <w:p>
      <w:pPr>
        <w:ind w:left="1000" w:right="400" w:hanging="493"/>
        <w:spacing w:after="0" w:line="24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software and communication infrastructure services, which include ultra-secure solutions spanning global IP connectivity, bandwidth-optimized over-the-top applications, industrial Internet-of-Things big data enablement and industry-leading machine learning analytics. These services support the evolution of digital enablement, and primarily result from our acquisition of RigNet in the first quarter of fiscal year 2022.</w:t>
      </w:r>
    </w:p>
    <w:p>
      <w:pPr>
        <w:spacing w:after="0" w:line="147" w:lineRule="exact"/>
        <w:rPr>
          <w:sz w:val="20"/>
          <w:szCs w:val="20"/>
          <w:color w:val="auto"/>
        </w:rPr>
      </w:pPr>
    </w:p>
    <w:p>
      <w:pPr>
        <w:ind w:right="600" w:firstLine="510"/>
        <w:spacing w:after="0" w:line="246" w:lineRule="auto"/>
        <w:rPr>
          <w:sz w:val="20"/>
          <w:szCs w:val="20"/>
          <w:color w:val="auto"/>
        </w:rPr>
      </w:pPr>
      <w:r>
        <w:rPr>
          <w:rFonts w:ascii="Arial" w:cs="Arial" w:eastAsia="Arial" w:hAnsi="Arial"/>
          <w:sz w:val="18"/>
          <w:szCs w:val="18"/>
          <w:color w:val="auto"/>
        </w:rPr>
        <w:t>The assets and results of operations of our recent acquisitions, Euro Infrastructure Co. and RigNet, are primarily included in our satellite services segment (with insignificant amounts included in our commercial networks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85" w:lineRule="exact"/>
        <w:rPr>
          <w:sz w:val="20"/>
          <w:szCs w:val="20"/>
          <w:color w:val="auto"/>
        </w:rPr>
      </w:pPr>
    </w:p>
    <w:p>
      <w:pPr>
        <w:jc w:val="both"/>
        <w:ind w:right="60" w:firstLine="510"/>
        <w:spacing w:after="0" w:line="238" w:lineRule="auto"/>
        <w:rPr>
          <w:sz w:val="20"/>
          <w:szCs w:val="20"/>
          <w:color w:val="auto"/>
        </w:rPr>
      </w:pPr>
      <w:r>
        <w:rPr>
          <w:rFonts w:ascii="Arial" w:cs="Arial" w:eastAsia="Arial" w:hAnsi="Arial"/>
          <w:sz w:val="18"/>
          <w:szCs w:val="18"/>
          <w:color w:val="auto"/>
        </w:rPr>
        <w:t>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medium earth orbit (MEO) and low earth orbit (LEO). The primary products, systems, solutions and services offered by our commercial networks segment are comprised of:</w:t>
      </w:r>
    </w:p>
    <w:p>
      <w:pPr>
        <w:spacing w:after="0" w:line="97"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seagoing vessels and land-mobile systems.</w:t>
      </w:r>
    </w:p>
    <w:p>
      <w:pPr>
        <w:spacing w:after="0" w:line="144" w:lineRule="exact"/>
        <w:rPr>
          <w:rFonts w:ascii="Arial" w:cs="Arial" w:eastAsia="Arial" w:hAnsi="Arial"/>
          <w:sz w:val="18"/>
          <w:szCs w:val="18"/>
          <w:color w:val="auto"/>
        </w:rPr>
      </w:pPr>
    </w:p>
    <w:p>
      <w:pPr>
        <w:ind w:left="1000" w:right="740" w:hanging="493"/>
        <w:spacing w:after="0" w:line="24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ind w:left="1000" w:right="280" w:hanging="493"/>
        <w:spacing w:after="0" w:line="24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Antenna systems, including state-of-the-art ground and airborne terminals, antennas and gateways for terrestrial and satellite customer applications, mobile satellite communication, Ka-band earth stations and other multi-band antennas.</w:t>
      </w:r>
    </w:p>
    <w:p>
      <w:pPr>
        <w:spacing w:after="0" w:line="88" w:lineRule="exact"/>
        <w:rPr>
          <w:rFonts w:ascii="Arial" w:cs="Arial" w:eastAsia="Arial" w:hAnsi="Arial"/>
          <w:sz w:val="18"/>
          <w:szCs w:val="18"/>
          <w:color w:val="auto"/>
        </w:rPr>
      </w:pPr>
    </w:p>
    <w:p>
      <w:pPr>
        <w:ind w:left="1000" w:right="780" w:hanging="493"/>
        <w:spacing w:after="0" w:line="24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88"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85"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95" w:lineRule="exact"/>
        <w:rPr>
          <w:sz w:val="20"/>
          <w:szCs w:val="20"/>
          <w:color w:val="auto"/>
        </w:rPr>
      </w:pPr>
    </w:p>
    <w:p>
      <w:pPr>
        <w:jc w:val="both"/>
        <w:ind w:left="1000" w:right="12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missions.</w:t>
      </w:r>
    </w:p>
    <w:p>
      <w:pPr>
        <w:spacing w:after="0" w:line="94" w:lineRule="exact"/>
        <w:rPr>
          <w:rFonts w:ascii="Arial" w:cs="Arial" w:eastAsia="Arial" w:hAnsi="Arial"/>
          <w:sz w:val="18"/>
          <w:szCs w:val="18"/>
          <w:color w:val="auto"/>
        </w:rPr>
      </w:pPr>
    </w:p>
    <w:p>
      <w:pPr>
        <w:ind w:left="1000" w:right="8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and fixed applications.</w:t>
      </w:r>
    </w:p>
    <w:p>
      <w:pPr>
        <w:spacing w:after="0" w:line="94" w:lineRule="exact"/>
        <w:rPr>
          <w:rFonts w:ascii="Arial" w:cs="Arial" w:eastAsia="Arial" w:hAnsi="Arial"/>
          <w:sz w:val="18"/>
          <w:szCs w:val="18"/>
          <w:color w:val="auto"/>
        </w:rPr>
      </w:pPr>
    </w:p>
    <w:p>
      <w:pPr>
        <w:ind w:left="1000" w:right="220" w:hanging="493"/>
        <w:spacing w:after="0" w:line="23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96" w:lineRule="exact"/>
        <w:rPr>
          <w:rFonts w:ascii="Arial" w:cs="Arial" w:eastAsia="Arial" w:hAnsi="Arial"/>
          <w:sz w:val="18"/>
          <w:szCs w:val="18"/>
          <w:color w:val="auto"/>
        </w:rPr>
      </w:pPr>
    </w:p>
    <w:p>
      <w:pPr>
        <w:ind w:left="1000" w:hanging="493"/>
        <w:spacing w:after="0" w:line="23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handheld Link 16 radios, our Small Tactical Terminal (STT) 2-channel radios for manned and unmanned applications, “disposable” defense data links, and our Multifunctional Information Distribution System (MIDS) and MIDS Joint Tactical Radio Systems (MIDS-JTRS) terminals for military fighter jets.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5" w:lineRule="exact"/>
        <w:rPr>
          <w:sz w:val="20"/>
          <w:szCs w:val="20"/>
          <w:color w:val="auto"/>
        </w:rPr>
      </w:pPr>
    </w:p>
    <w:p>
      <w:pPr>
        <w:ind w:right="480" w:firstLine="510"/>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and advanced software and communication infrastructure services (acquired through the RigNet acquisition).</w:t>
      </w:r>
    </w:p>
    <w:p>
      <w:pPr>
        <w:spacing w:after="0" w:line="143"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91% and 87% of our total revenues for these segments for the three months ended September 30, 2021 and 2020, respectively, and approximately 90% and 86% of our total revenues for these segments for the six months ended September 30, 2021 and 2020,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3"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51" w:lineRule="exact"/>
        <w:rPr>
          <w:sz w:val="20"/>
          <w:szCs w:val="20"/>
          <w:color w:val="auto"/>
        </w:rPr>
      </w:pPr>
    </w:p>
    <w:p>
      <w:pPr>
        <w:ind w:right="240" w:firstLine="510"/>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23% of our total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120"/>
        <w:spacing w:after="0" w:line="246" w:lineRule="auto"/>
        <w:rPr>
          <w:sz w:val="20"/>
          <w:szCs w:val="20"/>
          <w:color w:val="auto"/>
        </w:rPr>
      </w:pPr>
      <w:r>
        <w:rPr>
          <w:rFonts w:ascii="Arial" w:cs="Arial" w:eastAsia="Arial" w:hAnsi="Arial"/>
          <w:sz w:val="18"/>
          <w:szCs w:val="18"/>
          <w:color w:val="auto"/>
        </w:rPr>
        <w:t>revenues for both the three months ended September 30, 2021 and 2020, and approximately 23% and 25% of our total revenues for the six months ended September 30, 2021 and 2020, respectively.</w:t>
      </w:r>
    </w:p>
    <w:p>
      <w:pPr>
        <w:spacing w:after="0" w:line="143"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(R&amp;D) projects. IR&amp;D expenses were approximately 6% and 5% of total revenues during the three months ended September 30, 2021 and 2020, respectively, and approximately 5% of total revenues during both the six months ended September 30, 2021 and 2020. As a government contractor, we are able to recover a portion of our IR&amp;D expenses pursuant to our government contracts.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89" w:lineRule="exact"/>
        <w:rPr>
          <w:sz w:val="20"/>
          <w:szCs w:val="20"/>
          <w:color w:val="auto"/>
        </w:rPr>
      </w:pPr>
    </w:p>
    <w:p>
      <w:pPr>
        <w:ind w:right="160" w:firstLine="510"/>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Basis of Presentation – Leases to our condensed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53"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89"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0" w:name="page41"/>
    <w:bookmarkEnd w:id="40"/>
    <w:p>
      <w:pPr>
        <w:spacing w:after="0" w:line="236" w:lineRule="auto"/>
        <w:rPr>
          <w:sz w:val="20"/>
          <w:szCs w:val="20"/>
          <w:color w:val="auto"/>
        </w:rPr>
      </w:pPr>
      <w:r>
        <w:rPr>
          <w:rFonts w:ascii="Arial" w:cs="Arial" w:eastAsia="Arial" w:hAnsi="Arial"/>
          <w:sz w:val="18"/>
          <w:szCs w:val="18"/>
          <w:color w:val="auto"/>
        </w:rPr>
        <w:t>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89"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September 30, 2021 would change our income (loss) before income taxes by an insignificant amount.</w:t>
      </w:r>
    </w:p>
    <w:p>
      <w:pPr>
        <w:spacing w:after="0" w:line="18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200"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152"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We own three satellites in service over North America (ViaSat-2, ViaSat-1 and WildBlue-1) and, after acquiring the remaining interest in Euro Infrastructure Co. in the first quarter of fiscal year 2022, we also own the KA-SAT satellite over EMEA. In addition, we have lifetime leases of Ka-band capacity on two satellites. We also have a global constellation of three third-generation ViaSat-3 class satellites under construction. In addition, we own related earth stations and networking equipment for all of our satellites. Property, equipment and satellites, net also includes the customer premise equipment units leased to subscribers under a retail leasing program as part of our satellite services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ind w:right="140" w:firstLine="510"/>
        <w:spacing w:after="0" w:line="234" w:lineRule="auto"/>
        <w:rPr>
          <w:sz w:val="20"/>
          <w:szCs w:val="20"/>
          <w:color w:val="auto"/>
        </w:rPr>
      </w:pPr>
      <w:r>
        <w:rPr>
          <w:rFonts w:ascii="Arial" w:cs="Arial" w:eastAsia="Arial" w:hAnsi="Arial"/>
          <w:sz w:val="18"/>
          <w:szCs w:val="18"/>
          <w:color w:val="auto"/>
        </w:rPr>
        <w:t>For contracts entered into on or after April 1, 2019,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w:t>
      </w:r>
    </w:p>
    <w:p>
      <w:pPr>
        <w:spacing w:after="0" w:line="3" w:lineRule="exact"/>
        <w:rPr>
          <w:sz w:val="20"/>
          <w:szCs w:val="20"/>
          <w:color w:val="auto"/>
        </w:rPr>
      </w:pPr>
    </w:p>
    <w:p>
      <w:pPr>
        <w:ind w:right="20" w:firstLine="8"/>
        <w:spacing w:after="0" w:line="238"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1"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left="280" w:hanging="272"/>
        <w:spacing w:after="0" w:line="234"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20"/>
        <w:spacing w:after="0"/>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jc w:val="both"/>
        <w:ind w:right="10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September 30, 2021 and 2020.</w:t>
      </w:r>
    </w:p>
    <w:p>
      <w:pPr>
        <w:spacing w:after="0" w:line="14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Based on our qualitative assessment performed during the fourth quarter of fiscal year 2021, we concluded that it was more likely than not that the estimated fair value of our reporting units exceeded their carrying value as of March 31, 2021, and therefore, determined it was not necessary to perform a quantitative goodwill impairment test.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$47.1 million at March 31, 2021 to $66.0 million at September 30, 2021. The valuation allowance relates to state and foreign net operating loss carryforwards, state R&amp;D tax credit carryforwards and foreign tax credit carryforwards.</w:t>
      </w:r>
    </w:p>
    <w:p>
      <w:pPr>
        <w:spacing w:after="0" w:line="154"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right"/>
              <w:ind w:right="200"/>
              <w:spacing w:after="0" w:line="156" w:lineRule="exact"/>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426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7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7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20" w:type="dxa"/>
            <w:vAlign w:val="bottom"/>
            <w:gridSpan w:val="2"/>
          </w:tcPr>
          <w:p>
            <w:pPr>
              <w:jc w:val="right"/>
              <w:ind w:right="757"/>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ind w:right="3860"/>
        <w:spacing w:after="0" w:line="350" w:lineRule="auto"/>
        <w:rPr>
          <w:sz w:val="20"/>
          <w:szCs w:val="20"/>
          <w:color w:val="auto"/>
        </w:rPr>
      </w:pPr>
      <w:r>
        <w:rPr>
          <w:rFonts w:ascii="Arial" w:cs="Arial" w:eastAsia="Arial" w:hAnsi="Arial"/>
          <w:sz w:val="18"/>
          <w:szCs w:val="18"/>
          <w:b w:val="1"/>
          <w:bCs w:val="1"/>
          <w:color w:val="auto"/>
        </w:rPr>
        <w:t xml:space="preserve">Three Months Ended September 30, 2021 vs. Three Months Ended September 30, 2020 </w:t>
      </w:r>
      <w:r>
        <w:rPr>
          <w:rFonts w:ascii="Arial" w:cs="Arial" w:eastAsia="Arial" w:hAnsi="Arial"/>
          <w:sz w:val="18"/>
          <w:szCs w:val="18"/>
          <w:i w:val="1"/>
          <w:iCs w:val="1"/>
          <w:color w:val="auto"/>
        </w:rPr>
        <w:t>Revenues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Our total revenues increased by $147.1 million as a result of a $94.4 million increase in service revenues and a $52.7 million increase in product revenues. The service revenue increase was driven by increases of $84.2 million in our satellite services segment, $6.4 million in our government systems segment and $3.8 million in our commercial networks segment. The product revenue increase was driven primarily by a $52.2 million increase in our commercial networks segment.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30%</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Cost of revenues increased $101.1 million due to increases of $58.3 million in cost of service revenues and $42.8 million in cost of product revenues. The cost of service revenue increase was primarily due to increased service revenues, mainly from our satellite services segment, causing a $61.8 million increase in cost of service revenues on a constant margin basis. The increase in cost of service revenues was partially offset by improved margins, primarily driven by our IFC services in our satellite services segment. The increase in cost of product revenues was mostly driven by increased product revenues, causing a $39.5 million increase in cost of product revenues on a constant margin basis, mainly in our mobile broadband satellite communication systems products in our commercial networks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right="360" w:firstLine="510"/>
        <w:spacing w:after="0" w:line="238" w:lineRule="auto"/>
        <w:rPr>
          <w:sz w:val="20"/>
          <w:szCs w:val="20"/>
          <w:color w:val="auto"/>
        </w:rPr>
      </w:pPr>
      <w:r>
        <w:rPr>
          <w:rFonts w:ascii="Arial" w:cs="Arial" w:eastAsia="Arial" w:hAnsi="Arial"/>
          <w:sz w:val="18"/>
          <w:szCs w:val="18"/>
          <w:color w:val="auto"/>
        </w:rPr>
        <w:t>The $31.2 million increase in selling, general and administrative (SG&amp;A) expenses reflected an increase in support costs of $19.0 million, reflected mainly in our satellite services and government systems segments. The increase in SG&amp;A expenses was also driven by $10.3 million of higher selling costs, reflected primarily in our satellite services and government systems segments. SG&amp;A expenses consisted primarily of personnel costs and expenses for business development, marketing and sales, bid and proposal, facilities, finance, contract administration and general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27.5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$13.0 million increase in IR&amp;D expenses was primarily the result of an $8.5 million increase in our commercial networks segment (primarily related to next-generation satellite payload technologies) and a $4.5 million increase in our government systems segment (primarily related to the advancement of integrated government satellite communications platforms).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12 years. The $6.1 million increase in amortization of acquired intangible assets in the second quarter of fiscal year 2022 compared to the prior year period was primarily related to the amortization of new intangibles acquired as a result of the acquisition of RigNet and of the remaining 51% interest in Euro Infrastructure Co. in April 2021. The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r>
      <w:tr>
        <w:trPr>
          <w:trHeight w:val="169"/>
        </w:trPr>
        <w:tc>
          <w:tcPr>
            <w:tcW w:w="5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2021</w:t>
            </w: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13,328</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2022</w:t>
            </w: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14,966</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29,935</w:t>
            </w: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28,371</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for fiscal year 2025</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26,252</w:t>
            </w: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2026</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26,100</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117,707</w:t>
            </w:r>
          </w:p>
        </w:tc>
        <w:tc>
          <w:tcPr>
            <w:tcW w:w="120" w:type="dxa"/>
            <w:vAlign w:val="bottom"/>
            <w:tcBorders>
              <w:bottom w:val="single" w:sz="8" w:color="CFF0FC"/>
            </w:tcBorders>
          </w:tcPr>
          <w:p>
            <w:pPr>
              <w:spacing w:after="0"/>
              <w:rPr>
                <w:sz w:val="18"/>
                <w:szCs w:val="18"/>
                <w:color w:val="auto"/>
              </w:rPr>
            </w:pPr>
          </w:p>
        </w:tc>
      </w:tr>
      <w:tr>
        <w:trPr>
          <w:trHeight w:val="209"/>
        </w:trPr>
        <w:tc>
          <w:tcPr>
            <w:tcW w:w="598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243,331</w:t>
            </w:r>
          </w:p>
        </w:tc>
        <w:tc>
          <w:tcPr>
            <w:tcW w:w="120" w:type="dxa"/>
            <w:vAlign w:val="bottom"/>
            <w:shd w:val="clear" w:color="auto" w:fill="CFF0FC"/>
          </w:tcPr>
          <w:p>
            <w:pPr>
              <w:spacing w:after="0"/>
              <w:rPr>
                <w:sz w:val="18"/>
                <w:szCs w:val="18"/>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right="160" w:firstLine="510"/>
        <w:spacing w:after="0"/>
        <w:rPr>
          <w:sz w:val="20"/>
          <w:szCs w:val="20"/>
          <w:color w:val="auto"/>
        </w:rPr>
      </w:pPr>
      <w:r>
        <w:rPr>
          <w:rFonts w:ascii="Arial" w:cs="Arial" w:eastAsia="Arial" w:hAnsi="Arial"/>
          <w:sz w:val="18"/>
          <w:szCs w:val="18"/>
          <w:color w:val="auto"/>
        </w:rPr>
        <w:t>The slight decrease in interest income for the three months ended September 30, 2021 compared to the prior year period was mainly the result of lower interest rates and lower average invested cash balances during the second quarter of fiscal year 2022 compared to the prior year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ind w:right="80" w:firstLine="510"/>
        <w:spacing w:after="0" w:line="259" w:lineRule="auto"/>
        <w:rPr>
          <w:sz w:val="20"/>
          <w:szCs w:val="20"/>
          <w:color w:val="auto"/>
        </w:rPr>
      </w:pPr>
      <w:r>
        <w:rPr>
          <w:rFonts w:ascii="Arial" w:cs="Arial" w:eastAsia="Arial" w:hAnsi="Arial"/>
          <w:sz w:val="17"/>
          <w:szCs w:val="17"/>
          <w:color w:val="auto"/>
        </w:rPr>
        <w:t>The $3.7 million decrease in interest expense for the three months ended September 30, 2021 compared to the prior year period was primarily the result of an increase in the amount of interest capitalized during the second quarter of fiscal year 2022 compared to the prior year period, partially offset by an increase in interest expense attributable to higher borrowings under our Revolving Credit Facility compared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the prior year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5"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For the three months ended September 30, 2021, we recorded an income tax benefit of $2.9 million, resulting in an effective tax benefit rate of negative 126%. For the three months ended September 30, 2020, we recorded an income tax benefit of an insignificant amount, resulting in an effective tax benefit rate of negative 23%. The effective tax rates for such periods differed from the U.S. statutory rate primarily due to the benefit of federal and state R&amp;D tax credits.</w:t>
      </w:r>
    </w:p>
    <w:p>
      <w:pPr>
        <w:spacing w:after="0" w:line="15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three months ended September 30, 2021 and 2020 by applying the actual effective tax rates to the income for the three-month periods.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2021 vs. Three Months Ended September 30,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780" w:type="dxa"/>
            <w:vAlign w:val="bottom"/>
            <w:gridSpan w:val="3"/>
            <w:shd w:val="clear" w:color="auto" w:fill="CFF0FC"/>
          </w:tcPr>
          <w:p>
            <w:pPr>
              <w:ind w:left="1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4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780" w:type="dxa"/>
            <w:vAlign w:val="bottom"/>
            <w:gridSpan w:val="3"/>
            <w:shd w:val="clear" w:color="auto" w:fill="CFF0FC"/>
          </w:tcPr>
          <w:p>
            <w:pPr>
              <w:ind w:left="1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gridSpan w:val="3"/>
          </w:tcPr>
          <w:p>
            <w:pPr>
              <w:jc w:val="right"/>
              <w:ind w:right="148"/>
              <w:spacing w:after="0"/>
              <w:rPr>
                <w:sz w:val="20"/>
                <w:szCs w:val="20"/>
                <w:color w:val="auto"/>
              </w:rPr>
            </w:pPr>
            <w:r>
              <w:rPr>
                <w:rFonts w:ascii="Arial" w:cs="Arial" w:eastAsia="Arial" w:hAnsi="Arial"/>
                <w:sz w:val="18"/>
                <w:szCs w:val="18"/>
                <w:color w:val="auto"/>
              </w:rPr>
              <w:t>46</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ind w:right="20" w:firstLine="510"/>
        <w:spacing w:after="0" w:line="236" w:lineRule="auto"/>
        <w:rPr>
          <w:sz w:val="20"/>
          <w:szCs w:val="20"/>
          <w:color w:val="auto"/>
        </w:rPr>
      </w:pPr>
      <w:r>
        <w:rPr>
          <w:rFonts w:ascii="Arial" w:cs="Arial" w:eastAsia="Arial" w:hAnsi="Arial"/>
          <w:sz w:val="18"/>
          <w:szCs w:val="18"/>
          <w:color w:val="auto"/>
        </w:rPr>
        <w:t>Our satellite services segment revenues increased by $84.2 million for the three months ended September 30, 2021 compared to the prior year period due to an increase in service revenues. The increase in service revenues was primarily attributable to the acquisition of RigNet in the first quarter of fiscal year 2022, as well as increases in our in-flight services and fixed broadband businesses. The acquisition of RigNet contributed approximately $42.5 million of service revenues in the three months ended September 30, 2021. The increase in in-flight service revenue of $22.0 million was driven primarily by an increase in the number of commercial aircraft receiving our in-flight services through our IFC systems, as the number of aircraft in service increased, passenger air traffic continued to increase and aircraft that were previously inactive as a result of the COVID-19 pandemic continued to return to service. The increase in fixed broadband service revenues was primarily attributable to the acquisition of the remaining 51% interest in Euro Infrastructure Co. during the first quarter of fiscal year 2022, which contributed approximately $11.6 million of service revenues in the second quarter of fiscal year 2022. In addition, the increase in fixed broadband service revenues was also driven by a higher mix of new and existing subscribers choosing our premium highest speed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11.5</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$5.6 million increase in our satellite services segment operating profit was driven primarily by higher earnings contributions of</w:t>
      </w:r>
    </w:p>
    <w:p>
      <w:pPr>
        <w:spacing w:after="0" w:line="234" w:lineRule="auto"/>
        <w:rPr>
          <w:sz w:val="20"/>
          <w:szCs w:val="20"/>
          <w:color w:val="auto"/>
        </w:rPr>
      </w:pPr>
      <w:r>
        <w:rPr>
          <w:rFonts w:ascii="Arial" w:cs="Arial" w:eastAsia="Arial" w:hAnsi="Arial"/>
          <w:sz w:val="18"/>
          <w:szCs w:val="18"/>
          <w:color w:val="auto"/>
        </w:rPr>
        <w:t>$29.0 million, primarily due to an increase in revenues and improved margins from our in-flight services as the business continues to scale.</w:t>
      </w:r>
    </w:p>
    <w:p>
      <w:pPr>
        <w:spacing w:after="0" w:line="235" w:lineRule="auto"/>
        <w:rPr>
          <w:sz w:val="20"/>
          <w:szCs w:val="20"/>
          <w:color w:val="auto"/>
        </w:rPr>
      </w:pPr>
      <w:r>
        <w:rPr>
          <w:rFonts w:ascii="Arial" w:cs="Arial" w:eastAsia="Arial" w:hAnsi="Arial"/>
          <w:sz w:val="18"/>
          <w:szCs w:val="18"/>
          <w:color w:val="auto"/>
        </w:rPr>
        <w:t>The increase in our satellite services segment operating profit was partially offset by higher SG&amp;A costs of $23.5 million (mainly attributable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acquisition of RigNet during the first quarter of fiscal year 2022).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66.8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12.1</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31%</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78.9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r>
    </w:tbl>
    <w:p>
      <w:pPr>
        <w:spacing w:after="0" w:line="202"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Our commercial networks segment revenues increased by $55.9 million, due to a $ 52.2 million increase in product revenues and a $3.8 million increase in service revenues. The increase in product revenues was primarily due to increases of $37.9 million in mobile broadband satellite communication systems products, related to increased IFC terminal deliveries as passenger air traffic continued to increase compared to the severe decline in passenger traffic in the prior year period as a result of the COVID-19 pandemic. There was also an increase of $15.0 million in antenna systems products. The increase in service revenues was primarily driven by an increase in mobile broadband satellite communication services.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40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21"/>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7" w:name="page48"/>
    <w:bookmarkEnd w:id="47"/>
    <w:p>
      <w:pPr>
        <w:ind w:right="240" w:firstLine="510"/>
        <w:spacing w:after="0" w:line="238" w:lineRule="auto"/>
        <w:rPr>
          <w:sz w:val="20"/>
          <w:szCs w:val="20"/>
          <w:color w:val="auto"/>
        </w:rPr>
      </w:pPr>
      <w:r>
        <w:rPr>
          <w:rFonts w:ascii="Arial" w:cs="Arial" w:eastAsia="Arial" w:hAnsi="Arial"/>
          <w:sz w:val="18"/>
          <w:szCs w:val="18"/>
          <w:color w:val="auto"/>
        </w:rPr>
        <w:t>Our commercial networks segment operating loss was relatively flat when compared to the same period last year. Our commercial networks segment operating loss experienced higher earnings contributions of $7.9 million, primarily due to higher revenues and improved margins in our mobile broadband satellite communication products, offset by an increase in IR&amp;D expenses (primarily related to next-generation satellite payload technologies).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9%</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government systems segment revenues increased by $6.9 million due to a $6.4 million increase in service revenues. The service</w:t>
      </w:r>
    </w:p>
    <w:p>
      <w:pPr>
        <w:spacing w:after="0" w:line="234" w:lineRule="auto"/>
        <w:rPr>
          <w:sz w:val="20"/>
          <w:szCs w:val="20"/>
          <w:color w:val="auto"/>
        </w:rPr>
      </w:pPr>
      <w:r>
        <w:rPr>
          <w:rFonts w:ascii="Arial" w:cs="Arial" w:eastAsia="Arial" w:hAnsi="Arial"/>
          <w:sz w:val="18"/>
          <w:szCs w:val="18"/>
          <w:color w:val="auto"/>
        </w:rPr>
        <w:t>revenue increase was primarily due to a $4.1 million increase in government mobile broadband services, a $2.7 million increase in</w:t>
      </w:r>
    </w:p>
    <w:p>
      <w:pPr>
        <w:spacing w:after="0" w:line="235" w:lineRule="auto"/>
        <w:rPr>
          <w:sz w:val="20"/>
          <w:szCs w:val="20"/>
          <w:color w:val="auto"/>
        </w:rPr>
      </w:pPr>
      <w:r>
        <w:rPr>
          <w:rFonts w:ascii="Arial" w:cs="Arial" w:eastAsia="Arial" w:hAnsi="Arial"/>
          <w:sz w:val="18"/>
          <w:szCs w:val="18"/>
          <w:color w:val="auto"/>
        </w:rPr>
        <w:t>government satellite communication systems services, a $1.8 million increase in cybersecurity and information assurance services and a</w:t>
      </w:r>
    </w:p>
    <w:p>
      <w:pPr>
        <w:spacing w:after="0" w:line="235" w:lineRule="auto"/>
        <w:rPr>
          <w:sz w:val="20"/>
          <w:szCs w:val="20"/>
          <w:color w:val="auto"/>
        </w:rPr>
      </w:pPr>
      <w:r>
        <w:rPr>
          <w:rFonts w:ascii="Arial" w:cs="Arial" w:eastAsia="Arial" w:hAnsi="Arial"/>
          <w:sz w:val="18"/>
          <w:szCs w:val="18"/>
          <w:color w:val="auto"/>
        </w:rPr>
        <w:t>$1.7 million increase in tactical satcom radio services, offset by a $3.5 million decrease in tactical data link services. The increase in product</w:t>
      </w:r>
    </w:p>
    <w:p>
      <w:pPr>
        <w:spacing w:after="0" w:line="235" w:lineRule="auto"/>
        <w:rPr>
          <w:sz w:val="20"/>
          <w:szCs w:val="20"/>
          <w:color w:val="auto"/>
        </w:rPr>
      </w:pPr>
      <w:r>
        <w:rPr>
          <w:rFonts w:ascii="Arial" w:cs="Arial" w:eastAsia="Arial" w:hAnsi="Arial"/>
          <w:sz w:val="18"/>
          <w:szCs w:val="18"/>
          <w:color w:val="auto"/>
        </w:rPr>
        <w:t>revenues was mainly due to a $10.9 million increase in tactical data link products, offset by a $7.4 million decrease in government satellite</w:t>
      </w:r>
    </w:p>
    <w:p>
      <w:pPr>
        <w:spacing w:after="0" w:line="235" w:lineRule="auto"/>
        <w:rPr>
          <w:sz w:val="20"/>
          <w:szCs w:val="20"/>
          <w:color w:val="auto"/>
        </w:rPr>
      </w:pPr>
      <w:r>
        <w:rPr>
          <w:rFonts w:ascii="Arial" w:cs="Arial" w:eastAsia="Arial" w:hAnsi="Arial"/>
          <w:sz w:val="18"/>
          <w:szCs w:val="18"/>
          <w:color w:val="auto"/>
        </w:rPr>
        <w:t>communication systems products and a $3.2 million decrease in government mobile broadband products. Our government systems segment</w:t>
      </w:r>
    </w:p>
    <w:p>
      <w:pPr>
        <w:spacing w:after="0" w:line="234" w:lineRule="auto"/>
        <w:rPr>
          <w:sz w:val="20"/>
          <w:szCs w:val="20"/>
          <w:color w:val="auto"/>
        </w:rPr>
      </w:pPr>
      <w:r>
        <w:rPr>
          <w:rFonts w:ascii="Arial" w:cs="Arial" w:eastAsia="Arial" w:hAnsi="Arial"/>
          <w:sz w:val="18"/>
          <w:szCs w:val="18"/>
          <w:color w:val="auto"/>
        </w:rPr>
        <w:t>continued to show some impacts from the COVID-19 pandemic, due to complications in product manufacturing and shipments, but new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government systems segment awards remained very strong through the end of the second quarter of fiscal year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47.9</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jc w:val="both"/>
        <w:ind w:right="160" w:firstLine="510"/>
        <w:spacing w:after="0"/>
        <w:rPr>
          <w:sz w:val="20"/>
          <w:szCs w:val="20"/>
          <w:color w:val="auto"/>
        </w:rPr>
      </w:pPr>
      <w:r>
        <w:rPr>
          <w:rFonts w:ascii="Arial" w:cs="Arial" w:eastAsia="Arial" w:hAnsi="Arial"/>
          <w:sz w:val="18"/>
          <w:szCs w:val="18"/>
          <w:color w:val="auto"/>
        </w:rPr>
        <w:t>The $3.9 million decrease in our government systems segment operating profit was driven by an $8.4 million increase in SG&amp;A costs and a $ 4.5 million increase in IR&amp;D expenses. The decrease in operating profit was partially offset by higher earnings contributions of $9.0 million, primarily due to an increase in revenues and improved margins in our tactical data link products.</w:t>
      </w:r>
    </w:p>
    <w:p>
      <w:pPr>
        <w:spacing w:after="0" w:line="194" w:lineRule="exact"/>
        <w:rPr>
          <w:sz w:val="20"/>
          <w:szCs w:val="20"/>
          <w:color w:val="auto"/>
        </w:rPr>
      </w:pPr>
    </w:p>
    <w:p>
      <w:pPr>
        <w:ind w:right="4300"/>
        <w:spacing w:after="0" w:line="350" w:lineRule="auto"/>
        <w:rPr>
          <w:sz w:val="20"/>
          <w:szCs w:val="20"/>
          <w:color w:val="auto"/>
        </w:rPr>
      </w:pPr>
      <w:r>
        <w:rPr>
          <w:rFonts w:ascii="Arial" w:cs="Arial" w:eastAsia="Arial" w:hAnsi="Arial"/>
          <w:sz w:val="18"/>
          <w:szCs w:val="18"/>
          <w:b w:val="1"/>
          <w:bCs w:val="1"/>
          <w:color w:val="auto"/>
        </w:rPr>
        <w:t xml:space="preserve">Six Months Ended September 30, 2021 vs. Six Months Ended September 30, 2020 </w:t>
      </w:r>
      <w:r>
        <w:rPr>
          <w:rFonts w:ascii="Arial" w:cs="Arial" w:eastAsia="Arial" w:hAnsi="Arial"/>
          <w:sz w:val="18"/>
          <w:szCs w:val="18"/>
          <w:i w:val="1"/>
          <w:iCs w:val="1"/>
          <w:color w:val="auto"/>
        </w:rPr>
        <w:t>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780" w:type="dxa"/>
            <w:vAlign w:val="bottom"/>
            <w:gridSpan w:val="3"/>
            <w:shd w:val="clear" w:color="auto" w:fill="CFF0FC"/>
          </w:tcPr>
          <w:p>
            <w:pPr>
              <w:ind w:left="1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4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80" w:type="dxa"/>
            <w:vAlign w:val="bottom"/>
            <w:gridSpan w:val="3"/>
            <w:shd w:val="clear" w:color="auto" w:fill="CFF0FC"/>
          </w:tcPr>
          <w:p>
            <w:pPr>
              <w:ind w:left="1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gridSpan w:val="3"/>
          </w:tcPr>
          <w:p>
            <w:pPr>
              <w:jc w:val="right"/>
              <w:ind w:right="148"/>
              <w:spacing w:after="0"/>
              <w:rPr>
                <w:sz w:val="20"/>
                <w:szCs w:val="20"/>
                <w:color w:val="auto"/>
              </w:rPr>
            </w:pPr>
            <w:r>
              <w:rPr>
                <w:rFonts w:ascii="Arial" w:cs="Arial" w:eastAsia="Arial" w:hAnsi="Arial"/>
                <w:sz w:val="18"/>
                <w:szCs w:val="18"/>
                <w:color w:val="auto"/>
              </w:rPr>
              <w:t>48</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40" w:firstLine="510"/>
        <w:spacing w:after="0" w:line="238" w:lineRule="auto"/>
        <w:rPr>
          <w:sz w:val="20"/>
          <w:szCs w:val="20"/>
          <w:color w:val="auto"/>
        </w:rPr>
      </w:pPr>
      <w:r>
        <w:rPr>
          <w:rFonts w:ascii="Arial" w:cs="Arial" w:eastAsia="Arial" w:hAnsi="Arial"/>
          <w:sz w:val="18"/>
          <w:szCs w:val="18"/>
          <w:color w:val="auto"/>
        </w:rPr>
        <w:t>Our total revenues grew by $281.4 million as a result of a $186.1 million increase in service revenues and a $95.3 million increase in product revenues. The service revenue increase was due to increases of $156.4 million in our satellite services segment, $21.0 million in our government systems segment and $8.8 million in our commercial networks segment. The increase in product revenues was driven primarily by a $98.6 million increase in our commercial networks segment, slightly offset by a $3.3 million decrease in our government systems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Cost of revenues increased by $169.5 million due to increases of $95.3 million in cost of service revenues and $74.3 million in cost of product revenues. The cost of service revenue increase primarily related to increased service revenues, mainly from our in-flight services business, causing a $ 126.6 million increase in cost of service revenues on a constant margin basis. The increase in cost of service revenues was partially offset by improved margins in our in-flight services business. The cost of product revenue increase was due to increased product revenues, causing a $71.5 million increase in cost of product revenues on a constant margin basis, mainly from our mobile broadband satellite communication systems products in our commercial networks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The $64.4 million increase in SG&amp;A expenses reflected an increase in support costs of $44.7 million, which was reflected in all three segments, with the highest increase in our satellite services segment. The increase in SG&amp;A expenses was also driven by higher selling costs of $17.9 million, reflected primarily in our satellite services and government systems segments. SG&amp;A expenses consisted primarily of personnel costs and expenses for business development, marketing and sales, bid and proposal, facilities, finance, contract administration and general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55.2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$19.8 million increase in IR&amp;D expenses was mainly the result of an increase of $11.3 million in IR&amp;D efforts in our commercial networks segment (primarily related to next-generation satellite payload technologies) and an increase of $8.5 million in our government systems segment (primarily related to the advancement of integrated government satellite communication platforms and tactical satcom radio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jc w:val="both"/>
        <w:ind w:right="40" w:firstLine="510"/>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12 years. The $10.5 million increase in amortization of acquired intangible assets in the first six months of fiscal year 2022 compared to the prior year period was primarily related to the amortization of new intangibles acquired as a result of the acquisition of RigNet and of the remaining 51% interest in Euro Infrastructure Co. in April 2021. The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r>
      <w:tr>
        <w:trPr>
          <w:trHeight w:val="169"/>
        </w:trPr>
        <w:tc>
          <w:tcPr>
            <w:tcW w:w="5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2021</w:t>
            </w: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13,328</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2022</w:t>
            </w: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14,966</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29,935</w:t>
            </w: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28,371</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for fiscal year 2025</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26,252</w:t>
            </w:r>
          </w:p>
        </w:tc>
        <w:tc>
          <w:tcPr>
            <w:tcW w:w="12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2026</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26,100</w:t>
            </w:r>
          </w:p>
        </w:tc>
        <w:tc>
          <w:tcPr>
            <w:tcW w:w="120" w:type="dxa"/>
            <w:vAlign w:val="bottom"/>
            <w:shd w:val="clear" w:color="auto" w:fill="CFF0FC"/>
          </w:tcPr>
          <w:p>
            <w:pPr>
              <w:spacing w:after="0"/>
              <w:rPr>
                <w:sz w:val="18"/>
                <w:szCs w:val="18"/>
                <w:color w:val="auto"/>
              </w:rPr>
            </w:pPr>
          </w:p>
        </w:tc>
      </w:tr>
      <w:tr>
        <w:trPr>
          <w:trHeight w:val="216"/>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117,707</w:t>
            </w:r>
          </w:p>
        </w:tc>
        <w:tc>
          <w:tcPr>
            <w:tcW w:w="120" w:type="dxa"/>
            <w:vAlign w:val="bottom"/>
            <w:tcBorders>
              <w:bottom w:val="single" w:sz="8" w:color="CFF0FC"/>
            </w:tcBorders>
          </w:tcPr>
          <w:p>
            <w:pPr>
              <w:spacing w:after="0"/>
              <w:rPr>
                <w:sz w:val="18"/>
                <w:szCs w:val="18"/>
                <w:color w:val="auto"/>
              </w:rPr>
            </w:pPr>
          </w:p>
        </w:tc>
      </w:tr>
      <w:tr>
        <w:trPr>
          <w:trHeight w:val="209"/>
        </w:trPr>
        <w:tc>
          <w:tcPr>
            <w:tcW w:w="598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243,331</w:t>
            </w:r>
          </w:p>
        </w:tc>
        <w:tc>
          <w:tcPr>
            <w:tcW w:w="120" w:type="dxa"/>
            <w:vAlign w:val="bottom"/>
            <w:shd w:val="clear" w:color="auto" w:fill="CFF0FC"/>
          </w:tcPr>
          <w:p>
            <w:pPr>
              <w:spacing w:after="0"/>
              <w:rPr>
                <w:sz w:val="18"/>
                <w:szCs w:val="18"/>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The insignificant decrease in interest income for the six months ended September 30, 2021 compared to the prior year period was the result of lower interest rates and lower average invested cash balances during the first six months of fiscal year 2022 compared to the prior year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jc w:val="both"/>
        <w:ind w:right="360" w:firstLine="510"/>
        <w:spacing w:after="0" w:line="238" w:lineRule="auto"/>
        <w:rPr>
          <w:sz w:val="20"/>
          <w:szCs w:val="20"/>
          <w:color w:val="auto"/>
        </w:rPr>
      </w:pPr>
      <w:r>
        <w:rPr>
          <w:rFonts w:ascii="Arial" w:cs="Arial" w:eastAsia="Arial" w:hAnsi="Arial"/>
          <w:sz w:val="18"/>
          <w:szCs w:val="18"/>
          <w:color w:val="auto"/>
        </w:rPr>
        <w:t>The $6.9 million decrease in interest expense in the six months ended September 30, 2021 compared to the prior year period was primarily due to an increase in the amount of interest capitalized during the first six months of fiscal year 2021 compared to the prior year period, partially offset by an increase in interest expense attributable to our 6.500% Senior Notes due 2028 (the 2028 Notes), which were issued in the first quarter of fiscal year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For the six months ended September 30, 2021, we recorded an income tax benefit of $ 7.0 million, resulting in an effective tax benefit rate of negative 42%. The effective tax rate for the period differed from the U.S. statutory rate due primarily to the benefit of federal and state R&amp;D tax credits and the reversal of a deferred tax liability recorded for Euro Infrastructure Co.’s outside basis difference upon assertion made during the first quarter of fiscal year 2022 to indefinitely reinvest future earnings. For the six months ended September 30, 2020, we recorded an income tax benefit of $6.4 million, resulting in an effective tax benefit rate of 56%. The effective tax rates for the period differed from the U.S. statutory rate due primarily to the benefit of federal and state R&amp;D tax credits.</w:t>
      </w:r>
    </w:p>
    <w:p>
      <w:pPr>
        <w:spacing w:after="0" w:line="15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six months ended September 30, 2021 and 2020 by applying the actual effective tax rates to the income (loss) for the six-month periods.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Segment Results for the Six Months Ended September 30, 2021 vs. Six Months Ended September 30,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37%</w:t>
            </w: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r>
    </w:tbl>
    <w:p>
      <w:pPr>
        <w:spacing w:after="0" w:line="202"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Our satellite services segment revenues increased by $156.4 million due to an increase in service revenues. The increase in service revenues was primarily attributable to the acquisition of RigNet in April 2021, as well as increases in our in-flight services and fixed broadband businesses. The acquisition of RigNet contributed approximately $ 69.9 million of service revenues in the six months ended September 30, 2021. The increase in in-flight service revenue of $ 38.5 million was driven primarily by an increase in the number of commercial aircraft receiving our in-flight services through our IFC systems, as the number of aircraft in service increased, passenger air traffic increased and aircraft that were previously inactive as a result of the COVID-19 pandemic returned to service. The increase in fixed broadband service revenues was primarily attributable to the acquisition of the remaining 51% interest in Euro Infrastructure Co., during the first quarter of fiscal year 2022, which contributed approximately $20.0 million of service revenues in the first six months of fiscal year 2022. The additional increase in fixed broadband services was driven by a higher mix of new and existing subscribers choosing our premium highest speed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260" w:firstLine="510"/>
        <w:spacing w:after="0" w:line="238" w:lineRule="auto"/>
        <w:rPr>
          <w:sz w:val="20"/>
          <w:szCs w:val="20"/>
          <w:color w:val="auto"/>
        </w:rPr>
      </w:pPr>
      <w:r>
        <w:rPr>
          <w:rFonts w:ascii="Arial" w:cs="Arial" w:eastAsia="Arial" w:hAnsi="Arial"/>
          <w:sz w:val="18"/>
          <w:szCs w:val="18"/>
          <w:color w:val="auto"/>
        </w:rPr>
        <w:t>The $19.9 million increase in our satellite services segment operating profit was driven primarily by higher earnings contributions of $68.9 million, mainly due to an increase in revenues and improved margins from our in-flight services as the business continued to scale. The increase in operating profit was offset by higher SG&amp;A costs of $49.3 million, of which $7.5 million related to the acquisition costs of RigNet and Euro Infrastructure Co. during fiscal year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36%</w:t>
            </w: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r>
    </w:tbl>
    <w:p>
      <w:pPr>
        <w:spacing w:after="0" w:line="20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Our commercial networks segment revenues increased by $107.4 million, due to a $98.6 million increase in product revenues and a $8.8 million increase in service revenues. The increase in product revenues was primarily due to increases of $68.5 million in mobile broadband satellite communication systems products, $26.3 million in antenna systems products and $9.3 million in RigNet products in connection with the acquisition of RigNet in the first quarter of fiscal year 2022. This was slightly offset by a $4.5 million decrease in fixed satellite networks products. The increase in service revenues was primarily driven by our mobile broadband satellite communication systems services.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40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jc w:val="both"/>
        <w:ind w:right="100" w:firstLine="510"/>
        <w:spacing w:after="0"/>
        <w:rPr>
          <w:sz w:val="20"/>
          <w:szCs w:val="20"/>
          <w:color w:val="auto"/>
        </w:rPr>
      </w:pPr>
      <w:r>
        <w:rPr>
          <w:rFonts w:ascii="Arial" w:cs="Arial" w:eastAsia="Arial" w:hAnsi="Arial"/>
          <w:sz w:val="18"/>
          <w:szCs w:val="18"/>
          <w:color w:val="auto"/>
        </w:rPr>
        <w:t>The $13.7 million reduction in our commercial networks operating loss was driven primarily by higher earnings contributions of $26.8 million, primarily due to higher revenues and improved margins in our mobile broadband satellite communications systems products, offset by an $11.3 million increase in IR&amp;D expenses (primarily related to next-generation satellite payload technologies).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538.6</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Our government systems segment revenues increased by $17.7 million due to an increase of $21.0 million in service revenues, partially offset by a $3.3 million decrease in product revenues. The service revenue increase was primarily due to a $12.1 million increase in government mobile broadband services, a $7.0 million increase in government satellite communication systems services, a $3.7 million increase in cybersecurity and information assurance services and a $3.1 million increase in tactical satcom radio services. The product revenue decrease was primarily driven by an $11.7 million decrease in government satellite communication systems products, an $11.1 million decrease in tactical satcom radio products and a $1.5 million decrease in government mobile broadband products. The decrease in product revenues was partially offset by an increase of $20.1 million in tactical data link products. Our government systems segment continued to show some impacts from the COVID-19 pandemic, due to complications in product manufacturing and shipments, but new government systems segment awards remained very strong in the first six months of the fiscal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97.4</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40" w:firstLine="510"/>
        <w:spacing w:after="0" w:line="261" w:lineRule="auto"/>
        <w:rPr>
          <w:sz w:val="20"/>
          <w:szCs w:val="20"/>
          <w:color w:val="auto"/>
        </w:rPr>
      </w:pPr>
      <w:r>
        <w:rPr>
          <w:rFonts w:ascii="Arial" w:cs="Arial" w:eastAsia="Arial" w:hAnsi="Arial"/>
          <w:sz w:val="17"/>
          <w:szCs w:val="17"/>
          <w:color w:val="auto"/>
        </w:rPr>
        <w:t>The $ 6.0 million decrease in our government systems segment operating profit was driven by a $13.7 million increase in SG&amp;A costs and an $8.5 million increase in IR&amp;D investments. The decrease in operating profit was partially offset by higher earnings contributions of $16.2 million, primarily due to an increase in revenues in our tactical data link products and government mobile broadband services.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reflected in the table below, our overall firm and funded backlog increased during the first six months of fiscal year 2022.</w:t>
      </w:r>
    </w:p>
    <w:p>
      <w:pPr>
        <w:spacing w:after="0" w:line="199"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605.0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5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5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5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959.1</w:t>
            </w:r>
          </w:p>
        </w:tc>
        <w:tc>
          <w:tcPr>
            <w:tcW w:w="1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2,131.1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firm backlog does not include contract options. Of the $2.3 billion in firm backlog, approximately half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September 30, 2021, our IFC systems were installed and in service on approximately 1,700 commercial aircraft, of</w:t>
      </w:r>
    </w:p>
    <w:p>
      <w:pPr>
        <w:spacing w:after="0" w:line="1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which, due to impacts of the COVID-19 pandemic, approximately 80 were inactive at quarter end. While current global airline traffic is still a fraction of the activity in fiscal year 2020, domestic airline traffic continues to show signs of improvement. As a result, our in-flight services business showed modest improvement in the three months ended September 30, 2021, with increased planes in service and passenger volumes. We expect the negative impact on our IFC business from the COVID-19 pandemic to continue through the remainder of fiscal year 2022 and potentially beyond due to the severe decline in global air traffic and associated grounding of installed aircraft, but to lessen over time with increases in passenger air traffic. We anticipate that approximately 1,070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w:t>
      </w:r>
    </w:p>
    <w:p>
      <w:pPr>
        <w:spacing w:after="0" w:line="234" w:lineRule="auto"/>
        <w:rPr>
          <w:sz w:val="20"/>
          <w:szCs w:val="20"/>
          <w:color w:val="auto"/>
        </w:rPr>
      </w:pPr>
      <w:r>
        <w:rPr>
          <w:rFonts w:ascii="Arial" w:cs="Arial" w:eastAsia="Arial" w:hAnsi="Arial"/>
          <w:sz w:val="18"/>
          <w:szCs w:val="18"/>
          <w:color w:val="auto"/>
        </w:rPr>
        <w:t>$831.7 million and $1.4 billion for the three and six months ended September 30, 2021, respectively, compared to approximately $730.6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and $1.5 billion for the three and six months ended September 30, 2020, respectively.</w:t>
      </w:r>
    </w:p>
    <w:p>
      <w:pPr>
        <w:spacing w:after="0" w:line="158"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5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September 30, 2021, we had $217.7 million in cash and cash equivalents, $332.1 million in working capital, and $320.0 million in principal amount of outstanding borrowings and borrowing availability of $327.2 million under our Revolving Credit Facility. At March 31, 2021, we had $295.9 million in cash and cash equivalents, $282.8 million in working capital, and no outstanding borrowings and borrowing availability of $673.7 million under our Revolving Credit Facility. During the second quarter of fiscal year 2021, we issued and sold an aggregate of 4,474,559 shares of our common stock at a purchase price of $39.11 per share to certain accredited investors in a private placement transaction exempt from registration under the Securities Act of 1933, as amended, resulting in net proceeds of approximately $174.7 million after deducting offering expenses. We invest our cash in excess of current operating requirements in short-term, highly liquid bank money market accounts.</w:t>
      </w:r>
    </w:p>
    <w:p>
      <w:pPr>
        <w:spacing w:after="0" w:line="153" w:lineRule="exact"/>
        <w:rPr>
          <w:sz w:val="20"/>
          <w:szCs w:val="20"/>
          <w:color w:val="auto"/>
        </w:rPr>
      </w:pPr>
    </w:p>
    <w:p>
      <w:pPr>
        <w:jc w:val="both"/>
        <w:ind w:right="240" w:firstLine="510"/>
        <w:spacing w:after="0" w:line="238" w:lineRule="auto"/>
        <w:rPr>
          <w:sz w:val="20"/>
          <w:szCs w:val="20"/>
          <w:color w:val="auto"/>
        </w:rPr>
      </w:pPr>
      <w:r>
        <w:rPr>
          <w:rFonts w:ascii="Arial" w:cs="Arial" w:eastAsia="Arial" w:hAnsi="Arial"/>
          <w:sz w:val="18"/>
          <w:szCs w:val="18"/>
          <w:color w:val="auto"/>
        </w:rPr>
        <w:t>In connection with the Transaction, we have obtained financing commitments for $2.3 billion of new debt facilities. We also plan to assume $2.1 billion in principal amount of Inmarsat senior secured bonds and $1.7 billion outstanding under Inmarsat’s $2.4 billion senior secured credit facilities. We have also obtained commitments of $3.2 billion to backstop certain amendments required under the Revolving Credit Facility and Ex-Im Credit Facility and Inmarsat’s $2.4 billion senior secured credit facilities.</w:t>
      </w:r>
    </w:p>
    <w:p>
      <w:pPr>
        <w:spacing w:after="0" w:line="151" w:lineRule="exact"/>
        <w:rPr>
          <w:sz w:val="20"/>
          <w:szCs w:val="20"/>
          <w:color w:val="auto"/>
        </w:rPr>
      </w:pPr>
    </w:p>
    <w:p>
      <w:pPr>
        <w:ind w:right="440" w:firstLine="510"/>
        <w:spacing w:after="0" w:line="238"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other possible acquisitions of, or investments in complementary businesses, products and technologies which may require the use of cash or additional financing.</w:t>
      </w:r>
    </w:p>
    <w:p>
      <w:pPr>
        <w:spacing w:after="0" w:line="151"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0" w:lineRule="exact"/>
        <w:rPr>
          <w:sz w:val="20"/>
          <w:szCs w:val="20"/>
          <w:color w:val="auto"/>
        </w:rPr>
      </w:pPr>
    </w:p>
    <w:p>
      <w:pPr>
        <w:ind w:firstLine="510"/>
        <w:spacing w:after="0" w:line="253" w:lineRule="auto"/>
        <w:rPr>
          <w:sz w:val="20"/>
          <w:szCs w:val="20"/>
          <w:color w:val="auto"/>
        </w:rPr>
      </w:pPr>
      <w:r>
        <w:rPr>
          <w:rFonts w:ascii="Arial" w:cs="Arial" w:eastAsia="Arial" w:hAnsi="Arial"/>
          <w:sz w:val="17"/>
          <w:szCs w:val="17"/>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1" w:lineRule="exact"/>
        <w:rPr>
          <w:sz w:val="20"/>
          <w:szCs w:val="20"/>
          <w:color w:val="auto"/>
        </w:rPr>
      </w:pPr>
    </w:p>
    <w:p>
      <w:pPr>
        <w:ind w:right="160" w:firstLine="510"/>
        <w:spacing w:after="0" w:line="236"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we have taken measures to mitigate the impact of COVID-19 on our business and financial position, including deferring certain capital expenditures, reducing discretionary expenditures and undertaking cost-reduction actions. Given our current cash position, outlook for funds generated from operations, remaining borrowing availability under our Revolving Credit Facility of $ 327.2 million, cash needs and debt structure, we have not experienced to date, and do not expect to experience, any material issues with liquidity. Although we can give no assurances concerning our future liquidity,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Cash provided by operating activities for the first six months of fiscal year 2022 was $227.8 million compared to $ 333.5 million in the prior year period. This $105.7 million decrease was primarily driven by a $182.6 million year-over-year increase in cash used to fund net operating assets, partially offset by our operating results (net income adjusted for depreciation, amortization and other non-cash charges) which resulted in $76.9 million of higher cash provided by operating activities year-over-year. The decrease in cash used to fund net operating assets during the first six months of fiscal year 2022 when compared to the prior year period was primarily due to a decrease in cash inflows year-over-year from combined billed and unbilled accounts receivable, net, primarily attributable to increased billings for IFC terminals in our commercial networks segment and a decrease in cash inflows year-over-year from our collections in excess of revenues and deferred revenues included in accrued liabilities primarily due to the timing of milestone billings for certain larger development projects in our commercial networks segment.</w:t>
      </w:r>
    </w:p>
    <w:p>
      <w:pPr>
        <w:spacing w:after="0" w:line="153"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Cash used in investing activities for the first six months of fiscal year 2022 was $613.6 million compared to $459.9 million in the prior year period. This $153.8 million increase in cash used in investing activities year-over-year reflects $138.7 million in cash used for the RigNet and Euro Infrastructure Co. acquisitions in the first quarter of fiscal year 2022 and an increase of $34.1 million in cash used for the construction of earth stations and network operation systems, partially offset by a decrease in cash used for other general purpose equipment.</w:t>
      </w:r>
    </w:p>
    <w:p>
      <w:pPr>
        <w:spacing w:after="0" w:line="148"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Cash provided by financing activities for the first six months of fiscal year 2022 was $310.3 million compared to $171.9 million for the prior year period. This $138.4 million increase in cash provided by financing activities year-over-year reflects proceeds from borrowings under our Revolving Credit Facility of $320.0 million in the first quarter of fiscal year 2022, partially offset by $174.7 million in net proceeds from a private placement of common stock in the second quarter of fiscal year 2021 (after deducting offering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w:t>
      </w:r>
    </w:p>
    <w:p>
      <w:pPr>
        <w:spacing w:after="0" w:line="14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We currently have three ViaSat-3 class satellites under construction. We have entered into satellite construction agreements with Boeing for their construction and purchase and the integration of our payload and technologies into the satellites. In addition, we have entered into various other satellite-related purchase commitments, including with respect to the provision of launch services, satellite operation and satellite insurance. See Note 12 – Commitments to our consolidated financial statements included in our Annual Report on Form 10-K for the year ended March 31, 2021 for information regarding our future minimum payments under our satellite construction contracts and other satellite-related purchase commitments for the next five fiscal years and thereafter. In addition, we will continue to incur costs related to the roll-out of related earth station infrastructure to support the ViaSat-3 constellation, the amount of which will depend, among other matters, on the timing of roll-out and method used to procure fiber access. We believe we have adequate sources of funding for the ViaSat-3 constellation, which include, but are not limited to,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5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Our IR&amp;D investments are expected to continue through the remainder of fiscal year 2022 and beyond relating to next-generation satellite network solutions and support of our government and commercial air mobility businesses. We expect to continue to invest in IR&amp;D at a significant level as we continue our focus on leadership and innovation in satellite and space technologies. However, the level of investment in a given fiscal year will depend on a variety of factors,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5" w:name="page56"/>
    <w:bookmarkEnd w:id="55"/>
    <w:p>
      <w:pPr>
        <w:ind w:right="20"/>
        <w:spacing w:after="0" w:line="243" w:lineRule="auto"/>
        <w:rPr>
          <w:sz w:val="20"/>
          <w:szCs w:val="20"/>
          <w:color w:val="auto"/>
        </w:rPr>
      </w:pPr>
      <w:r>
        <w:rPr>
          <w:rFonts w:ascii="Arial" w:cs="Arial" w:eastAsia="Arial" w:hAnsi="Arial"/>
          <w:sz w:val="18"/>
          <w:szCs w:val="18"/>
          <w:color w:val="auto"/>
        </w:rPr>
        <w:t>including the stage of development of our satellite projects, new market opportunities and our overall operating performance. Our total capital expenditures in fiscal year 2022 are expected to be higher than fiscal year 2021, in light of the anticipated launch of the first ViaSat-3 satellite and as we continue to invest in the second and third ViaSat-3 satellites, as well as increased ground network investments related to international expansion and initial expenditures on our ViaSat-4 satellite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As of September 30, 2021, the aggregate principal amount of our total outstanding indebtedness was $2.2 billion, which was comprised of $700.0 million in principal amount of 2025 Notes, $600.0 million in principal amount of 2027 Notes, $400.0 million in principal amount of 2028 Notes (together with the 2025 Notes and 2027 Notes, the Notes), $320.0 million in principal amount of outstanding borrowings under our $700.0 million Revolving Credit Facility, $88.4 million in principal amount of outstanding borrowings under our Ex-Im Credit Facility with a maturity date of October 15, 2025 (together with the Revolving Credit Facility, the Credit Facilities) and $ 51.1 million of finance lease obligations. For information regarding our Credit Facilities and Notes, refer to Note 6 – Senior Notes and Other Long-Term Debt to our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September 30,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the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right"/>
              <w:ind w:right="732"/>
              <w:spacing w:after="0"/>
              <w:rPr>
                <w:sz w:val="20"/>
                <w:szCs w:val="20"/>
                <w:color w:val="auto"/>
              </w:rPr>
            </w:pPr>
            <w:r>
              <w:rPr>
                <w:rFonts w:ascii="Arial" w:cs="Arial" w:eastAsia="Arial" w:hAnsi="Arial"/>
                <w:sz w:val="14"/>
                <w:szCs w:val="14"/>
                <w:b w:val="1"/>
                <w:bCs w:val="1"/>
                <w:color w:val="auto"/>
              </w:rPr>
              <w:t>For the Fiscal Years Ending</w:t>
            </w:r>
          </w:p>
        </w:tc>
        <w:tc>
          <w:tcPr>
            <w:tcW w:w="100" w:type="dxa"/>
            <w:vAlign w:val="bottom"/>
          </w:tcPr>
          <w:p>
            <w:pPr>
              <w:spacing w:after="0"/>
              <w:rPr>
                <w:sz w:val="15"/>
                <w:szCs w:val="15"/>
                <w:color w:val="auto"/>
              </w:rPr>
            </w:pPr>
          </w:p>
        </w:tc>
      </w:tr>
      <w:tr>
        <w:trPr>
          <w:trHeight w:val="169"/>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2023-2024</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2025-2026</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r>
      <w:tr>
        <w:trPr>
          <w:trHeight w:val="21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438,824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134,614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120,584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148,690</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2028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465,000</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2027 Notes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650,625</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2025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857,500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759,063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Revolving Credit Facility (1)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332,805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330,031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Satellite performance incentives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18"/>
                <w:szCs w:val="18"/>
                <w:color w:val="auto"/>
              </w:rPr>
            </w:pPr>
          </w:p>
        </w:tc>
      </w:tr>
      <w:tr>
        <w:trPr>
          <w:trHeight w:val="215"/>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commitments including satellite-related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14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agreements</w:t>
            </w: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2,078,065</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874,972</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988,095</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131,202</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83,796</w:t>
            </w:r>
          </w:p>
        </w:tc>
        <w:tc>
          <w:tcPr>
            <w:tcW w:w="100" w:type="dxa"/>
            <w:vAlign w:val="bottom"/>
            <w:shd w:val="clear" w:color="auto" w:fill="CFF0FC"/>
          </w:tcPr>
          <w:p>
            <w:pPr>
              <w:spacing w:after="0"/>
              <w:rPr>
                <w:sz w:val="17"/>
                <w:szCs w:val="17"/>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5,273,572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982,866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1,727,854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1,206,093</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1,356,759</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500" w:right="66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September 30, 2021 until the maturity date in January 2024.</w:t>
      </w:r>
    </w:p>
    <w:p>
      <w:pPr>
        <w:spacing w:after="0" w:line="189"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Our condensed consolidated balance sheets included $163.9 million and $137.4 million of “other liabilities” as of September 30, 2021 and March 31, 2021, respectively, which primarily consisted of the long-term portion of deferred revenues, the long-term portion of our satellite performance incentive obligations relating to the ViaSat-1 and ViaSat-2 satellites, our long-term warranty obligations and deferred income taxes. With the exception of the long-term portion of our satellite performance incentive obligations relating to the ViaSat-1 and ViaSat-2 satellites (which is included under “Satellite performance incentives”), these remaining liabilities have been excluded from the above table as the timing and/or the amount of any cash payment is uncertain. See Note 12 — Commitments to our consolidated financial statements included in our Annual Report on Form 10-K for the year ended March 31, 2021 for additional information regarding satellite performance incentive obligations relating to the ViaSat-1 and ViaSat-2 satellites. See Note 7 — Product Warranty to our condensed consolidated financial statements for a discussion of our product warranties.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We had no material off-balance sheet arrangements at September 30, 2021 as defined in Regulation S-K Item 303(a)(4) other than as discussed under “Contractual Obligations” above or disclosed in the notes to our condensed consolidated financial statements included in this report or in our Annual Report on Form 10-K for the year ended March 31,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560" w:firstLine="510"/>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57" w:name="page58"/>
    <w:bookmarkEnd w:id="57"/>
    <w:p>
      <w:pPr>
        <w:ind w:right="5540"/>
        <w:spacing w:after="0" w:line="333"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and short-term and long-term obligations, including the Credit Facilities and the Notes. We consider investments in highly liquid instruments purchased with a remaining maturity of three months or less at the date of purchase to be cash equivalents. As of September 30, 2021, we had $320.0 million in principal amount of outstanding borrowings under our Revolving Credit Facility, $88.4 million in principal amount of outstanding borrowings under our Ex-Im Credit Facility, $ 700.0 million in aggregate principal amount outstanding of the 2025 Notes, $600.0 million in aggregate principal amount outstanding of the 2027 Notes and $400.0 million in aggregate principal amount outstanding of the 2028 Notes, and we held no short-term investments. The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3"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and six months ended September 30, 2021 and 2020.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1"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As of September 30, 2021, we had $320.0 million in principal amount of outstanding borrowings under our Revolving Credit Facility. Our primary interest rate under the Revolving Credit Facility is the Eurodollar rate plus an applicable margin that is based on our total leverage ratio. As of September 30, 2021, the weighted average effective interest rate on our outstanding borrowings under the Revolving Credit Facility was 1.84%. Assuming the outstanding balance remained constant over a year, a 50 basis point increase in the interest rates would increase interest incurred, prior to effects of capitalized interest, by approximately $1.6 million over a 12-month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right="380" w:firstLine="510"/>
        <w:spacing w:after="0" w:line="23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the three and six months ended September 30, 2021 and 2020.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and March 31, 2021, we had no foreign currency forward contracts outstanding.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9"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30, 2021, the end of the period covered by this report. Based upon the foregoing, our Chief Executive Officer and Chief Financial Officer concluded that our disclosure controls and procedures were effective at a reasonable assurance level as of September 30, 2021.</w:t>
      </w:r>
    </w:p>
    <w:p>
      <w:pPr>
        <w:spacing w:after="0" w:line="151" w:lineRule="exact"/>
        <w:rPr>
          <w:sz w:val="20"/>
          <w:szCs w:val="20"/>
          <w:color w:val="auto"/>
        </w:rPr>
      </w:pPr>
    </w:p>
    <w:p>
      <w:pPr>
        <w:ind w:right="420" w:firstLine="510"/>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9"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5"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2021, which factors could materially affect our business, financial condition, liquidity or future results. Except as set forth below, there have been no material changes to the risk factors described in the “Risk Factors” section in our Annual Report on Form 10-K for the fiscal year ended March 31, 2021.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Transaction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The Consideration Payable under the Share Purchase Agreement Is Fixed and Will Not Be Adjusted Based on the Performance of Viasat or Inmarsat.</w:t>
      </w:r>
    </w:p>
    <w:p>
      <w:pPr>
        <w:spacing w:after="0" w:line="2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Under the Share Purchase Agreement, the total consideration payable by us consists of $850.0 million in cash, subject to adjustments, and approximately 46.36 million unregistered shares of our common stock. The purchase price will not be adjusted for changes in the market price of our common stock or the economic performance of Viasat or Inmarsat. If the economic performance of Inmarsat relative to Viasat declines (or the economic performance of Inmarsat relative to Viasat improves), the consideration will not be adjusted to account for any such changes or any effective increase in the value of the shares of our common stock issued to the Sellers under the Share Purchase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jc w:val="both"/>
        <w:spacing w:after="0" w:line="253" w:lineRule="auto"/>
        <w:rPr>
          <w:sz w:val="20"/>
          <w:szCs w:val="20"/>
          <w:color w:val="auto"/>
        </w:rPr>
      </w:pPr>
      <w:r>
        <w:rPr>
          <w:rFonts w:ascii="Arial" w:cs="Arial" w:eastAsia="Arial" w:hAnsi="Arial"/>
          <w:sz w:val="18"/>
          <w:szCs w:val="18"/>
          <w:b w:val="1"/>
          <w:bCs w:val="1"/>
          <w:color w:val="auto"/>
        </w:rPr>
        <w:t>Viasat and Inmarsat Will Be Subject to Business Uncertainties and Contractual Restrictions, Including the Risk of Litigation, While the Transaction Is Pending That May Cause Disruption and May Make It More Difficult to Maintain Relationships with Employees, Suppliers or Customers.</w:t>
      </w:r>
    </w:p>
    <w:p>
      <w:pPr>
        <w:spacing w:after="0" w:line="5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Uncertainty about the effect of the Transaction on employees, suppliers and customers may have an adverse effect on Viasat and/or Inmarsat, which uncertainties may impair our or Inmarsat’s ability to attract, retain and motivate key personnel until the Transaction is completed and for a period of time thereafter, and could cause customers, suppliers and others that deal with Viasat or Inmarsat to seek to change existing business relationships with either of us.</w:t>
      </w:r>
    </w:p>
    <w:p>
      <w:pPr>
        <w:spacing w:after="0" w:line="5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Employee retention and recruitment may be challenging before the completion of the Transaction, as employees and prospective employees may experience uncertainty about their future roles following the Transaction. Key employees may depart or prospective key employees may fail to accept employment with us or Inmarsat because of issues relating to the uncertainty and difficulty of integration or a desire not to remain with the combined company following the Transaction, any of which could have a material adverse effect on our business, financial condition and results of operations.</w:t>
      </w:r>
    </w:p>
    <w:p>
      <w:pPr>
        <w:spacing w:after="0" w:line="5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pursuit of the Transaction and the preparation for the integration may place a significant burden on management and internal resources. The diversion of management’s attention away from day-to-day business concerns and any difficulties encountered in the transition and integration process could have a material adverse effect on our business, financial condition and results of operations.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Until the Completion of the Transaction or the Termination of the Share Purchase Agreement in Accordance with its Terms, We Are Prohibited From Entering Into Certain Transactions and Taking Certain Actions that Might Otherwise Be Beneficial to Us and Our Stockholders.</w:t>
      </w:r>
    </w:p>
    <w:p>
      <w:pPr>
        <w:spacing w:after="0" w:line="4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During the period between the date of the Share Purchase Agreement and completion of the Transaction (which could be as long as 18 months (or up to 24 months, if we elect to extend the long-stop date in order to satisfy regulatory conditions under the Share Purchase Agreement)), the Share Purchase Agreement restricts us from taking specified actions or from pursuing what might otherwise be attractive business opportunities or making other changes to our business, in each case without the consent of certain of the Sellers. These restrictions may prevent us from taking actions during the pendency of the Transaction that would have been beneficial. Adverse effects arising from these restrictions during the pendency of the Transaction could be exacerbated by any delays in consummation of the Transaction or termination of the Share Purchase Agreement.</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The Transaction May Not Be Completed and the Share Purchase Agreement May Be Terminated in Accordance with its Terms, and We May Be Required to Pay a Termination Fee Upon Termination.</w:t>
      </w:r>
    </w:p>
    <w:p>
      <w:pPr>
        <w:spacing w:after="0" w:line="4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The Transaction is subject to customary closing conditions that must be satisfied or waived prior to the completion of the Transaction, including receipt of regulatory approvals and clearances and approval by our stockholders of the issuance of shares in the Transaction and an amendment to our certificate of incorporation to increase the number of shares of common stock authorized for issuance. Many of the closing conditions are not within our control. No assurance can be given that the required regulatory approvals and clearances and stockholder approvals will be obtained or that the required conditions to closing will be satisfied in a timely manner or at all. Any delay in completing the Transaction could cause the combined company not to realize, or to be delayed in realizing, some or all of the benefits that we expect to achieve if the Transaction is successfully completed within its expected time frame.</w:t>
      </w:r>
    </w:p>
    <w:p>
      <w:pPr>
        <w:spacing w:after="0" w:line="5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Additionally, either we or Inmarsat may terminate the Share Purchase Agreement under certain circumstances, including, among other reasons, if the Transaction is not completed by the long-stop date. In addition, if the Share Purchase Agreement is terminated under specified circumstances, we may be obligated to pay a termination fee of either $150.0 million or $200.0 million or to reimburse certain out-of-pocket expenses of certain Sellers up to $40.0 million.</w:t>
      </w:r>
    </w:p>
    <w:p>
      <w:pPr>
        <w:spacing w:after="0" w:line="56"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Moreover, if the Transaction is not completed for any reason, including because required regulatory approvals and clearances or our stockholder approvals are not obtained, our ongoing businesses may be adversely affected and, without realizing any of the expected benefits of having completed the Transaction, we would be subject to a number of risks, including the following:</w:t>
      </w:r>
    </w:p>
    <w:p>
      <w:pPr>
        <w:spacing w:after="0" w:line="68" w:lineRule="exact"/>
        <w:rPr>
          <w:sz w:val="20"/>
          <w:szCs w:val="20"/>
          <w:color w:val="auto"/>
        </w:rPr>
      </w:pPr>
    </w:p>
    <w:p>
      <w:pPr>
        <w:ind w:left="740" w:hanging="233"/>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including negative impacts on our stock price;</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negative reactions from our customers, suppliers, distributors and employees;</w:t>
      </w:r>
    </w:p>
    <w:p>
      <w:pPr>
        <w:spacing w:after="0" w:line="103" w:lineRule="exact"/>
        <w:rPr>
          <w:rFonts w:ascii="Arial" w:cs="Arial" w:eastAsia="Arial" w:hAnsi="Arial"/>
          <w:sz w:val="18"/>
          <w:szCs w:val="18"/>
          <w:color w:val="auto"/>
        </w:rPr>
      </w:pPr>
    </w:p>
    <w:p>
      <w:pPr>
        <w:ind w:left="740" w:hanging="233"/>
        <w:spacing w:after="0" w:line="246"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be required to pay our costs relating to the Transaction, such as financial advisory, legal, financing and accounting costs and associated fees and expenses, whether or not the Transaction is completed;</w:t>
      </w:r>
    </w:p>
    <w:p>
      <w:pPr>
        <w:spacing w:after="0" w:line="48" w:lineRule="exact"/>
        <w:rPr>
          <w:rFonts w:ascii="Arial" w:cs="Arial" w:eastAsia="Arial" w:hAnsi="Arial"/>
          <w:sz w:val="18"/>
          <w:szCs w:val="18"/>
          <w:color w:val="auto"/>
        </w:rPr>
      </w:pPr>
    </w:p>
    <w:p>
      <w:pPr>
        <w:jc w:val="both"/>
        <w:ind w:left="740" w:hanging="233"/>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 Purchase Agreement places certain restrictions on the conduct of our business prior to completion of the Transaction and such restrictions, the waiver of which are subject to the consent of certain of the Sellers, may have prevented us from taking actions during the pendency of the Transaction that would have been beneficial;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jc w:val="both"/>
        <w:ind w:left="740" w:hanging="233"/>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matters relating to the Transaction (including integration planning) will require substantial commitments of time and resources by management, which could otherwise have been devoted to day-to-day operations or to other opportunities that may have been beneficial to us as an independent company.</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We Must Obtain Certain Regulatory Approvals and Clearances to Consummate the Transaction, which, if Delayed, Not Granted or Granted with Burdensome or Unacceptable Conditions, Could Prevent, Substantially Delay or Impair Consummation of the Transaction, Result in Additional Expenditures of Money and Resources or Reduce the Anticipated Benefits of the Transaction.</w:t>
      </w:r>
    </w:p>
    <w:p>
      <w:pPr>
        <w:spacing w:after="0" w:line="5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The completion of the Transaction is subject to customary closing conditions, including receipt of regulatory approvals and clearances in various jurisdictions. Governmental and regulatory authorities in various jurisdictions may impose conditions on approvals and clearances as they deem necessary or desirable in the public interest, including, but not limited to, seeking divestiture of substantial assets of the parties or requiring the parties to license, or hold separate, assets or to not engage in certain types of conduct, or seeking to enjoin the completion of the Transaction. Any conditions imposed in connection with regulatory approvals or clearances could have a material adverse effect on the combined company or reduce the anticipated benefits of the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 Will Involve Substantial Costs.</w:t>
      </w:r>
    </w:p>
    <w:p>
      <w:pPr>
        <w:spacing w:after="0" w:line="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We have incurred and expect to incur non-recurring costs associated with the Transaction and combining the operations of the two companies, as well as transaction fees and other costs related to the Transaction. These costs and expenses include fees paid to financial, legal and accounting advisors, facilities and systems consolidation costs, severance and other potential employment-related costs, including severance and retention payments that may be made to certain Inmarsat employees, filing fees, printing expenses and other related charges. Some of these costs are payable by us regardless of whether the Transaction is completed.</w:t>
      </w:r>
    </w:p>
    <w:p>
      <w:pPr>
        <w:spacing w:after="0" w:line="6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The combined company will also incur restructuring and integration costs in connection with the Transaction. The costs related to restructuring will be expensed as a cost of the ongoing results of operations of either us or the combined company. There are processes, policies, procedures, operations, technologies and systems that must be integrated in connection with the Transaction and the integration of Inmarsat’s business. Although we expect that the elimination of duplicative costs, strategic benefits, and additional income, as well as the realization of other efficiencies related to the integration of the businesses, may offset incremental transaction related and restructuring costs over time, any net benefit may not be achieved in the near term or at all. Many of these costs will be borne by us even if the Transaction is not completed. While we have assumed that certain expenses would be incurred in connection with the Transaction, there are many factors beyond our control that could affect the total amount or the timing of such expenses.</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Lawsuits May Be Filed Against Us, or Against Our Directors, Challenging the Transaction, and an Adverse Ruling in Any Such Lawsuit May Prevent the Transaction from Becoming Effective or from Becoming Effective within the Expected Time Frame.</w:t>
      </w:r>
    </w:p>
    <w:p>
      <w:pPr>
        <w:spacing w:after="0" w:line="2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Transactions like the one proposed here are frequently subject to litigation or other legal proceedings, including actions alleging that our board of directors breached their fiduciary duties to our stockholders by entering into the Share Purchase Agreement. We cannot provide assurance that such litigation or other legal proceedings will not be brought. If litigation or other legal proceedings are in fact brought against us, or against our board of directors, we will defend against it, but might not be successful in doing so. An adverse outcome in such matters, as well as the costs and efforts of a defense even if successful, could have a material adverse effect on the business, results of operation or financial position of us or the combined company, including through the possible diversion of company resources or distraction of key personnel.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Combined Company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Will Incur Significant Additional Indebtedness in Connection with the Transaction, and the Combined Company’s Debt May Limit its Financial Flexibility.</w:t>
      </w:r>
    </w:p>
    <w:p>
      <w:pPr>
        <w:spacing w:after="0" w:line="2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In addition to our existing indebtedness under the Credit Facilities and the Notes, we have obtained financing commitments for $2.3 billion of new debt facilities in connection with the Transaction and plan to assume $2.1 billion in principal amount of Inmarsat senior secured bonds and $1.7 billion outstanding under Inmarsat’s $2.4 billion senior secured credit facilities. We have also obtained commitments of $3.2 billion to backstop certain amendments required under the Credit Facilities and Inmarsat’s $2.4 billion senior secured credit facilities.</w:t>
      </w:r>
    </w:p>
    <w:p>
      <w:pPr>
        <w:spacing w:after="0" w:line="70"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18"/>
          <w:szCs w:val="18"/>
          <w:color w:val="auto"/>
        </w:rPr>
        <w:t>The combined company’s level of indebtedness following completion of the Transaction could have important consequences. For example, it could: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61" w:name="page62"/>
    <w:bookmarkEnd w:id="61"/>
    <w:p>
      <w:pPr>
        <w:ind w:left="740" w:hanging="233"/>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03" w:lineRule="exact"/>
        <w:rPr>
          <w:rFonts w:ascii="Arial" w:cs="Arial" w:eastAsia="Arial" w:hAnsi="Arial"/>
          <w:sz w:val="18"/>
          <w:szCs w:val="18"/>
          <w:color w:val="auto"/>
        </w:rPr>
      </w:pPr>
    </w:p>
    <w:p>
      <w:pPr>
        <w:ind w:left="740" w:right="20" w:hanging="233"/>
        <w:spacing w:after="0" w:line="246"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48" w:lineRule="exact"/>
        <w:rPr>
          <w:rFonts w:ascii="Arial" w:cs="Arial" w:eastAsia="Arial" w:hAnsi="Arial"/>
          <w:sz w:val="18"/>
          <w:szCs w:val="18"/>
          <w:color w:val="auto"/>
        </w:rPr>
      </w:pPr>
    </w:p>
    <w:p>
      <w:pPr>
        <w:jc w:val="both"/>
        <w:ind w:left="740" w:hanging="233"/>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54" w:lineRule="exact"/>
        <w:rPr>
          <w:rFonts w:ascii="Arial" w:cs="Arial" w:eastAsia="Arial" w:hAnsi="Arial"/>
          <w:sz w:val="18"/>
          <w:szCs w:val="18"/>
          <w:color w:val="auto"/>
        </w:rPr>
      </w:pPr>
    </w:p>
    <w:p>
      <w:pPr>
        <w:ind w:left="740" w:hanging="233"/>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expose us to variable interest rate risk to the extent we make borrowings under our Revolving Credit Facility;</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0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the combined business, which could have a material adverse effect on the combined business, financial condition and results of operations.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Combining the Businesses of Viasat and Inmarsat May be More Difficult, Costly or Time-Consuming than Expected and the Combined Company May Fail to Realize the Anticipated Benefits of the Transaction, Which May Adversely Affect the Combined Company’s Business Results and Negatively Affect the Value of the Combined Company’s Common Stock.</w:t>
      </w:r>
    </w:p>
    <w:p>
      <w:pPr>
        <w:spacing w:after="0" w:line="4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Viasat and Inmarsat have operated and, until the completion of the Transaction will continue to operate, independently. The success of the Transaction will depend on, among other things, the ability of Viasat and Inmarsat to combine their businesses in a manner that facilitates growth opportunities and realizes expected cost savings. We have entered into the Share Purchase Agreement because we believe that the transactions contemplated by the Share Purchase Agreement are fair to and in the best interests of our stockholders and that combining the businesses of Viasat and Inmarsat will produce benefits and cost savings.</w:t>
      </w:r>
    </w:p>
    <w:p>
      <w:pPr>
        <w:spacing w:after="0" w:line="5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Following the closing of the Transaction, Viasat and Inmarsat must successfully combine their respective businesses in a manner that permits these benefits to be realized. For example, the following issues, among others, must be addressed in integrating the operations of the two companies in order to realize the anticipated benefits of the Transaction:</w:t>
      </w:r>
    </w:p>
    <w:p>
      <w:pPr>
        <w:spacing w:after="0" w:line="68" w:lineRule="exact"/>
        <w:rPr>
          <w:sz w:val="20"/>
          <w:szCs w:val="20"/>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combining the companies’ operations and corporate functions;</w:t>
      </w:r>
    </w:p>
    <w:p>
      <w:pPr>
        <w:spacing w:after="0" w:line="103" w:lineRule="exact"/>
        <w:rPr>
          <w:rFonts w:ascii="Arial" w:cs="Arial" w:eastAsia="Arial" w:hAnsi="Arial"/>
          <w:sz w:val="18"/>
          <w:szCs w:val="18"/>
          <w:color w:val="auto"/>
        </w:rPr>
      </w:pPr>
    </w:p>
    <w:p>
      <w:pPr>
        <w:jc w:val="both"/>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combining the businesses of Viasat and Inmarsat and meeting the capital requirements of the combined company, in a manner that permits the combined company to achieve any cost savings or other synergies anticipated to result from the Transaction, the failure of which would result in the anticipated benefits of the Transaction not being realized in the time frame currently anticipated or at all;</w:t>
      </w:r>
    </w:p>
    <w:p>
      <w:pPr>
        <w:spacing w:after="0" w:line="54" w:lineRule="exact"/>
        <w:rPr>
          <w:rFonts w:ascii="Arial" w:cs="Arial" w:eastAsia="Arial" w:hAnsi="Arial"/>
          <w:sz w:val="18"/>
          <w:szCs w:val="18"/>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integrating personnel from the two companies;</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integrating the companies’ technologies and technologies licensed from third parties;</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integrating and unifying the offerings and services available to customers;</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103" w:lineRule="exact"/>
        <w:rPr>
          <w:rFonts w:ascii="Arial" w:cs="Arial" w:eastAsia="Arial" w:hAnsi="Arial"/>
          <w:sz w:val="18"/>
          <w:szCs w:val="18"/>
          <w:color w:val="auto"/>
        </w:rPr>
      </w:pPr>
    </w:p>
    <w:p>
      <w:pPr>
        <w:ind w:left="740" w:hanging="233"/>
        <w:spacing w:after="0" w:line="246"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48" w:lineRule="exact"/>
        <w:rPr>
          <w:rFonts w:ascii="Arial" w:cs="Arial" w:eastAsia="Arial" w:hAnsi="Arial"/>
          <w:sz w:val="18"/>
          <w:szCs w:val="18"/>
          <w:color w:val="auto"/>
        </w:rPr>
      </w:pPr>
    </w:p>
    <w:p>
      <w:pPr>
        <w:jc w:val="both"/>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existing agreements with customers, suppliers, distributors and vendors, avoiding delays in entering into new agreements with prospective customers, suppliers, distributors and vendors, and leveraging relationships with such third parties for the benefit of the combined company;</w:t>
      </w:r>
    </w:p>
    <w:p>
      <w:pPr>
        <w:spacing w:after="0" w:line="54" w:lineRule="exact"/>
        <w:rPr>
          <w:rFonts w:ascii="Arial" w:cs="Arial" w:eastAsia="Arial" w:hAnsi="Arial"/>
          <w:sz w:val="18"/>
          <w:szCs w:val="18"/>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possible differences in business backgrounds, corporate cultures and management philosophies;</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03" w:lineRule="exact"/>
        <w:rPr>
          <w:rFonts w:ascii="Arial" w:cs="Arial" w:eastAsia="Arial" w:hAnsi="Arial"/>
          <w:sz w:val="18"/>
          <w:szCs w:val="18"/>
          <w:color w:val="auto"/>
        </w:rPr>
      </w:pPr>
    </w:p>
    <w:p>
      <w:pPr>
        <w:ind w:left="740" w:hanging="23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effecting actions that may be required in connection with obtaining regulatory or other governmental approvals.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2" w:name="page63"/>
    <w:bookmarkEnd w:id="62"/>
    <w:p>
      <w:pPr>
        <w:jc w:val="both"/>
        <w:ind w:firstLine="749"/>
        <w:spacing w:after="0" w:line="237" w:lineRule="auto"/>
        <w:rPr>
          <w:sz w:val="20"/>
          <w:szCs w:val="20"/>
          <w:color w:val="auto"/>
        </w:rPr>
      </w:pPr>
      <w:r>
        <w:rPr>
          <w:rFonts w:ascii="Arial" w:cs="Arial" w:eastAsia="Arial" w:hAnsi="Arial"/>
          <w:sz w:val="18"/>
          <w:szCs w:val="18"/>
          <w:color w:val="auto"/>
        </w:rPr>
        <w:t>It is possible that the integration process could result in the loss of key Viasat or Inmarsat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In addition, the actual integration may result in additional and unforeseen expenses. If the combined company is not able to adequately address integration challenges, we may be unable to successfully integrate operations and the anticipated benefits of the integration plan may not be realized.</w:t>
      </w:r>
    </w:p>
    <w:p>
      <w:pPr>
        <w:spacing w:after="0" w:line="70"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In addition, the combined company must achieve the anticipated growth and cost savings without adversely affecting current revenues and investments in future growth. If the combined company is not able to successfully achieve these objectives, the anticipated benefits of the Transaction may not be realized fully, or at all, or may take longer to realize than expected. Additionally, Viasat may inherit from Inmarsat legal, regulatory, and other risks that occurred prior to the Transaction, whether known or unknown to Viasat, which may be material to the combined company. Actual growth and cost savings, if achieved, may be lower than what we expect and may take longer to achieve than anticipated. Moreover, at times the attention of the combined company’s management and resources may be focused on the integration of the businesses of the two companies and diverted from day-to-day business operations or other opportunities that may have been beneficial to such company, which may disrupt the combined company’s ongoing business.</w:t>
      </w:r>
    </w:p>
    <w:p>
      <w:pPr>
        <w:spacing w:after="0" w:line="5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An inability to realize the full extent of the anticipated benefits of the Transaction,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The Combined Company May Not Be Able to Retain Customers, Suppliers or Distributors, or Customers, Suppliers or Distributors May Seek to Modify Contractual Relationships with the Combined Company, Which Could Have an Adverse Effect on the Combined Company’s Business and Operations. Third Parties May Terminate or Alter Existing Contracts or Relationships with the Combined Company.</w:t>
      </w:r>
    </w:p>
    <w:p>
      <w:pPr>
        <w:spacing w:after="0" w:line="6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As a result of the Transaction, the combined company may experience impacts on relationships with customers, suppliers and distributors that may harm the combined company’s business and results of operations. Certain customers, suppliers or distributors may seek to terminate or modify contractual obligations following the Transaction whether or not contractual rights are triggered as a result of the Transaction. There can be no guarantee that customers, suppliers and distributors will remain with or continue to have a relationship with the combined company or do so on the same or similar contractual terms following the Transaction. If any customers, suppliers or distributors seek to terminate or modify contractual obligations or discontinue the relationship with the combined company, then the combined company’s business and results of operations may be harmed. Furthermore, the combined company will not have long-term arrangements with many of its significant suppliers. If the combined company’s suppliers were to seek to terminate or modify an arrangement with the combined company, then the combined company may be unable to procure necessary supplies from other suppliers in a timely and efficient manner and on acceptable terms, or at all.</w:t>
      </w:r>
    </w:p>
    <w:p>
      <w:pPr>
        <w:spacing w:after="0" w:line="5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We and Inmarsat also have contracts with third parties which may require consent from these parties in connection with the Transaction, or which may otherwise contain limitations applicable to such contracts following the Transaction. If these consents cannot be obtained, the combined company may suffer a loss of potential future revenue, incur costs and lose rights that may be material to the combined company’s business. In addition, third parties with whom we or Inmarsat currently have relationships may terminate or otherwise reduce the scope of their relationship in anticipation of the Transaction. Any such disruptions could limit the combined company’s ability to achieve the anticipated benefits of the Transaction. The adverse effect of any such disruptions could also be exacerbated by a delay in the completion of the Transaction or by a termination of the Share Purchase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Lower Our Stock Price.</w:t>
      </w:r>
    </w:p>
    <w:p>
      <w:pPr>
        <w:spacing w:after="0" w:line="9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At the closing of the Transaction, we will issue approximately 46.36 million unregistered shares of our common stock, and will enter into a registration rights agreement which will require us to file with the SEC a registration statement on Form S-3 registering for resale the shares issued to certain of the Inmarsat shareholders in the Transaction. We will also be required to conduct certain underwritten offerings upon request and to provide certain of the Inmarsat shareholders with certain piggyback registration rights. Sales of substantial amounts of our common stock, or the perception that such sales could occur, may adversely affect prevailing market prices for our common stock.</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Certain of Inmarsat’s Shareholders Will Have Significant Influence Over the Combined Company After Completion of the Transaction.</w:t>
      </w:r>
    </w:p>
    <w:p>
      <w:pPr>
        <w:spacing w:after="0" w:line="27"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18"/>
          <w:szCs w:val="18"/>
          <w:color w:val="auto"/>
        </w:rPr>
        <w:t>Upon completion of the Transaction, Inmarsat’s shareholders will, collectively, beneficially own approximately 39% of our outstanding common stock. As long as those Inmarsat shareholders own or control a significant percentage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63" w:name="page64"/>
    <w:bookmarkEnd w:id="63"/>
    <w:p>
      <w:pPr>
        <w:spacing w:after="0" w:line="246" w:lineRule="auto"/>
        <w:rPr>
          <w:sz w:val="20"/>
          <w:szCs w:val="20"/>
          <w:color w:val="auto"/>
        </w:rPr>
      </w:pPr>
      <w:r>
        <w:rPr>
          <w:rFonts w:ascii="Arial" w:cs="Arial" w:eastAsia="Arial" w:hAnsi="Arial"/>
          <w:sz w:val="18"/>
          <w:szCs w:val="18"/>
          <w:color w:val="auto"/>
        </w:rPr>
        <w:t>outstanding voting power, they may have the ability to significantly influence corporate actions requiring stockholder approval, including approval of any merger or significant corporate transaction.</w:t>
      </w:r>
    </w:p>
    <w:p>
      <w:pPr>
        <w:spacing w:after="0" w:line="62" w:lineRule="exact"/>
        <w:rPr>
          <w:sz w:val="20"/>
          <w:szCs w:val="20"/>
          <w:color w:val="auto"/>
        </w:rPr>
      </w:pPr>
    </w:p>
    <w:p>
      <w:pPr>
        <w:ind w:right="180" w:firstLine="749"/>
        <w:spacing w:after="0" w:line="238" w:lineRule="auto"/>
        <w:rPr>
          <w:sz w:val="20"/>
          <w:szCs w:val="20"/>
          <w:color w:val="auto"/>
        </w:rPr>
      </w:pPr>
      <w:r>
        <w:rPr>
          <w:rFonts w:ascii="Arial" w:cs="Arial" w:eastAsia="Arial" w:hAnsi="Arial"/>
          <w:sz w:val="18"/>
          <w:szCs w:val="18"/>
          <w:color w:val="auto"/>
        </w:rPr>
        <w:t>In addition, certain of Inmarsat’s shareholders have entered into a stockholders agreement with us which grants them the right to nominate up to two directors to the combined company’s board of directors. Their right to designate directors is subject to their ownership percentage of the total outstanding shares of our common stock. The interests of these shareholders may not align with our interests or the interests of our other stockholders.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29"/>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9"/>
          </w:tcPr>
          <w:p>
            <w:pPr>
              <w:ind w:left="920"/>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tcPr>
          <w:p>
            <w:pPr>
              <w:spacing w:after="0"/>
              <w:rPr>
                <w:sz w:val="15"/>
                <w:szCs w:val="15"/>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5"/>
                <w:szCs w:val="15"/>
                <w:color w:val="auto"/>
              </w:rPr>
            </w:pPr>
          </w:p>
        </w:tc>
        <w:tc>
          <w:tcPr>
            <w:tcW w:w="126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5"/>
                <w:szCs w:val="15"/>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Filing Date</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1100" w:type="dxa"/>
            <w:vAlign w:val="bottom"/>
          </w:tcPr>
          <w:p>
            <w:pPr>
              <w:jc w:val="center"/>
              <w:ind w:left="52"/>
              <w:spacing w:after="0"/>
              <w:rPr>
                <w:sz w:val="20"/>
                <w:szCs w:val="20"/>
                <w:color w:val="auto"/>
              </w:rPr>
            </w:pPr>
            <w:r>
              <w:rPr>
                <w:rFonts w:ascii="Arial" w:cs="Arial" w:eastAsia="Arial" w:hAnsi="Arial"/>
                <w:sz w:val="18"/>
                <w:szCs w:val="18"/>
                <w:color w:val="auto"/>
                <w:w w:val="99"/>
              </w:rPr>
              <w:t>2.1*</w:t>
            </w:r>
          </w:p>
        </w:tc>
        <w:tc>
          <w:tcPr>
            <w:tcW w:w="140" w:type="dxa"/>
            <w:vAlign w:val="bottom"/>
          </w:tcPr>
          <w:p>
            <w:pPr>
              <w:spacing w:after="0"/>
              <w:rPr>
                <w:sz w:val="24"/>
                <w:szCs w:val="24"/>
                <w:color w:val="auto"/>
              </w:rPr>
            </w:pPr>
          </w:p>
        </w:tc>
        <w:tc>
          <w:tcPr>
            <w:tcW w:w="4220" w:type="dxa"/>
            <w:vAlign w:val="bottom"/>
            <w:gridSpan w:val="22"/>
          </w:tcPr>
          <w:p>
            <w:pPr>
              <w:ind w:left="20"/>
              <w:spacing w:after="0"/>
              <w:rPr>
                <w:rFonts w:ascii="Arial" w:cs="Arial" w:eastAsia="Arial" w:hAnsi="Arial"/>
                <w:sz w:val="18"/>
                <w:szCs w:val="18"/>
                <w:color w:val="0000EE"/>
              </w:rPr>
            </w:pPr>
            <w:hyperlink r:id="rId87">
              <w:r>
                <w:rPr>
                  <w:rFonts w:ascii="Arial" w:cs="Arial" w:eastAsia="Arial" w:hAnsi="Arial"/>
                  <w:sz w:val="18"/>
                  <w:szCs w:val="18"/>
                  <w:color w:val="0000EE"/>
                </w:rPr>
                <w:t>Share Purchase Agreement, dated as of November</w:t>
              </w:r>
            </w:hyperlink>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260" w:type="dxa"/>
            <w:vAlign w:val="bottom"/>
          </w:tcPr>
          <w:p>
            <w:pPr>
              <w:jc w:val="center"/>
              <w:ind w:left="35"/>
              <w:spacing w:after="0"/>
              <w:rPr>
                <w:sz w:val="20"/>
                <w:szCs w:val="20"/>
                <w:color w:val="auto"/>
              </w:rPr>
            </w:pPr>
            <w:r>
              <w:rPr>
                <w:rFonts w:ascii="Arial" w:cs="Arial" w:eastAsia="Arial" w:hAnsi="Arial"/>
                <w:sz w:val="18"/>
                <w:szCs w:val="18"/>
                <w:color w:val="auto"/>
                <w:w w:val="99"/>
              </w:rPr>
              <w:t>000-21767</w:t>
            </w:r>
          </w:p>
        </w:tc>
        <w:tc>
          <w:tcPr>
            <w:tcW w:w="60" w:type="dxa"/>
            <w:vAlign w:val="bottom"/>
          </w:tcPr>
          <w:p>
            <w:pPr>
              <w:spacing w:after="0"/>
              <w:rPr>
                <w:sz w:val="24"/>
                <w:szCs w:val="24"/>
                <w:color w:val="auto"/>
              </w:rPr>
            </w:pPr>
          </w:p>
        </w:tc>
        <w:tc>
          <w:tcPr>
            <w:tcW w:w="920" w:type="dxa"/>
            <w:vAlign w:val="bottom"/>
          </w:tcPr>
          <w:p>
            <w:pPr>
              <w:jc w:val="center"/>
              <w:ind w:left="53"/>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11/08/2021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8"/>
          </w:tcPr>
          <w:p>
            <w:pPr>
              <w:ind w:left="20"/>
              <w:spacing w:after="0" w:line="182" w:lineRule="exact"/>
              <w:rPr>
                <w:rFonts w:ascii="Arial" w:cs="Arial" w:eastAsia="Arial" w:hAnsi="Arial"/>
                <w:sz w:val="18"/>
                <w:szCs w:val="18"/>
                <w:color w:val="0000EE"/>
                <w:w w:val="99"/>
              </w:rPr>
            </w:pPr>
            <w:hyperlink r:id="rId87">
              <w:r>
                <w:rPr>
                  <w:rFonts w:ascii="Arial" w:cs="Arial" w:eastAsia="Arial" w:hAnsi="Arial"/>
                  <w:sz w:val="18"/>
                  <w:szCs w:val="18"/>
                  <w:color w:val="0000EE"/>
                  <w:w w:val="99"/>
                </w:rPr>
                <w:t>8, 2021, by and among Viasat, Inc. and the</w:t>
              </w:r>
            </w:hyperlink>
          </w:p>
        </w:tc>
        <w:tc>
          <w:tcPr>
            <w:tcW w:w="660" w:type="dxa"/>
            <w:vAlign w:val="bottom"/>
            <w:tcBorders>
              <w:top w:val="single" w:sz="8" w:color="0000EE"/>
            </w:tcBorders>
            <w:gridSpan w:val="12"/>
          </w:tcPr>
          <w:p>
            <w:pPr>
              <w:spacing w:after="0"/>
              <w:rPr>
                <w:sz w:val="15"/>
                <w:szCs w:val="15"/>
                <w:color w:val="auto"/>
              </w:rPr>
            </w:pPr>
          </w:p>
        </w:tc>
        <w:tc>
          <w:tcPr>
            <w:tcW w:w="12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gridSpan w:val="22"/>
          </w:tcPr>
          <w:p>
            <w:pPr>
              <w:ind w:left="20"/>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shareholders of Connect Topco Limited party</w:t>
              </w:r>
            </w:hyperlink>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6"/>
              </w:rPr>
            </w:pPr>
            <w:hyperlink r:id="rId87">
              <w:r>
                <w:rPr>
                  <w:rFonts w:ascii="Arial" w:cs="Arial" w:eastAsia="Arial" w:hAnsi="Arial"/>
                  <w:sz w:val="18"/>
                  <w:szCs w:val="18"/>
                  <w:color w:val="0000EE"/>
                  <w:w w:val="96"/>
                </w:rPr>
                <w:t>thereto</w:t>
              </w:r>
            </w:hyperlink>
          </w:p>
        </w:tc>
        <w:tc>
          <w:tcPr>
            <w:tcW w:w="3000" w:type="dxa"/>
            <w:vAlign w:val="bottom"/>
            <w:tcBorders>
              <w:top w:val="single" w:sz="8" w:color="0000EE"/>
            </w:tcBorders>
            <w:gridSpan w:val="8"/>
          </w:tcPr>
          <w:p>
            <w:pPr>
              <w:spacing w:after="0"/>
              <w:rPr>
                <w:sz w:val="15"/>
                <w:szCs w:val="15"/>
                <w:color w:val="auto"/>
              </w:rPr>
            </w:pPr>
          </w:p>
        </w:tc>
        <w:tc>
          <w:tcPr>
            <w:tcW w:w="640" w:type="dxa"/>
            <w:vAlign w:val="bottom"/>
            <w:gridSpan w:val="12"/>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ind w:left="5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220" w:type="dxa"/>
            <w:vAlign w:val="bottom"/>
            <w:gridSpan w:val="22"/>
          </w:tcPr>
          <w:p>
            <w:pPr>
              <w:ind w:left="20"/>
              <w:spacing w:after="0"/>
              <w:rPr>
                <w:rFonts w:ascii="Arial" w:cs="Arial" w:eastAsia="Arial" w:hAnsi="Arial"/>
                <w:sz w:val="18"/>
                <w:szCs w:val="18"/>
                <w:color w:val="0000EE"/>
              </w:rPr>
            </w:pPr>
            <w:hyperlink r:id="rId88">
              <w:r>
                <w:rPr>
                  <w:rFonts w:ascii="Arial" w:cs="Arial" w:eastAsia="Arial" w:hAnsi="Arial"/>
                  <w:sz w:val="18"/>
                  <w:szCs w:val="18"/>
                  <w:color w:val="0000EE"/>
                </w:rPr>
                <w:t>Voting and Support Agreement, dated as of</w:t>
              </w:r>
            </w:hyperlink>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260" w:type="dxa"/>
            <w:vAlign w:val="bottom"/>
          </w:tcPr>
          <w:p>
            <w:pPr>
              <w:jc w:val="center"/>
              <w:ind w:left="35"/>
              <w:spacing w:after="0"/>
              <w:rPr>
                <w:sz w:val="20"/>
                <w:szCs w:val="20"/>
                <w:color w:val="auto"/>
              </w:rPr>
            </w:pPr>
            <w:r>
              <w:rPr>
                <w:rFonts w:ascii="Arial" w:cs="Arial" w:eastAsia="Arial" w:hAnsi="Arial"/>
                <w:sz w:val="18"/>
                <w:szCs w:val="18"/>
                <w:color w:val="auto"/>
                <w:w w:val="99"/>
              </w:rPr>
              <w:t>000-21767</w:t>
            </w:r>
          </w:p>
        </w:tc>
        <w:tc>
          <w:tcPr>
            <w:tcW w:w="60" w:type="dxa"/>
            <w:vAlign w:val="bottom"/>
          </w:tcPr>
          <w:p>
            <w:pPr>
              <w:spacing w:after="0"/>
              <w:rPr>
                <w:sz w:val="24"/>
                <w:szCs w:val="24"/>
                <w:color w:val="auto"/>
              </w:rPr>
            </w:pPr>
          </w:p>
        </w:tc>
        <w:tc>
          <w:tcPr>
            <w:tcW w:w="920" w:type="dxa"/>
            <w:vAlign w:val="bottom"/>
          </w:tcPr>
          <w:p>
            <w:pPr>
              <w:jc w:val="center"/>
              <w:ind w:left="53"/>
              <w:spacing w:after="0"/>
              <w:rPr>
                <w:sz w:val="20"/>
                <w:szCs w:val="20"/>
                <w:color w:val="auto"/>
              </w:rPr>
            </w:pPr>
            <w:r>
              <w:rPr>
                <w:rFonts w:ascii="Arial" w:cs="Arial" w:eastAsia="Arial" w:hAnsi="Arial"/>
                <w:sz w:val="18"/>
                <w:szCs w:val="18"/>
                <w:color w:val="auto"/>
                <w:w w:val="96"/>
              </w:rPr>
              <w:t>10.1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11/08/2021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tcBorders>
              <w:bottom w:val="single" w:sz="8" w:color="0000EE"/>
            </w:tcBorders>
            <w:gridSpan w:val="11"/>
          </w:tcPr>
          <w:p>
            <w:pPr>
              <w:ind w:left="20"/>
              <w:spacing w:after="0" w:line="182"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November 8, 2021, by and among Viasat, Inc.,</w:t>
              </w:r>
            </w:hyperlink>
          </w:p>
        </w:tc>
        <w:tc>
          <w:tcPr>
            <w:tcW w:w="500" w:type="dxa"/>
            <w:vAlign w:val="bottom"/>
            <w:gridSpan w:val="11"/>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tcBorders>
              <w:bottom w:val="single" w:sz="8" w:color="0000EE"/>
            </w:tcBorders>
            <w:gridSpan w:val="6"/>
          </w:tcPr>
          <w:p>
            <w:pPr>
              <w:ind w:left="20"/>
              <w:spacing w:after="0" w:line="182"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Baupost Group Securities, L.L.C. and the</w:t>
              </w:r>
            </w:hyperlink>
          </w:p>
        </w:tc>
        <w:tc>
          <w:tcPr>
            <w:tcW w:w="920" w:type="dxa"/>
            <w:vAlign w:val="bottom"/>
            <w:gridSpan w:val="16"/>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gridSpan w:val="22"/>
          </w:tcPr>
          <w:p>
            <w:pPr>
              <w:ind w:left="20"/>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shareholders of Connect Topco Limited party</w:t>
              </w:r>
            </w:hyperlink>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6"/>
              </w:rPr>
            </w:pPr>
            <w:hyperlink r:id="rId88">
              <w:r>
                <w:rPr>
                  <w:rFonts w:ascii="Arial" w:cs="Arial" w:eastAsia="Arial" w:hAnsi="Arial"/>
                  <w:sz w:val="18"/>
                  <w:szCs w:val="18"/>
                  <w:color w:val="0000EE"/>
                  <w:w w:val="96"/>
                </w:rPr>
                <w:t>thereto</w:t>
              </w:r>
            </w:hyperlink>
          </w:p>
        </w:tc>
        <w:tc>
          <w:tcPr>
            <w:tcW w:w="3000" w:type="dxa"/>
            <w:vAlign w:val="bottom"/>
            <w:tcBorders>
              <w:top w:val="single" w:sz="8" w:color="0000EE"/>
            </w:tcBorders>
            <w:gridSpan w:val="8"/>
          </w:tcPr>
          <w:p>
            <w:pPr>
              <w:spacing w:after="0"/>
              <w:rPr>
                <w:sz w:val="15"/>
                <w:szCs w:val="15"/>
                <w:color w:val="auto"/>
              </w:rPr>
            </w:pPr>
          </w:p>
        </w:tc>
        <w:tc>
          <w:tcPr>
            <w:tcW w:w="640" w:type="dxa"/>
            <w:vAlign w:val="bottom"/>
            <w:gridSpan w:val="12"/>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ind w:left="5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4040" w:type="dxa"/>
            <w:vAlign w:val="bottom"/>
            <w:tcBorders>
              <w:bottom w:val="single" w:sz="8" w:color="0000EE"/>
            </w:tcBorders>
            <w:gridSpan w:val="18"/>
          </w:tcPr>
          <w:p>
            <w:pPr>
              <w:ind w:left="20"/>
              <w:spacing w:after="0"/>
              <w:rPr>
                <w:rFonts w:ascii="Arial" w:cs="Arial" w:eastAsia="Arial" w:hAnsi="Arial"/>
                <w:sz w:val="18"/>
                <w:szCs w:val="18"/>
                <w:color w:val="0000EE"/>
                <w:w w:val="99"/>
              </w:rPr>
            </w:pPr>
            <w:hyperlink r:id="rId89">
              <w:r>
                <w:rPr>
                  <w:rFonts w:ascii="Arial" w:cs="Arial" w:eastAsia="Arial" w:hAnsi="Arial"/>
                  <w:sz w:val="18"/>
                  <w:szCs w:val="18"/>
                  <w:color w:val="0000EE"/>
                  <w:w w:val="99"/>
                </w:rPr>
                <w:t>Form of Voting and Support Agreement (executive</w:t>
              </w:r>
            </w:hyperlink>
          </w:p>
        </w:tc>
        <w:tc>
          <w:tcPr>
            <w:tcW w:w="180" w:type="dxa"/>
            <w:vAlign w:val="bottom"/>
            <w:gridSpan w:val="4"/>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260" w:type="dxa"/>
            <w:vAlign w:val="bottom"/>
          </w:tcPr>
          <w:p>
            <w:pPr>
              <w:jc w:val="center"/>
              <w:ind w:left="35"/>
              <w:spacing w:after="0"/>
              <w:rPr>
                <w:sz w:val="20"/>
                <w:szCs w:val="20"/>
                <w:color w:val="auto"/>
              </w:rPr>
            </w:pPr>
            <w:r>
              <w:rPr>
                <w:rFonts w:ascii="Arial" w:cs="Arial" w:eastAsia="Arial" w:hAnsi="Arial"/>
                <w:sz w:val="18"/>
                <w:szCs w:val="18"/>
                <w:color w:val="auto"/>
                <w:w w:val="99"/>
              </w:rPr>
              <w:t>000-21767</w:t>
            </w:r>
          </w:p>
        </w:tc>
        <w:tc>
          <w:tcPr>
            <w:tcW w:w="60" w:type="dxa"/>
            <w:vAlign w:val="bottom"/>
          </w:tcPr>
          <w:p>
            <w:pPr>
              <w:spacing w:after="0"/>
              <w:rPr>
                <w:sz w:val="24"/>
                <w:szCs w:val="24"/>
                <w:color w:val="auto"/>
              </w:rPr>
            </w:pPr>
          </w:p>
        </w:tc>
        <w:tc>
          <w:tcPr>
            <w:tcW w:w="920" w:type="dxa"/>
            <w:vAlign w:val="bottom"/>
          </w:tcPr>
          <w:p>
            <w:pPr>
              <w:jc w:val="center"/>
              <w:ind w:left="53"/>
              <w:spacing w:after="0"/>
              <w:rPr>
                <w:sz w:val="20"/>
                <w:szCs w:val="20"/>
                <w:color w:val="auto"/>
              </w:rPr>
            </w:pPr>
            <w:r>
              <w:rPr>
                <w:rFonts w:ascii="Arial" w:cs="Arial" w:eastAsia="Arial" w:hAnsi="Arial"/>
                <w:sz w:val="18"/>
                <w:szCs w:val="18"/>
                <w:color w:val="auto"/>
                <w:w w:val="96"/>
              </w:rPr>
              <w:t>10.2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11/08/2021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Borders>
              <w:bottom w:val="single" w:sz="8" w:color="0000EE"/>
            </w:tcBorders>
            <w:gridSpan w:val="3"/>
          </w:tcPr>
          <w:p>
            <w:pPr>
              <w:ind w:left="20"/>
              <w:spacing w:after="0" w:line="182" w:lineRule="exact"/>
              <w:rPr>
                <w:rFonts w:ascii="Arial" w:cs="Arial" w:eastAsia="Arial" w:hAnsi="Arial"/>
                <w:sz w:val="18"/>
                <w:szCs w:val="18"/>
                <w:color w:val="0000EE"/>
                <w:w w:val="98"/>
              </w:rPr>
            </w:pPr>
            <w:hyperlink r:id="rId89">
              <w:r>
                <w:rPr>
                  <w:rFonts w:ascii="Arial" w:cs="Arial" w:eastAsia="Arial" w:hAnsi="Arial"/>
                  <w:sz w:val="18"/>
                  <w:szCs w:val="18"/>
                  <w:color w:val="0000EE"/>
                  <w:w w:val="98"/>
                </w:rPr>
                <w:t>officers and directors)</w:t>
              </w:r>
            </w:hyperlink>
          </w:p>
        </w:tc>
        <w:tc>
          <w:tcPr>
            <w:tcW w:w="2480" w:type="dxa"/>
            <w:vAlign w:val="bottom"/>
            <w:gridSpan w:val="19"/>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ind w:left="32"/>
              <w:spacing w:after="0"/>
              <w:rPr>
                <w:sz w:val="20"/>
                <w:szCs w:val="20"/>
                <w:color w:val="auto"/>
              </w:rPr>
            </w:pPr>
            <w:r>
              <w:rPr>
                <w:rFonts w:ascii="Arial" w:cs="Arial" w:eastAsia="Arial" w:hAnsi="Arial"/>
                <w:sz w:val="18"/>
                <w:szCs w:val="18"/>
                <w:color w:val="auto"/>
                <w:w w:val="99"/>
              </w:rPr>
              <w:t>10.3*</w:t>
            </w:r>
          </w:p>
        </w:tc>
        <w:tc>
          <w:tcPr>
            <w:tcW w:w="140" w:type="dxa"/>
            <w:vAlign w:val="bottom"/>
          </w:tcPr>
          <w:p>
            <w:pPr>
              <w:spacing w:after="0"/>
              <w:rPr>
                <w:sz w:val="24"/>
                <w:szCs w:val="24"/>
                <w:color w:val="auto"/>
              </w:rPr>
            </w:pPr>
          </w:p>
        </w:tc>
        <w:tc>
          <w:tcPr>
            <w:tcW w:w="4060" w:type="dxa"/>
            <w:vAlign w:val="bottom"/>
            <w:tcBorders>
              <w:bottom w:val="single" w:sz="8" w:color="0000EE"/>
            </w:tcBorders>
            <w:gridSpan w:val="19"/>
          </w:tcPr>
          <w:p>
            <w:pPr>
              <w:ind w:left="20"/>
              <w:spacing w:after="0"/>
              <w:rPr>
                <w:rFonts w:ascii="Arial" w:cs="Arial" w:eastAsia="Arial" w:hAnsi="Arial"/>
                <w:sz w:val="18"/>
                <w:szCs w:val="18"/>
                <w:color w:val="0000EE"/>
                <w:w w:val="99"/>
              </w:rPr>
            </w:pPr>
            <w:hyperlink r:id="rId90">
              <w:r>
                <w:rPr>
                  <w:rFonts w:ascii="Arial" w:cs="Arial" w:eastAsia="Arial" w:hAnsi="Arial"/>
                  <w:sz w:val="18"/>
                  <w:szCs w:val="18"/>
                  <w:color w:val="0000EE"/>
                  <w:w w:val="99"/>
                </w:rPr>
                <w:t>Stockholders Agreement, dated as of November 8,</w:t>
              </w:r>
            </w:hyperlink>
          </w:p>
        </w:tc>
        <w:tc>
          <w:tcPr>
            <w:tcW w:w="160" w:type="dxa"/>
            <w:vAlign w:val="bottom"/>
            <w:gridSpan w:val="3"/>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260" w:type="dxa"/>
            <w:vAlign w:val="bottom"/>
          </w:tcPr>
          <w:p>
            <w:pPr>
              <w:jc w:val="center"/>
              <w:ind w:left="35"/>
              <w:spacing w:after="0"/>
              <w:rPr>
                <w:sz w:val="20"/>
                <w:szCs w:val="20"/>
                <w:color w:val="auto"/>
              </w:rPr>
            </w:pPr>
            <w:r>
              <w:rPr>
                <w:rFonts w:ascii="Arial" w:cs="Arial" w:eastAsia="Arial" w:hAnsi="Arial"/>
                <w:sz w:val="18"/>
                <w:szCs w:val="18"/>
                <w:color w:val="auto"/>
                <w:w w:val="99"/>
              </w:rPr>
              <w:t>000-21767</w:t>
            </w:r>
          </w:p>
        </w:tc>
        <w:tc>
          <w:tcPr>
            <w:tcW w:w="60" w:type="dxa"/>
            <w:vAlign w:val="bottom"/>
          </w:tcPr>
          <w:p>
            <w:pPr>
              <w:spacing w:after="0"/>
              <w:rPr>
                <w:sz w:val="24"/>
                <w:szCs w:val="24"/>
                <w:color w:val="auto"/>
              </w:rPr>
            </w:pPr>
          </w:p>
        </w:tc>
        <w:tc>
          <w:tcPr>
            <w:tcW w:w="920" w:type="dxa"/>
            <w:vAlign w:val="bottom"/>
          </w:tcPr>
          <w:p>
            <w:pPr>
              <w:jc w:val="center"/>
              <w:ind w:left="53"/>
              <w:spacing w:after="0"/>
              <w:rPr>
                <w:sz w:val="20"/>
                <w:szCs w:val="20"/>
                <w:color w:val="auto"/>
              </w:rPr>
            </w:pPr>
            <w:r>
              <w:rPr>
                <w:rFonts w:ascii="Arial" w:cs="Arial" w:eastAsia="Arial" w:hAnsi="Arial"/>
                <w:sz w:val="18"/>
                <w:szCs w:val="18"/>
                <w:color w:val="auto"/>
                <w:w w:val="96"/>
              </w:rPr>
              <w:t>10.3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11/08/2021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tcBorders>
              <w:bottom w:val="single" w:sz="8" w:color="0000EE"/>
            </w:tcBorders>
            <w:gridSpan w:val="5"/>
          </w:tcPr>
          <w:p>
            <w:pPr>
              <w:ind w:left="20"/>
              <w:spacing w:after="0" w:line="182" w:lineRule="exact"/>
              <w:rPr>
                <w:rFonts w:ascii="Arial" w:cs="Arial" w:eastAsia="Arial" w:hAnsi="Arial"/>
                <w:sz w:val="18"/>
                <w:szCs w:val="18"/>
                <w:color w:val="0000EE"/>
                <w:w w:val="98"/>
              </w:rPr>
            </w:pPr>
            <w:hyperlink r:id="rId90">
              <w:r>
                <w:rPr>
                  <w:rFonts w:ascii="Arial" w:cs="Arial" w:eastAsia="Arial" w:hAnsi="Arial"/>
                  <w:sz w:val="18"/>
                  <w:szCs w:val="18"/>
                  <w:color w:val="0000EE"/>
                  <w:w w:val="98"/>
                </w:rPr>
                <w:t>2021, by and among Viasat, Inc. and the</w:t>
              </w:r>
            </w:hyperlink>
          </w:p>
        </w:tc>
        <w:tc>
          <w:tcPr>
            <w:tcW w:w="980" w:type="dxa"/>
            <w:vAlign w:val="bottom"/>
            <w:gridSpan w:val="17"/>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gridSpan w:val="22"/>
          </w:tcPr>
          <w:p>
            <w:pPr>
              <w:ind w:left="20"/>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shareholders of Connect Topco Limited party</w:t>
              </w:r>
            </w:hyperlink>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6"/>
              </w:rPr>
            </w:pPr>
            <w:hyperlink r:id="rId90">
              <w:r>
                <w:rPr>
                  <w:rFonts w:ascii="Arial" w:cs="Arial" w:eastAsia="Arial" w:hAnsi="Arial"/>
                  <w:sz w:val="18"/>
                  <w:szCs w:val="18"/>
                  <w:color w:val="0000EE"/>
                  <w:w w:val="96"/>
                </w:rPr>
                <w:t>thereto</w:t>
              </w:r>
            </w:hyperlink>
          </w:p>
        </w:tc>
        <w:tc>
          <w:tcPr>
            <w:tcW w:w="3000" w:type="dxa"/>
            <w:vAlign w:val="bottom"/>
            <w:tcBorders>
              <w:top w:val="single" w:sz="8" w:color="0000EE"/>
            </w:tcBorders>
            <w:gridSpan w:val="8"/>
          </w:tcPr>
          <w:p>
            <w:pPr>
              <w:spacing w:after="0"/>
              <w:rPr>
                <w:sz w:val="15"/>
                <w:szCs w:val="15"/>
                <w:color w:val="auto"/>
              </w:rPr>
            </w:pPr>
          </w:p>
        </w:tc>
        <w:tc>
          <w:tcPr>
            <w:tcW w:w="640" w:type="dxa"/>
            <w:vAlign w:val="bottom"/>
            <w:gridSpan w:val="12"/>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ind w:left="52"/>
              <w:spacing w:after="0"/>
              <w:rPr>
                <w:sz w:val="20"/>
                <w:szCs w:val="20"/>
                <w:color w:val="auto"/>
              </w:rPr>
            </w:pPr>
            <w:r>
              <w:rPr>
                <w:rFonts w:ascii="Arial" w:cs="Arial" w:eastAsia="Arial" w:hAnsi="Arial"/>
                <w:sz w:val="18"/>
                <w:szCs w:val="18"/>
                <w:color w:val="auto"/>
                <w:w w:val="97"/>
              </w:rPr>
              <w:t>10.4**</w:t>
            </w:r>
          </w:p>
        </w:tc>
        <w:tc>
          <w:tcPr>
            <w:tcW w:w="140" w:type="dxa"/>
            <w:vAlign w:val="bottom"/>
          </w:tcPr>
          <w:p>
            <w:pPr>
              <w:spacing w:after="0"/>
              <w:rPr>
                <w:sz w:val="24"/>
                <w:szCs w:val="24"/>
                <w:color w:val="auto"/>
              </w:rPr>
            </w:pPr>
          </w:p>
        </w:tc>
        <w:tc>
          <w:tcPr>
            <w:tcW w:w="4220" w:type="dxa"/>
            <w:vAlign w:val="bottom"/>
            <w:gridSpan w:val="22"/>
          </w:tcPr>
          <w:p>
            <w:pPr>
              <w:ind w:left="20"/>
              <w:spacing w:after="0"/>
              <w:rPr>
                <w:rFonts w:ascii="Arial" w:cs="Arial" w:eastAsia="Arial" w:hAnsi="Arial"/>
                <w:sz w:val="18"/>
                <w:szCs w:val="18"/>
                <w:color w:val="0000EE"/>
              </w:rPr>
            </w:pPr>
            <w:hyperlink r:id="rId91">
              <w:r>
                <w:rPr>
                  <w:rFonts w:ascii="Arial" w:cs="Arial" w:eastAsia="Arial" w:hAnsi="Arial"/>
                  <w:sz w:val="18"/>
                  <w:szCs w:val="18"/>
                  <w:color w:val="0000EE"/>
                </w:rPr>
                <w:t>1996 Equity Participation Plan of Viasat, Inc. (As</w:t>
              </w:r>
            </w:hyperlink>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260" w:type="dxa"/>
            <w:vAlign w:val="bottom"/>
          </w:tcPr>
          <w:p>
            <w:pPr>
              <w:jc w:val="center"/>
              <w:ind w:left="35"/>
              <w:spacing w:after="0"/>
              <w:rPr>
                <w:sz w:val="20"/>
                <w:szCs w:val="20"/>
                <w:color w:val="auto"/>
              </w:rPr>
            </w:pPr>
            <w:r>
              <w:rPr>
                <w:rFonts w:ascii="Arial" w:cs="Arial" w:eastAsia="Arial" w:hAnsi="Arial"/>
                <w:sz w:val="18"/>
                <w:szCs w:val="18"/>
                <w:color w:val="auto"/>
                <w:w w:val="99"/>
              </w:rPr>
              <w:t>000-21767</w:t>
            </w:r>
          </w:p>
        </w:tc>
        <w:tc>
          <w:tcPr>
            <w:tcW w:w="60" w:type="dxa"/>
            <w:vAlign w:val="bottom"/>
          </w:tcPr>
          <w:p>
            <w:pPr>
              <w:spacing w:after="0"/>
              <w:rPr>
                <w:sz w:val="24"/>
                <w:szCs w:val="24"/>
                <w:color w:val="auto"/>
              </w:rPr>
            </w:pPr>
          </w:p>
        </w:tc>
        <w:tc>
          <w:tcPr>
            <w:tcW w:w="920" w:type="dxa"/>
            <w:vAlign w:val="bottom"/>
          </w:tcPr>
          <w:p>
            <w:pPr>
              <w:jc w:val="center"/>
              <w:ind w:left="53"/>
              <w:spacing w:after="0"/>
              <w:rPr>
                <w:sz w:val="20"/>
                <w:szCs w:val="20"/>
                <w:color w:val="auto"/>
              </w:rPr>
            </w:pPr>
            <w:r>
              <w:rPr>
                <w:rFonts w:ascii="Arial" w:cs="Arial" w:eastAsia="Arial" w:hAnsi="Arial"/>
                <w:sz w:val="18"/>
                <w:szCs w:val="18"/>
                <w:color w:val="auto"/>
                <w:w w:val="96"/>
              </w:rPr>
              <w:t>10.1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09/03/2021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60" w:type="dxa"/>
            <w:vAlign w:val="bottom"/>
            <w:tcBorders>
              <w:top w:val="single" w:sz="8" w:color="0000EE"/>
            </w:tcBorders>
            <w:gridSpan w:val="14"/>
          </w:tcPr>
          <w:p>
            <w:pPr>
              <w:ind w:left="20"/>
              <w:spacing w:after="0" w:line="182" w:lineRule="exact"/>
              <w:rPr>
                <w:rFonts w:ascii="Arial" w:cs="Arial" w:eastAsia="Arial" w:hAnsi="Arial"/>
                <w:sz w:val="18"/>
                <w:szCs w:val="18"/>
                <w:color w:val="0000EE"/>
              </w:rPr>
            </w:pPr>
            <w:hyperlink r:id="rId91">
              <w:r>
                <w:rPr>
                  <w:rFonts w:ascii="Arial" w:cs="Arial" w:eastAsia="Arial" w:hAnsi="Arial"/>
                  <w:sz w:val="18"/>
                  <w:szCs w:val="18"/>
                  <w:color w:val="0000EE"/>
                </w:rPr>
                <w:t>Amended and Restated Effective September 2,</w:t>
              </w:r>
            </w:hyperlink>
          </w:p>
        </w:tc>
        <w:tc>
          <w:tcPr>
            <w:tcW w:w="360" w:type="dxa"/>
            <w:vAlign w:val="bottom"/>
            <w:gridSpan w:val="8"/>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top w:val="single" w:sz="8" w:color="0000EE"/>
              <w:bottom w:val="single" w:sz="8" w:color="0000EE"/>
            </w:tcBorders>
          </w:tcPr>
          <w:p>
            <w:pPr>
              <w:ind w:left="20"/>
              <w:spacing w:after="0" w:line="182"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2021)</w:t>
              </w:r>
            </w:hyperlink>
          </w:p>
        </w:tc>
        <w:tc>
          <w:tcPr>
            <w:tcW w:w="10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ind w:left="52"/>
              <w:spacing w:after="0"/>
              <w:rPr>
                <w:sz w:val="20"/>
                <w:szCs w:val="20"/>
                <w:color w:val="auto"/>
              </w:rPr>
            </w:pPr>
            <w:r>
              <w:rPr>
                <w:rFonts w:ascii="Arial" w:cs="Arial" w:eastAsia="Arial" w:hAnsi="Arial"/>
                <w:sz w:val="18"/>
                <w:szCs w:val="18"/>
                <w:color w:val="auto"/>
                <w:w w:val="97"/>
              </w:rPr>
              <w:t>10.5**</w:t>
            </w:r>
          </w:p>
        </w:tc>
        <w:tc>
          <w:tcPr>
            <w:tcW w:w="140" w:type="dxa"/>
            <w:vAlign w:val="bottom"/>
          </w:tcPr>
          <w:p>
            <w:pPr>
              <w:spacing w:after="0"/>
              <w:rPr>
                <w:sz w:val="24"/>
                <w:szCs w:val="24"/>
                <w:color w:val="auto"/>
              </w:rPr>
            </w:pPr>
          </w:p>
        </w:tc>
        <w:tc>
          <w:tcPr>
            <w:tcW w:w="4220" w:type="dxa"/>
            <w:vAlign w:val="bottom"/>
            <w:gridSpan w:val="22"/>
          </w:tcPr>
          <w:p>
            <w:pPr>
              <w:ind w:left="20"/>
              <w:spacing w:after="0"/>
              <w:rPr>
                <w:rFonts w:ascii="Arial" w:cs="Arial" w:eastAsia="Arial" w:hAnsi="Arial"/>
                <w:sz w:val="18"/>
                <w:szCs w:val="18"/>
                <w:color w:val="0000EE"/>
              </w:rPr>
            </w:pPr>
            <w:hyperlink r:id="rId92">
              <w:r>
                <w:rPr>
                  <w:rFonts w:ascii="Arial" w:cs="Arial" w:eastAsia="Arial" w:hAnsi="Arial"/>
                  <w:sz w:val="18"/>
                  <w:szCs w:val="18"/>
                  <w:color w:val="0000EE"/>
                </w:rPr>
                <w:t>Viasat, Inc. Employee Stock Purchase Plan (As</w:t>
              </w:r>
            </w:hyperlink>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260" w:type="dxa"/>
            <w:vAlign w:val="bottom"/>
          </w:tcPr>
          <w:p>
            <w:pPr>
              <w:jc w:val="center"/>
              <w:ind w:left="35"/>
              <w:spacing w:after="0"/>
              <w:rPr>
                <w:sz w:val="20"/>
                <w:szCs w:val="20"/>
                <w:color w:val="auto"/>
              </w:rPr>
            </w:pPr>
            <w:r>
              <w:rPr>
                <w:rFonts w:ascii="Arial" w:cs="Arial" w:eastAsia="Arial" w:hAnsi="Arial"/>
                <w:sz w:val="18"/>
                <w:szCs w:val="18"/>
                <w:color w:val="auto"/>
                <w:w w:val="99"/>
              </w:rPr>
              <w:t>000-21767</w:t>
            </w:r>
          </w:p>
        </w:tc>
        <w:tc>
          <w:tcPr>
            <w:tcW w:w="60" w:type="dxa"/>
            <w:vAlign w:val="bottom"/>
          </w:tcPr>
          <w:p>
            <w:pPr>
              <w:spacing w:after="0"/>
              <w:rPr>
                <w:sz w:val="24"/>
                <w:szCs w:val="24"/>
                <w:color w:val="auto"/>
              </w:rPr>
            </w:pPr>
          </w:p>
        </w:tc>
        <w:tc>
          <w:tcPr>
            <w:tcW w:w="920" w:type="dxa"/>
            <w:vAlign w:val="bottom"/>
          </w:tcPr>
          <w:p>
            <w:pPr>
              <w:jc w:val="center"/>
              <w:ind w:left="53"/>
              <w:spacing w:after="0"/>
              <w:rPr>
                <w:sz w:val="20"/>
                <w:szCs w:val="20"/>
                <w:color w:val="auto"/>
              </w:rPr>
            </w:pPr>
            <w:r>
              <w:rPr>
                <w:rFonts w:ascii="Arial" w:cs="Arial" w:eastAsia="Arial" w:hAnsi="Arial"/>
                <w:sz w:val="18"/>
                <w:szCs w:val="18"/>
                <w:color w:val="auto"/>
                <w:w w:val="96"/>
              </w:rPr>
              <w:t>10.2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09/03/2021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13"/>
          </w:tcPr>
          <w:p>
            <w:pPr>
              <w:ind w:left="20"/>
              <w:spacing w:after="0" w:line="182" w:lineRule="exact"/>
              <w:rPr>
                <w:rFonts w:ascii="Arial" w:cs="Arial" w:eastAsia="Arial" w:hAnsi="Arial"/>
                <w:sz w:val="18"/>
                <w:szCs w:val="18"/>
                <w:color w:val="0000EE"/>
                <w:w w:val="99"/>
              </w:rPr>
            </w:pPr>
            <w:hyperlink r:id="rId92">
              <w:r>
                <w:rPr>
                  <w:rFonts w:ascii="Arial" w:cs="Arial" w:eastAsia="Arial" w:hAnsi="Arial"/>
                  <w:sz w:val="18"/>
                  <w:szCs w:val="18"/>
                  <w:color w:val="0000EE"/>
                  <w:w w:val="99"/>
                </w:rPr>
                <w:t>Amended and Restated Effective September 2,</w:t>
              </w:r>
            </w:hyperlink>
          </w:p>
        </w:tc>
        <w:tc>
          <w:tcPr>
            <w:tcW w:w="440" w:type="dxa"/>
            <w:vAlign w:val="bottom"/>
            <w:gridSpan w:val="9"/>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0000EE"/>
            </w:tcBorders>
          </w:tcPr>
          <w:p>
            <w:pPr>
              <w:ind w:left="20"/>
              <w:spacing w:after="0" w:line="182" w:lineRule="exact"/>
              <w:rPr>
                <w:rFonts w:ascii="Arial" w:cs="Arial" w:eastAsia="Arial" w:hAnsi="Arial"/>
                <w:sz w:val="18"/>
                <w:szCs w:val="18"/>
                <w:color w:val="0000EE"/>
                <w:w w:val="95"/>
              </w:rPr>
            </w:pPr>
            <w:hyperlink r:id="rId92">
              <w:r>
                <w:rPr>
                  <w:rFonts w:ascii="Arial" w:cs="Arial" w:eastAsia="Arial" w:hAnsi="Arial"/>
                  <w:sz w:val="18"/>
                  <w:szCs w:val="18"/>
                  <w:color w:val="0000EE"/>
                  <w:w w:val="95"/>
                </w:rPr>
                <w:t>2021)</w:t>
              </w:r>
            </w:hyperlink>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ind w:left="5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4020" w:type="dxa"/>
            <w:vAlign w:val="bottom"/>
            <w:tcBorders>
              <w:bottom w:val="single" w:sz="8" w:color="0000EE"/>
            </w:tcBorders>
            <w:gridSpan w:val="17"/>
          </w:tcPr>
          <w:p>
            <w:pPr>
              <w:ind w:left="20"/>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Certification of Chief Executive Officer Pursuant to</w:t>
              </w:r>
            </w:hyperlink>
          </w:p>
        </w:tc>
        <w:tc>
          <w:tcPr>
            <w:tcW w:w="20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gridSpan w:val="22"/>
          </w:tcPr>
          <w:p>
            <w:pPr>
              <w:ind w:left="20"/>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Section 302 of the Sarbanes-Oxley Act of 2002</w:t>
              </w:r>
            </w:hyperlink>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jc w:val="center"/>
              <w:ind w:left="5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4220" w:type="dxa"/>
            <w:vAlign w:val="bottom"/>
            <w:gridSpan w:val="22"/>
          </w:tcPr>
          <w:p>
            <w:pPr>
              <w:ind w:left="20"/>
              <w:spacing w:after="0"/>
              <w:rPr>
                <w:rFonts w:ascii="Arial" w:cs="Arial" w:eastAsia="Arial" w:hAnsi="Arial"/>
                <w:sz w:val="18"/>
                <w:szCs w:val="18"/>
                <w:color w:val="0000EE"/>
              </w:rPr>
            </w:pPr>
            <w:hyperlink w:anchor="page69">
              <w:r>
                <w:rPr>
                  <w:rFonts w:ascii="Arial" w:cs="Arial" w:eastAsia="Arial" w:hAnsi="Arial"/>
                  <w:sz w:val="18"/>
                  <w:szCs w:val="18"/>
                  <w:color w:val="0000EE"/>
                </w:rPr>
                <w:t>Certification of Chief Financial Officer Pursuant to</w:t>
              </w:r>
            </w:hyperlink>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40" w:type="dxa"/>
            <w:vAlign w:val="bottom"/>
            <w:tcBorders>
              <w:top w:val="single" w:sz="8" w:color="0000EE"/>
            </w:tcBorders>
            <w:gridSpan w:val="15"/>
          </w:tcPr>
          <w:p>
            <w:pPr>
              <w:ind w:left="20"/>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Section 302 of the Sarbanes-Oxley Act of 2002</w:t>
              </w:r>
            </w:hyperlink>
          </w:p>
        </w:tc>
        <w:tc>
          <w:tcPr>
            <w:tcW w:w="28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jc w:val="center"/>
              <w:ind w:left="5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4220" w:type="dxa"/>
            <w:vAlign w:val="bottom"/>
            <w:gridSpan w:val="22"/>
          </w:tcPr>
          <w:p>
            <w:pPr>
              <w:ind w:left="20"/>
              <w:spacing w:after="0"/>
              <w:rPr>
                <w:rFonts w:ascii="Arial" w:cs="Arial" w:eastAsia="Arial" w:hAnsi="Arial"/>
                <w:sz w:val="18"/>
                <w:szCs w:val="18"/>
                <w:color w:val="0000EE"/>
              </w:rPr>
            </w:pPr>
            <w:hyperlink w:anchor="page70">
              <w:r>
                <w:rPr>
                  <w:rFonts w:ascii="Arial" w:cs="Arial" w:eastAsia="Arial" w:hAnsi="Arial"/>
                  <w:sz w:val="18"/>
                  <w:szCs w:val="18"/>
                  <w:color w:val="0000EE"/>
                </w:rPr>
                <w:t>Certifications Pursuant to 18 U.S.C. Section 1350,</w:t>
              </w:r>
            </w:hyperlink>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7"/>
          </w:tcPr>
          <w:p>
            <w:pPr>
              <w:ind w:left="20"/>
              <w:spacing w:after="0" w:line="18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as Adopted Pursuant to Section 906 of the</w:t>
              </w:r>
            </w:hyperlink>
          </w:p>
        </w:tc>
        <w:tc>
          <w:tcPr>
            <w:tcW w:w="600" w:type="dxa"/>
            <w:vAlign w:val="bottom"/>
            <w:tcBorders>
              <w:top w:val="single" w:sz="8" w:color="0000EE"/>
            </w:tcBorders>
            <w:gridSpan w:val="9"/>
          </w:tcPr>
          <w:p>
            <w:pPr>
              <w:spacing w:after="0"/>
              <w:rPr>
                <w:sz w:val="15"/>
                <w:szCs w:val="15"/>
                <w:color w:val="auto"/>
              </w:rPr>
            </w:pPr>
          </w:p>
        </w:tc>
        <w:tc>
          <w:tcPr>
            <w:tcW w:w="22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gridSpan w:val="22"/>
          </w:tcPr>
          <w:p>
            <w:pPr>
              <w:ind w:left="20"/>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Sarbanes-Oxley Act of 2002</w:t>
              </w:r>
            </w:hyperlink>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960" w:type="dxa"/>
            <w:vAlign w:val="bottom"/>
            <w:gridSpan w:val="1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240" w:type="dxa"/>
            <w:vAlign w:val="bottom"/>
            <w:gridSpan w:val="2"/>
          </w:tcPr>
          <w:p>
            <w:pPr>
              <w:ind w:left="300"/>
              <w:spacing w:after="0"/>
              <w:rPr>
                <w:sz w:val="20"/>
                <w:szCs w:val="20"/>
                <w:color w:val="auto"/>
              </w:rPr>
            </w:pPr>
            <w:r>
              <w:rPr>
                <w:rFonts w:ascii="Arial" w:cs="Arial" w:eastAsia="Arial" w:hAnsi="Arial"/>
                <w:sz w:val="18"/>
                <w:szCs w:val="18"/>
                <w:color w:val="auto"/>
              </w:rPr>
              <w:t>101.INS</w:t>
            </w:r>
          </w:p>
        </w:tc>
        <w:tc>
          <w:tcPr>
            <w:tcW w:w="4220" w:type="dxa"/>
            <w:vAlign w:val="bottom"/>
            <w:gridSpan w:val="22"/>
          </w:tcPr>
          <w:p>
            <w:pPr>
              <w:ind w:left="20"/>
              <w:spacing w:after="0"/>
              <w:rPr>
                <w:sz w:val="20"/>
                <w:szCs w:val="20"/>
                <w:color w:val="auto"/>
              </w:rPr>
            </w:pPr>
            <w:r>
              <w:rPr>
                <w:rFonts w:ascii="Arial" w:cs="Arial" w:eastAsia="Arial" w:hAnsi="Arial"/>
                <w:sz w:val="18"/>
                <w:szCs w:val="18"/>
                <w:color w:val="auto"/>
              </w:rPr>
              <w:t>Inline XBRL Instance Document - the instance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gridSpan w:val="22"/>
          </w:tcPr>
          <w:p>
            <w:pPr>
              <w:ind w:left="20"/>
              <w:spacing w:after="0" w:line="202" w:lineRule="exact"/>
              <w:rPr>
                <w:sz w:val="20"/>
                <w:szCs w:val="20"/>
                <w:color w:val="auto"/>
              </w:rPr>
            </w:pPr>
            <w:r>
              <w:rPr>
                <w:rFonts w:ascii="Arial" w:cs="Arial" w:eastAsia="Arial" w:hAnsi="Arial"/>
                <w:sz w:val="18"/>
                <w:szCs w:val="18"/>
                <w:color w:val="auto"/>
              </w:rPr>
              <w:t>document does not appear in the Interactive Data</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gridSpan w:val="22"/>
          </w:tcPr>
          <w:p>
            <w:pPr>
              <w:ind w:left="20"/>
              <w:spacing w:after="0" w:line="202" w:lineRule="exact"/>
              <w:rPr>
                <w:sz w:val="20"/>
                <w:szCs w:val="20"/>
                <w:color w:val="auto"/>
              </w:rPr>
            </w:pPr>
            <w:r>
              <w:rPr>
                <w:rFonts w:ascii="Arial" w:cs="Arial" w:eastAsia="Arial" w:hAnsi="Arial"/>
                <w:sz w:val="18"/>
                <w:szCs w:val="18"/>
                <w:color w:val="auto"/>
              </w:rPr>
              <w:t>File because its XBRL tags are embedded within</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20" w:type="dxa"/>
            <w:vAlign w:val="bottom"/>
            <w:gridSpan w:val="22"/>
          </w:tcPr>
          <w:p>
            <w:pPr>
              <w:ind w:left="20"/>
              <w:spacing w:after="0"/>
              <w:rPr>
                <w:sz w:val="20"/>
                <w:szCs w:val="20"/>
                <w:color w:val="auto"/>
              </w:rPr>
            </w:pPr>
            <w:r>
              <w:rPr>
                <w:rFonts w:ascii="Arial" w:cs="Arial" w:eastAsia="Arial" w:hAnsi="Arial"/>
                <w:sz w:val="18"/>
                <w:szCs w:val="18"/>
                <w:color w:val="auto"/>
              </w:rPr>
              <w:t>the inline XBRL document.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ind w:left="260"/>
              <w:spacing w:after="0"/>
              <w:rPr>
                <w:sz w:val="20"/>
                <w:szCs w:val="20"/>
                <w:color w:val="auto"/>
              </w:rPr>
            </w:pPr>
            <w:r>
              <w:rPr>
                <w:rFonts w:ascii="Arial" w:cs="Arial" w:eastAsia="Arial" w:hAnsi="Arial"/>
                <w:sz w:val="18"/>
                <w:szCs w:val="18"/>
                <w:color w:val="auto"/>
              </w:rPr>
              <w:t>101.SCH</w:t>
            </w:r>
          </w:p>
        </w:tc>
        <w:tc>
          <w:tcPr>
            <w:tcW w:w="4220" w:type="dxa"/>
            <w:vAlign w:val="bottom"/>
            <w:gridSpan w:val="22"/>
          </w:tcPr>
          <w:p>
            <w:pPr>
              <w:ind w:left="20"/>
              <w:spacing w:after="0"/>
              <w:rPr>
                <w:sz w:val="20"/>
                <w:szCs w:val="20"/>
                <w:color w:val="auto"/>
              </w:rPr>
            </w:pPr>
            <w:r>
              <w:rPr>
                <w:rFonts w:ascii="Arial" w:cs="Arial" w:eastAsia="Arial" w:hAnsi="Arial"/>
                <w:sz w:val="18"/>
                <w:szCs w:val="18"/>
                <w:color w:val="auto"/>
              </w:rPr>
              <w:t>Inline XBRL Taxonomy Extension Schema</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1240" w:type="dxa"/>
            <w:vAlign w:val="bottom"/>
            <w:gridSpan w:val="2"/>
          </w:tcPr>
          <w:p>
            <w:pPr>
              <w:ind w:left="260"/>
              <w:spacing w:after="0"/>
              <w:rPr>
                <w:sz w:val="20"/>
                <w:szCs w:val="20"/>
                <w:color w:val="auto"/>
              </w:rPr>
            </w:pPr>
            <w:r>
              <w:rPr>
                <w:rFonts w:ascii="Arial" w:cs="Arial" w:eastAsia="Arial" w:hAnsi="Arial"/>
                <w:sz w:val="18"/>
                <w:szCs w:val="18"/>
                <w:color w:val="auto"/>
              </w:rPr>
              <w:t>101.CAL</w:t>
            </w:r>
          </w:p>
        </w:tc>
        <w:tc>
          <w:tcPr>
            <w:tcW w:w="4220" w:type="dxa"/>
            <w:vAlign w:val="bottom"/>
            <w:gridSpan w:val="22"/>
          </w:tcPr>
          <w:p>
            <w:pPr>
              <w:ind w:left="20"/>
              <w:spacing w:after="0"/>
              <w:rPr>
                <w:sz w:val="20"/>
                <w:szCs w:val="20"/>
                <w:color w:val="auto"/>
              </w:rPr>
            </w:pPr>
            <w:r>
              <w:rPr>
                <w:rFonts w:ascii="Arial" w:cs="Arial" w:eastAsia="Arial" w:hAnsi="Arial"/>
                <w:sz w:val="18"/>
                <w:szCs w:val="18"/>
                <w:color w:val="auto"/>
              </w:rPr>
              <w:t>Inline XBRL Taxonomy Extension Calculation</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20" w:type="dxa"/>
            <w:vAlign w:val="bottom"/>
            <w:gridSpan w:val="22"/>
          </w:tcPr>
          <w:p>
            <w:pPr>
              <w:ind w:left="20"/>
              <w:spacing w:after="0"/>
              <w:rPr>
                <w:sz w:val="20"/>
                <w:szCs w:val="20"/>
                <w:color w:val="auto"/>
              </w:rPr>
            </w:pPr>
            <w:r>
              <w:rPr>
                <w:rFonts w:ascii="Arial" w:cs="Arial" w:eastAsia="Arial" w:hAnsi="Arial"/>
                <w:sz w:val="18"/>
                <w:szCs w:val="18"/>
                <w:color w:val="auto"/>
              </w:rPr>
              <w:t>Linkbase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240" w:type="dxa"/>
            <w:vAlign w:val="bottom"/>
            <w:gridSpan w:val="2"/>
          </w:tcPr>
          <w:p>
            <w:pPr>
              <w:ind w:left="260"/>
              <w:spacing w:after="0"/>
              <w:rPr>
                <w:sz w:val="20"/>
                <w:szCs w:val="20"/>
                <w:color w:val="auto"/>
              </w:rPr>
            </w:pPr>
            <w:r>
              <w:rPr>
                <w:rFonts w:ascii="Arial" w:cs="Arial" w:eastAsia="Arial" w:hAnsi="Arial"/>
                <w:sz w:val="18"/>
                <w:szCs w:val="18"/>
                <w:color w:val="auto"/>
              </w:rPr>
              <w:t>101.DEF</w:t>
            </w:r>
          </w:p>
        </w:tc>
        <w:tc>
          <w:tcPr>
            <w:tcW w:w="4220" w:type="dxa"/>
            <w:vAlign w:val="bottom"/>
            <w:gridSpan w:val="22"/>
          </w:tcPr>
          <w:p>
            <w:pPr>
              <w:ind w:left="20"/>
              <w:spacing w:after="0"/>
              <w:rPr>
                <w:sz w:val="20"/>
                <w:szCs w:val="20"/>
                <w:color w:val="auto"/>
              </w:rPr>
            </w:pPr>
            <w:r>
              <w:rPr>
                <w:rFonts w:ascii="Arial" w:cs="Arial" w:eastAsia="Arial" w:hAnsi="Arial"/>
                <w:sz w:val="18"/>
                <w:szCs w:val="18"/>
                <w:color w:val="auto"/>
              </w:rPr>
              <w:t>Inline XBRL Taxonomy Extension Definition</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20" w:type="dxa"/>
            <w:vAlign w:val="bottom"/>
            <w:gridSpan w:val="22"/>
          </w:tcPr>
          <w:p>
            <w:pPr>
              <w:ind w:left="20"/>
              <w:spacing w:after="0"/>
              <w:rPr>
                <w:sz w:val="20"/>
                <w:szCs w:val="20"/>
                <w:color w:val="auto"/>
              </w:rPr>
            </w:pPr>
            <w:r>
              <w:rPr>
                <w:rFonts w:ascii="Arial" w:cs="Arial" w:eastAsia="Arial" w:hAnsi="Arial"/>
                <w:sz w:val="18"/>
                <w:szCs w:val="18"/>
                <w:color w:val="auto"/>
              </w:rPr>
              <w:t>Linkbase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ind w:left="280"/>
              <w:spacing w:after="0"/>
              <w:rPr>
                <w:sz w:val="20"/>
                <w:szCs w:val="20"/>
                <w:color w:val="auto"/>
              </w:rPr>
            </w:pPr>
            <w:r>
              <w:rPr>
                <w:rFonts w:ascii="Arial" w:cs="Arial" w:eastAsia="Arial" w:hAnsi="Arial"/>
                <w:sz w:val="18"/>
                <w:szCs w:val="18"/>
                <w:color w:val="auto"/>
              </w:rPr>
              <w:t>101.LAB</w:t>
            </w:r>
          </w:p>
        </w:tc>
        <w:tc>
          <w:tcPr>
            <w:tcW w:w="4220" w:type="dxa"/>
            <w:vAlign w:val="bottom"/>
            <w:gridSpan w:val="22"/>
          </w:tcPr>
          <w:p>
            <w:pPr>
              <w:ind w:left="20"/>
              <w:spacing w:after="0"/>
              <w:rPr>
                <w:sz w:val="20"/>
                <w:szCs w:val="20"/>
                <w:color w:val="auto"/>
              </w:rPr>
            </w:pPr>
            <w:r>
              <w:rPr>
                <w:rFonts w:ascii="Arial" w:cs="Arial" w:eastAsia="Arial" w:hAnsi="Arial"/>
                <w:sz w:val="18"/>
                <w:szCs w:val="18"/>
                <w:color w:val="auto"/>
              </w:rPr>
              <w:t>Inline XBRL Taxonomy Extension Labels Linkbase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1240" w:type="dxa"/>
            <w:vAlign w:val="bottom"/>
            <w:gridSpan w:val="2"/>
          </w:tcPr>
          <w:p>
            <w:pPr>
              <w:ind w:left="260"/>
              <w:spacing w:after="0"/>
              <w:rPr>
                <w:sz w:val="20"/>
                <w:szCs w:val="20"/>
                <w:color w:val="auto"/>
              </w:rPr>
            </w:pPr>
            <w:r>
              <w:rPr>
                <w:rFonts w:ascii="Arial" w:cs="Arial" w:eastAsia="Arial" w:hAnsi="Arial"/>
                <w:sz w:val="18"/>
                <w:szCs w:val="18"/>
                <w:color w:val="auto"/>
              </w:rPr>
              <w:t>101.PRE</w:t>
            </w:r>
          </w:p>
        </w:tc>
        <w:tc>
          <w:tcPr>
            <w:tcW w:w="4220" w:type="dxa"/>
            <w:vAlign w:val="bottom"/>
            <w:gridSpan w:val="22"/>
          </w:tcPr>
          <w:p>
            <w:pPr>
              <w:ind w:left="20"/>
              <w:spacing w:after="0"/>
              <w:rPr>
                <w:sz w:val="20"/>
                <w:szCs w:val="20"/>
                <w:color w:val="auto"/>
              </w:rPr>
            </w:pPr>
            <w:r>
              <w:rPr>
                <w:rFonts w:ascii="Arial" w:cs="Arial" w:eastAsia="Arial" w:hAnsi="Arial"/>
                <w:sz w:val="18"/>
                <w:szCs w:val="18"/>
                <w:color w:val="auto"/>
              </w:rPr>
              <w:t>Inline XBRL Taxonomy Extension Presentation</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20" w:type="dxa"/>
            <w:vAlign w:val="bottom"/>
            <w:gridSpan w:val="22"/>
          </w:tcPr>
          <w:p>
            <w:pPr>
              <w:ind w:left="20"/>
              <w:spacing w:after="0"/>
              <w:rPr>
                <w:sz w:val="20"/>
                <w:szCs w:val="20"/>
                <w:color w:val="auto"/>
              </w:rPr>
            </w:pPr>
            <w:r>
              <w:rPr>
                <w:rFonts w:ascii="Arial" w:cs="Arial" w:eastAsia="Arial" w:hAnsi="Arial"/>
                <w:sz w:val="18"/>
                <w:szCs w:val="18"/>
                <w:color w:val="auto"/>
              </w:rPr>
              <w:t>Linkbase</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right"/>
              <w:ind w:right="452"/>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5"/>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29"/>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4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416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tcPr>
          <w:p>
            <w:pPr>
              <w:spacing w:after="0"/>
              <w:rPr>
                <w:sz w:val="15"/>
                <w:szCs w:val="15"/>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Form</w:t>
            </w:r>
          </w:p>
        </w:tc>
        <w:tc>
          <w:tcPr>
            <w:tcW w:w="1320" w:type="dxa"/>
            <w:vAlign w:val="bottom"/>
          </w:tcPr>
          <w:p>
            <w:pPr>
              <w:ind w:left="480"/>
              <w:spacing w:after="0"/>
              <w:rPr>
                <w:sz w:val="20"/>
                <w:szCs w:val="20"/>
                <w:color w:val="auto"/>
              </w:rPr>
            </w:pPr>
            <w:r>
              <w:rPr>
                <w:rFonts w:ascii="Arial" w:cs="Arial" w:eastAsia="Arial" w:hAnsi="Arial"/>
                <w:sz w:val="14"/>
                <w:szCs w:val="14"/>
                <w:b w:val="1"/>
                <w:bCs w:val="1"/>
                <w:color w:val="auto"/>
              </w:rPr>
              <w:t>File No.</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Filing Date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17"/>
        </w:trPr>
        <w:tc>
          <w:tcPr>
            <w:tcW w:w="1100" w:type="dxa"/>
            <w:vAlign w:val="bottom"/>
          </w:tcPr>
          <w:p>
            <w:pPr>
              <w:jc w:val="right"/>
              <w:ind w:right="262"/>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(formatted as</w:t>
            </w: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inline XBRL and contained in Exhibit 101)</w:t>
            </w: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right="300" w:hanging="492"/>
        <w:spacing w:after="0" w:line="253"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schedules to this Exhibit omitted pursuant to Regulation S-K Item 601(b)(2) or 601(a)(5) (as applicable). The registrant agrees to furnish supplementally a copy of any omitted schedule or exhibit to the SEC upon request; provided, however, that the registrant may request confidential treatment pursuant to Rule 24b-2 of the Exchange Act for any document so furnished.</w:t>
      </w:r>
    </w:p>
    <w:p>
      <w:pPr>
        <w:spacing w:after="0" w:line="5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Indicates management contract, compensatory plan or arrangement.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6" w:name="page67"/>
    <w:bookmarkEnd w:id="66"/>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November 9, 2021</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ICHARD</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Richard Baldridge</w:t>
      </w:r>
    </w:p>
    <w:p>
      <w:pPr>
        <w:ind w:left="57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Shawn Duffy</w:t>
      </w:r>
    </w:p>
    <w:p>
      <w:pPr>
        <w:ind w:left="574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840"/>
          </w:cols>
          <w:pgMar w:left="320" w:top="535" w:right="7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Richard Baldridge, Chief Executive Officer of Viasat, Inc., certify that:</w:t>
      </w:r>
    </w:p>
    <w:p>
      <w:pPr>
        <w:spacing w:after="0" w:line="104"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ICHARD</w:t>
      </w:r>
      <w:r>
        <w:rPr>
          <w:rFonts w:ascii="Arial" w:cs="Arial" w:eastAsia="Arial" w:hAnsi="Arial"/>
          <w:sz w:val="18"/>
          <w:szCs w:val="18"/>
          <w:color w:val="auto"/>
        </w:rPr>
        <w:t xml:space="preserve"> B</w:t>
      </w:r>
      <w:r>
        <w:rPr>
          <w:rFonts w:ascii="Arial" w:cs="Arial" w:eastAsia="Arial" w:hAnsi="Arial"/>
          <w:sz w:val="12"/>
          <w:szCs w:val="12"/>
          <w:color w:val="auto"/>
        </w:rPr>
        <w:t>A</w:t>
      </w:r>
      <w:r>
        <w:rPr>
          <w:rFonts w:ascii="Arial" w:cs="Arial" w:eastAsia="Arial" w:hAnsi="Arial"/>
          <w:sz w:val="13"/>
          <w:szCs w:val="13"/>
          <w:color w:val="auto"/>
        </w:rPr>
        <w:t>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Baldridge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CERTIFICATION OF CHIEF FINANCIAL OFFICER PURSUANT</w:t>
      </w:r>
    </w:p>
    <w:p>
      <w:pPr>
        <w:ind w:left="31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00" w:right="6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2021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ICHARD</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Baldridge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00" w:right="6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2021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emdash "/>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decimal"/>
      <w:start w:val="2"/>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87" Type="http://schemas.openxmlformats.org/officeDocument/2006/relationships/hyperlink" Target="http://www.sec.gov/Archives/edgar/data/797721/000119312521322283/d210128dex21.htm" TargetMode="External"/><Relationship Id="rId88" Type="http://schemas.openxmlformats.org/officeDocument/2006/relationships/hyperlink" Target="http://www.sec.gov/Archives/edgar/data/797721/000119312521322283/d210128dex101.htm" TargetMode="External"/><Relationship Id="rId89" Type="http://schemas.openxmlformats.org/officeDocument/2006/relationships/hyperlink" Target="http://www.sec.gov/Archives/edgar/data/797721/000119312521322283/d210128dex102.htm" TargetMode="External"/><Relationship Id="rId90" Type="http://schemas.openxmlformats.org/officeDocument/2006/relationships/hyperlink" Target="http://www.sec.gov/Archives/edgar/data/797721/000119312521322283/d210128dex103.htm" TargetMode="External"/><Relationship Id="rId91" Type="http://schemas.openxmlformats.org/officeDocument/2006/relationships/hyperlink" Target="http://www.sec.gov/Archives/edgar/data/797721/000119312521265514/d191187dex101.htm" TargetMode="External"/><Relationship Id="rId92" Type="http://schemas.openxmlformats.org/officeDocument/2006/relationships/hyperlink" Target="http://www.sec.gov/Archives/edgar/data/797721/000119312521265514/d19118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2021-11-09T14:15:31Z</dcterms:created>
  <dcterms:modified xsi:type="dcterms:W3CDTF">2021-11-09T14:15:31Z</dcterms:modified>
</cp:coreProperties>
</file>