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28,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16" w:lineRule="exact"/>
        <w:rPr>
          <w:sz w:val="24"/>
          <w:szCs w:val="24"/>
          <w:color w:val="auto"/>
        </w:rPr>
      </w:pPr>
    </w:p>
    <w:p>
      <w:pPr>
        <w:sectPr>
          <w:pgSz w:w="11900" w:h="16838" w:orient="portrait"/>
          <w:cols w:equalWidth="0" w:num="3">
            <w:col w:w="6180" w:space="580"/>
            <w:col w:w="140" w:space="580"/>
            <w:col w:w="39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2020" w:type="dxa"/>
        <w:tblCellMar>
          <w:top w:w="0" w:type="dxa"/>
          <w:left w:w="0" w:type="dxa"/>
          <w:bottom w:w="0" w:type="dxa"/>
          <w:right w:w="0" w:type="dxa"/>
        </w:tblCellMar>
      </w:tblPr>
      <w:tr>
        <w:trPr>
          <w:trHeight w:val="529"/>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43"/>
                <w:szCs w:val="43"/>
                <w:b w:val="1"/>
                <w:bCs w:val="1"/>
                <w:color w:val="auto"/>
                <w:w w:val="94"/>
              </w:rPr>
              <w:t>ViaSat, Inc.</w:t>
            </w:r>
          </w:p>
        </w:tc>
      </w:tr>
      <w:tr>
        <w:trPr>
          <w:trHeight w:val="228"/>
        </w:trPr>
        <w:tc>
          <w:tcPr>
            <w:tcW w:w="1760" w:type="dxa"/>
            <w:vAlign w:val="bottom"/>
          </w:tcPr>
          <w:p>
            <w:pPr>
              <w:spacing w:after="0"/>
              <w:rPr>
                <w:sz w:val="19"/>
                <w:szCs w:val="19"/>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r>
      <w:tr>
        <w:trPr>
          <w:trHeight w:val="305"/>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gridSpan w:val="3"/>
          </w:tcPr>
          <w:p>
            <w:pPr>
              <w:jc w:val="center"/>
              <w:ind w:left="4257"/>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jc w:val="center"/>
              <w:ind w:left="11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jc w:val="center"/>
              <w:ind w:left="115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212"/>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760" w:type="dxa"/>
            <w:vAlign w:val="bottom"/>
          </w:tcPr>
          <w:p>
            <w:pPr>
              <w:spacing w:after="0"/>
              <w:rPr>
                <w:sz w:val="18"/>
                <w:szCs w:val="18"/>
                <w:color w:val="auto"/>
              </w:rPr>
            </w:pPr>
          </w:p>
        </w:tc>
        <w:tc>
          <w:tcPr>
            <w:tcW w:w="3120" w:type="dxa"/>
            <w:vAlign w:val="bottom"/>
            <w:gridSpan w:val="2"/>
          </w:tcPr>
          <w:p>
            <w:pPr>
              <w:jc w:val="center"/>
              <w:ind w:left="657"/>
              <w:spacing w:after="0"/>
              <w:rPr>
                <w:sz w:val="20"/>
                <w:szCs w:val="20"/>
                <w:color w:val="auto"/>
              </w:rPr>
            </w:pPr>
            <w:r>
              <w:rPr>
                <w:rFonts w:ascii="Arial" w:cs="Arial" w:eastAsia="Arial" w:hAnsi="Arial"/>
                <w:sz w:val="18"/>
                <w:szCs w:val="18"/>
                <w:b w:val="1"/>
                <w:bCs w:val="1"/>
                <w:color w:val="auto"/>
                <w:w w:val="89"/>
              </w:rPr>
              <w:t>(760) 476-2200</w:t>
            </w:r>
          </w:p>
        </w:tc>
        <w:tc>
          <w:tcPr>
            <w:tcW w:w="2280" w:type="dxa"/>
            <w:vAlign w:val="bottom"/>
          </w:tcPr>
          <w:p>
            <w:pPr>
              <w:spacing w:after="0"/>
              <w:rPr>
                <w:sz w:val="18"/>
                <w:szCs w:val="18"/>
                <w:color w:val="auto"/>
              </w:rPr>
            </w:pPr>
          </w:p>
        </w:tc>
      </w:tr>
      <w:tr>
        <w:trPr>
          <w:trHeight w:val="174"/>
        </w:trPr>
        <w:tc>
          <w:tcPr>
            <w:tcW w:w="1760" w:type="dxa"/>
            <w:vAlign w:val="bottom"/>
          </w:tcPr>
          <w:p>
            <w:pPr>
              <w:spacing w:after="0"/>
              <w:rPr>
                <w:sz w:val="15"/>
                <w:szCs w:val="15"/>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October 26, 2012 was 44,013,836.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40" w:type="dxa"/>
            <w:vAlign w:val="bottom"/>
            <w:gridSpan w:val="1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040" w:type="dxa"/>
            <w:vAlign w:val="bottom"/>
            <w:gridSpan w:val="16"/>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Income (Loss)</w:t>
              </w:r>
            </w:hyperlink>
          </w:p>
        </w:tc>
        <w:tc>
          <w:tcPr>
            <w:tcW w:w="4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3.</w:t>
              </w:r>
            </w:hyperlink>
          </w:p>
        </w:tc>
        <w:tc>
          <w:tcPr>
            <w:tcW w:w="632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6"/>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8"/>
        </w:trPr>
        <w:tc>
          <w:tcPr>
            <w:tcW w:w="1104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0000EE"/>
            </w:tcBorders>
            <w:gridSpan w:val="2"/>
          </w:tcPr>
          <w:p>
            <w:pPr>
              <w:spacing w:after="0" w:line="184"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1.</w:t>
              </w:r>
            </w:hyperlink>
          </w:p>
        </w:tc>
        <w:tc>
          <w:tcPr>
            <w:tcW w:w="1340" w:type="dxa"/>
            <w:vAlign w:val="bottom"/>
            <w:tcBorders>
              <w:bottom w:val="single" w:sz="8" w:color="0000EE"/>
            </w:tcBorders>
            <w:gridSpan w:val="4"/>
          </w:tcPr>
          <w:p>
            <w:pPr>
              <w:ind w:left="20"/>
              <w:spacing w:after="0" w:line="184"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Legal Proceedings</w:t>
              </w:r>
            </w:hyperlink>
          </w:p>
        </w:tc>
        <w:tc>
          <w:tcPr>
            <w:tcW w:w="9180" w:type="dxa"/>
            <w:vAlign w:val="bottom"/>
            <w:gridSpan w:val="10"/>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Item 1A. Risk Factors</w:t>
              </w:r>
            </w:hyperlink>
          </w:p>
        </w:tc>
        <w:tc>
          <w:tcPr>
            <w:tcW w:w="9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Exhibits</w:t>
              </w:r>
            </w:hyperlink>
          </w:p>
        </w:tc>
        <w:tc>
          <w:tcPr>
            <w:tcW w:w="99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28, 2012</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136,118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231,606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132,890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20,291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34,718</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555,623</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563,152</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8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Satellites, net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560,521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326,045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55,059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83,537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assets</w:t>
            </w:r>
          </w:p>
        </w:tc>
        <w:tc>
          <w:tcPr>
            <w:tcW w:w="1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162,584</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1,743,369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1,727,153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LIABILITIES AND EQUITY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80,646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154,406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236,322</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236,042</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8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Senior Notes, net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548,039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liabilities</w:t>
            </w:r>
          </w:p>
        </w:tc>
        <w:tc>
          <w:tcPr>
            <w:tcW w:w="1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841,552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834,960</w:t>
            </w:r>
          </w:p>
        </w:tc>
        <w:tc>
          <w:tcPr>
            <w:tcW w:w="0" w:type="dxa"/>
            <w:vAlign w:val="bottom"/>
          </w:tcPr>
          <w:p>
            <w:pPr>
              <w:spacing w:after="0"/>
              <w:rPr>
                <w:sz w:val="1"/>
                <w:szCs w:val="1"/>
                <w:color w:val="auto"/>
              </w:rPr>
            </w:pP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683,401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239,891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Common stock held in treasury</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(27,500)</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897,562</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887,975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1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901,817</w:t>
            </w: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1,743,369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1,727,153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0"/>
              </w:rPr>
              <w:t>Three Months Ended</w:t>
            </w:r>
          </w:p>
        </w:tc>
        <w:tc>
          <w:tcPr>
            <w:tcW w:w="8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5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6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6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168,475</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146,611</w:t>
            </w:r>
          </w:p>
        </w:tc>
        <w:tc>
          <w:tcPr>
            <w:tcW w:w="6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316,204</w:t>
            </w:r>
          </w:p>
        </w:tc>
        <w:tc>
          <w:tcPr>
            <w:tcW w:w="6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76,413</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208,381</w:t>
            </w:r>
          </w:p>
        </w:tc>
        <w:tc>
          <w:tcPr>
            <w:tcW w:w="6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282,822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223,024</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524,585</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418,125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121,421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107,909</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230,470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95,382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173,951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54,079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44,379</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110,580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(14,648)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(11,553)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(23,099)</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(12,367)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(37,642)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(4,510)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(3,411)</w:t>
            </w:r>
          </w:p>
        </w:tc>
        <w:tc>
          <w:tcPr>
            <w:tcW w:w="3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(15,352)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(7,857)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(22,290)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ViaSat, Inc.</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(7,907)</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(22,327)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9"/>
              </w:rPr>
              <w:t>Basic net (loss) income per share attributable to ViaSat, Inc.</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(0.51)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 attributable to ViaSat,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 common stockholders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used in computing basic net (loss) income per share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42,142</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43,399</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Shares used in computing diluted net (loss) income per</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43,615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43,894</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43,399</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43,860</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(7,857)</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(22,290)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hedging, net of tax of $82,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$0, $26 and $0 respectively</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of $73, $0, $(40) and $0 respectively</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(1,002)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(6,829)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6,574</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(21,963)</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the</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net of tax</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Comprehensive (loss) income attributable to ViaSat, Inc.</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(6,879)</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6,380</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(22,000)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(22,290)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64,359</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(15,407)</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adjustments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(20,515)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(5,184)</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(5,080)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5,404</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340" w:type="dxa"/>
            <w:vAlign w:val="bottom"/>
          </w:tcPr>
          <w:p>
            <w:pPr>
              <w:spacing w:after="0"/>
              <w:rPr>
                <w:sz w:val="18"/>
                <w:szCs w:val="18"/>
                <w:color w:val="auto"/>
              </w:rPr>
            </w:pP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(74,652)</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(12,351)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(87,003)</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(141,608)</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8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18"/>
                <w:szCs w:val="18"/>
                <w:color w:val="auto"/>
              </w:rPr>
            </w:pP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(2,215)</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(2,142)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Payments on capital lease</w:t>
            </w:r>
          </w:p>
        </w:tc>
        <w:tc>
          <w:tcPr>
            <w:tcW w:w="340" w:type="dxa"/>
            <w:vAlign w:val="bottom"/>
          </w:tcPr>
          <w:p>
            <w:pPr>
              <w:spacing w:after="0"/>
              <w:rPr>
                <w:sz w:val="18"/>
                <w:szCs w:val="18"/>
                <w:color w:val="auto"/>
              </w:rPr>
            </w:pP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satellite performance incentives obligation</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(640)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340" w:type="dxa"/>
            <w:vAlign w:val="bottom"/>
          </w:tcPr>
          <w:p>
            <w:pPr>
              <w:spacing w:after="0"/>
              <w:rPr>
                <w:sz w:val="18"/>
                <w:szCs w:val="18"/>
                <w:color w:val="auto"/>
              </w:rPr>
            </w:pPr>
          </w:p>
        </w:tc>
        <w:tc>
          <w:tcPr>
            <w:tcW w:w="17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line of credit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8,445</w:t>
            </w:r>
          </w:p>
        </w:tc>
        <w:tc>
          <w:tcPr>
            <w:tcW w:w="9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772"/>
              <w:spacing w:after="0"/>
              <w:rPr>
                <w:sz w:val="20"/>
                <w:szCs w:val="20"/>
                <w:color w:val="auto"/>
              </w:rPr>
            </w:pPr>
            <w:r>
              <w:rPr>
                <w:rFonts w:ascii="Arial" w:cs="Arial" w:eastAsia="Arial" w:hAnsi="Arial"/>
                <w:sz w:val="18"/>
                <w:szCs w:val="18"/>
                <w:color w:val="auto"/>
              </w:rPr>
              <w:t>(36,465)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172,583</w:t>
            </w:r>
          </w:p>
        </w:tc>
        <w:tc>
          <w:tcPr>
            <w:tcW w:w="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136,118</w:t>
            </w:r>
          </w:p>
        </w:tc>
        <w:tc>
          <w:tcPr>
            <w:tcW w:w="9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8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ViaSat, Inc. Stockholders</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260" w:type="dxa"/>
            <w:vAlign w:val="bottom"/>
            <w:tcBorders>
              <w:bottom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7"/>
              </w:rPr>
              <w:t>Common Stock</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jc w:val="right"/>
              <w:ind w:right="340"/>
              <w:spacing w:after="0" w:line="129" w:lineRule="exact"/>
              <w:rPr>
                <w:sz w:val="20"/>
                <w:szCs w:val="20"/>
                <w:color w:val="auto"/>
              </w:rPr>
            </w:pPr>
            <w:r>
              <w:rPr>
                <w:rFonts w:ascii="Arial" w:cs="Arial" w:eastAsia="Arial" w:hAnsi="Arial"/>
                <w:sz w:val="14"/>
                <w:szCs w:val="14"/>
                <w:b w:val="1"/>
                <w:bCs w:val="1"/>
                <w:color w:val="auto"/>
                <w:w w:val="99"/>
              </w:rPr>
              <w:t>Common Stock Held</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Other</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Retained</w:t>
            </w:r>
          </w:p>
        </w:tc>
        <w:tc>
          <w:tcPr>
            <w:tcW w:w="92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 in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2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ind w:left="8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30,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43,776,202</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$649,672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$262,218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(727,674)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(25,358)</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$892,193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487,779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11,568</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11,568</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Purchase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2,487</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12,614</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issued in settlement of certain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employee compensation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197,149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7,060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RSU awards vesting</w:t>
            </w:r>
          </w:p>
        </w:tc>
        <w:tc>
          <w:tcPr>
            <w:tcW w:w="840" w:type="dxa"/>
            <w:vAlign w:val="bottom"/>
          </w:tcPr>
          <w:p>
            <w:pPr>
              <w:jc w:val="right"/>
              <w:spacing w:after="0"/>
              <w:rPr>
                <w:sz w:val="20"/>
                <w:szCs w:val="20"/>
                <w:color w:val="auto"/>
              </w:rPr>
            </w:pPr>
            <w:r>
              <w:rPr>
                <w:rFonts w:ascii="Arial" w:cs="Arial" w:eastAsia="Arial" w:hAnsi="Arial"/>
                <w:sz w:val="18"/>
                <w:szCs w:val="18"/>
                <w:color w:val="auto"/>
              </w:rPr>
              <w:t>137,979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 of treasury shares pursuant to</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vesting of certain RSU agreements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(50,983)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Net (loss)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(22,327)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8"/>
                <w:szCs w:val="18"/>
                <w:color w:val="auto"/>
              </w:rPr>
              <w:t>Balance at September 28, 2012</w:t>
            </w: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4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44,676,583</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4</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683,401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239,891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(778,657)</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(27,500)</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4,255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901,817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balance sheet at September 28, 2012, the condensed consolidated statements of operations and comprehensive income (loss) for the three and six months ended September 28, 2012 and September 30, 2011, the condensed consolidated statements of cash flows for the six months ended September 28, 2012 and September 30, 2011 and the condensed consolidated statement of equity for the six months ended September 28, 2012 have been prepared by the management of ViaSat, Inc. (also referred to hereafter as the Company or ViaSat), and have not been audited. These financial statements have been prepared on the same basis as the audited consolidated financial statements for the fiscal year ended March 30, 2012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30, 2012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2013 refer to the fiscal year ending on March 29, 2013. The Company’s quarters for fiscal year 2013 end on June 29, 2012, September 28, 2012, December 28, 2012 and March 29, 2013. This results in a 53 week fiscal year approximately every four to five years. Fiscal years 2013 and 2012 are both 52-week years.</w:t>
      </w:r>
    </w:p>
    <w:p>
      <w:pPr>
        <w:spacing w:after="0" w:line="1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September 28, 2012 and September 30, 2011, the Company recorded losses of approximately $1.1 million and $0.4 million, respectively, related to loss contracts. During the six months ended September 28, 2012 and September 30, 2011, the Company recorded losses of approximately $2.4 million and $0.7 million, respectively, related to loss contracts.</w:t>
      </w:r>
    </w:p>
    <w:p>
      <w:pPr>
        <w:spacing w:after="0" w:line="10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contains an option to purchase the leased equipment for a price which is sufficiently lower than the expected fair value of the equipment at the date of the option,</w:t>
      </w:r>
    </w:p>
    <w:p>
      <w:pPr>
        <w:spacing w:after="0" w:line="38" w:lineRule="exact"/>
        <w:rPr>
          <w:sz w:val="20"/>
          <w:szCs w:val="20"/>
          <w:color w:val="auto"/>
        </w:rPr>
      </w:pPr>
    </w:p>
    <w:p>
      <w:pPr>
        <w:ind w:right="80" w:firstLine="8"/>
        <w:spacing w:after="0" w:line="252"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48"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4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28, 2012 and March 30, 2012, the Company had $6.7 million in contract-related reserves for its estimate of potential refunds to customers for potential cost adjustments on several multi-year U.S. government cost reimbursable contracts (see Note 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accordance with the authoritative guidance for advertising costs (ASC 720-35), advertising costs are expensed as incurred and included in selling, general and administrative expenses (SG&amp;A). Advertising expenses for the three months ended September 28, 2012 and September 30, 2011 were $6.0 million and $0.7 million, respectively, and for the six months ended September 28, 2012 and September 30, 2011 were $11.5 million and $1.5 million,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12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During the three and six months ended September 28, 2012, with respect to assets under construction, the Company capitalized $0.8 million and $1.6 million of interest expense, respectively. With respect to ViaSat-1, related gateway and networking equipment and other assets, the Company capitalized $7.7 million and $15.3 million of interest expense during the three and six months ended September 30, 2011, respectively.</w:t>
      </w:r>
    </w:p>
    <w:p>
      <w:pPr>
        <w:spacing w:after="0" w:line="11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Company owns two satellites: its new high-capacity Ka-band spot-beam satellite, ViaSat-1 (which was successfully launched into orbit in October 2011 and commenced commercial operation in January 2012) and WildBlue-1 (which was placed into service in March 2007). In addition, the Company has an exclusive prepaid lifetime capital lease of Ka-band capacity over the continental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Company’s property and equipment also includes the indoor and outdoor customer premise equipment (CPE) units leased to subscribers under a retail leasing program as part of the Company’s satellite services segment. The Company depreciates the satellites, gateway and networking equipment, CPE units and related installation costs over their estimated useful lives. The total cost and accumulated depreciation of CPE units included in property and equipment, net, as of September 28, 2012 were $118.8 million and $40.2 million, respectively. The total cost and accumulated depreciation of CPE units included in property and equipment, net, as of March 30, 2012 were $85.3 million and $33.1 million, respectively.</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As of September 28, 2012 and March 30, 2012, assets under capital leases totaled approximately $3.1 million. Accumulated amortization related to such capital leases was $1.0 million and $0.8 million as of September 28, 2012 and March 30, 2012, respectively. The Company records amortization of assets leased under capital lease arrangements within depreciation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As of September 28, 2012 and March 30, 2012, the Company had $3.2 million of capitalized costs related to patents included in other assets. As of September 28, 2012 and March 30, 2012, the Company had $8.6 million and $8.4 million, respectively, of capitalized costs related to acquiring and obtaining orbital slots and other licenses included in other assets. Accumulated amortization related to these assets was approximately $0.5 million and $0.4 million as of September 28, 2012 and March 30, 2012, respectively. Amortization expense related to these assets was an insignificant amount for the three and six months ended September 28, 2012 and September 30, 2011. If a patent, orbital slot or orbital license is rejected, abandoned or otherwise invalidated, the unamortized cost is expensed in that period. During the three months and six ended September 28, 2012 and September 30, 2011, the Company did not write off any significant costs due to abandonment or impairment.</w:t>
      </w:r>
    </w:p>
    <w:p>
      <w:pPr>
        <w:sectPr>
          <w:pgSz w:w="11900" w:h="16838" w:orient="portrait"/>
          <w:cols w:equalWidth="0" w:num="1">
            <w:col w:w="11420"/>
          </w:cols>
          <w:pgMar w:left="240" w:top="45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Debt issuance costs are amortized and recognized as interest expense on a straight-line basis over the expected term of the related debt, which is not materially different from an effective interest rate basis. During the three months ended September 28, 2012, the Company did not pay or capitalize any debt issuance costs and during the six months ended September 28, 2012, the Company</w:t>
      </w:r>
    </w:p>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240" w:top="131"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paid and capitalized approximately $2.2 million in debt issuance costs. During the three and six months ended September 30, 2011, the Company did not pay or capitalize any debt issuance costs.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$50.7 million and $42.0 million related to software developed for resale were included in other assets as of September 28, 2012 and March 30, 2012, respectively. The Company capitalized $6.1 million and $12.5 million of costs related to software developed for resale for the three and six months ended September 28, 2012, respectively. The Company capitalized $4.1 million and $9.4 million of costs related to software developed for resale for the three and six months ended September 30, 2011, respectively. Amortization expense for software development costs was $2.3 million and $3.8 million for the three and six months ended September 28, 2012, respectively, and $1.1 million and $2.3 million for the three and six months ended September 30, 2011,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Company’s self-insurance liability for the plans was $1.9 million and $1.7 million as of September 28, 2012 and March 30, 2012,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28, 2012 and March 30, 2012, no such amounts were accrued related to the aforementioned provisions.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During the first six months of fiscal years 2013 and 2012, the Company issued 137,979 and 145,695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50,983 and 51,403 shares of common stock with a total value of $2.1 million and $2.3 million during the first six months of fiscal years 2013 and 2012, respectively. Repurchased shares of common stock of 778,657 and 727,674 were held in treasury as of September 28, 2012 and March 30, 2012,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Company’s outstanding foreign currency forward contracts as of September 28, 2012 and March 30,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28, 2012</w:t>
            </w:r>
          </w:p>
        </w:tc>
        <w:tc>
          <w:tcPr>
            <w:tcW w:w="5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w w:val="90"/>
              </w:rPr>
              <w:t>March 30, 2012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Other current</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Other current</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13"/>
                <w:szCs w:val="13"/>
                <w:color w:val="auto"/>
              </w:rPr>
            </w:pPr>
          </w:p>
        </w:tc>
        <w:tc>
          <w:tcPr>
            <w:tcW w:w="1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Accrued liabilities</w:t>
            </w:r>
          </w:p>
        </w:tc>
        <w:tc>
          <w:tcPr>
            <w:tcW w:w="160" w:type="dxa"/>
            <w:vAlign w:val="bottom"/>
          </w:tcPr>
          <w:p>
            <w:pPr>
              <w:spacing w:after="0"/>
              <w:rPr>
                <w:sz w:val="13"/>
                <w:szCs w:val="13"/>
                <w:color w:val="auto"/>
              </w:rPr>
            </w:pPr>
          </w:p>
        </w:tc>
        <w:tc>
          <w:tcPr>
            <w:tcW w:w="66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13"/>
                <w:szCs w:val="13"/>
                <w:color w:val="auto"/>
              </w:rPr>
            </w:pPr>
          </w:p>
        </w:tc>
        <w:tc>
          <w:tcPr>
            <w:tcW w:w="114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Accrued liabilities</w:t>
            </w:r>
          </w:p>
        </w:tc>
        <w:tc>
          <w:tcPr>
            <w:tcW w:w="0" w:type="dxa"/>
            <w:vAlign w:val="bottom"/>
          </w:tcPr>
          <w:p>
            <w:pPr>
              <w:spacing w:after="0"/>
              <w:rPr>
                <w:sz w:val="1"/>
                <w:szCs w:val="1"/>
                <w:color w:val="auto"/>
              </w:rPr>
            </w:pPr>
          </w:p>
        </w:tc>
      </w:tr>
      <w:tr>
        <w:trPr>
          <w:trHeight w:val="149"/>
        </w:trPr>
        <w:tc>
          <w:tcPr>
            <w:tcW w:w="2860" w:type="dxa"/>
            <w:vAlign w:val="bottom"/>
            <w:tcBorders>
              <w:top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420"/>
              <w:spacing w:after="0" w:line="149" w:lineRule="exact"/>
              <w:rPr>
                <w:sz w:val="20"/>
                <w:szCs w:val="20"/>
                <w:color w:val="auto"/>
              </w:rPr>
            </w:pPr>
            <w:r>
              <w:rPr>
                <w:rFonts w:ascii="Arial" w:cs="Arial" w:eastAsia="Arial" w:hAnsi="Arial"/>
                <w:sz w:val="14"/>
                <w:szCs w:val="14"/>
                <w:b w:val="1"/>
                <w:bCs w:val="1"/>
                <w:color w:val="auto"/>
                <w:w w:val="95"/>
              </w:rPr>
              <w:t>(In thousands)</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notional value of foreign currency forward contracts outstanding as of September 28, 2012 and March 30, 2012 was $7.5 million and $9.6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three months ended September 28, 2012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Amount</w:t>
            </w:r>
          </w:p>
        </w:tc>
        <w:tc>
          <w:tcPr>
            <w:tcW w:w="22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74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Gain or</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(Loss)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(Loss)</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OCI</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on</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OCI into</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(Effective</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(Effective</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Portion)</w:t>
            </w:r>
          </w:p>
        </w:tc>
        <w:tc>
          <w:tcPr>
            <w:tcW w:w="2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Portion)</w:t>
            </w:r>
          </w:p>
        </w:tc>
        <w:tc>
          <w:tcPr>
            <w:tcW w:w="1740" w:type="dxa"/>
            <w:vAlign w:val="bottom"/>
          </w:tcPr>
          <w:p>
            <w:pPr>
              <w:jc w:val="center"/>
              <w:ind w:right="171"/>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w:t>
            </w:r>
          </w:p>
        </w:tc>
        <w:tc>
          <w:tcPr>
            <w:tcW w:w="1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2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1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six months ended September 28, 2012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Amount</w:t>
            </w:r>
          </w:p>
        </w:tc>
        <w:tc>
          <w:tcPr>
            <w:tcW w:w="222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74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Gain or</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(Loss)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(Loss)</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OCI</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on</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OCI into</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(Effective</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(Effective</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Portion)</w:t>
            </w:r>
          </w:p>
        </w:tc>
        <w:tc>
          <w:tcPr>
            <w:tcW w:w="2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Portion)</w:t>
            </w:r>
          </w:p>
        </w:tc>
        <w:tc>
          <w:tcPr>
            <w:tcW w:w="1740" w:type="dxa"/>
            <w:vAlign w:val="bottom"/>
          </w:tcPr>
          <w:p>
            <w:pPr>
              <w:jc w:val="center"/>
              <w:ind w:right="171"/>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w:t>
            </w:r>
          </w:p>
        </w:tc>
        <w:tc>
          <w:tcPr>
            <w:tcW w:w="2220" w:type="dxa"/>
            <w:vAlign w:val="bottom"/>
            <w:shd w:val="clear" w:color="auto" w:fill="CCEEFF"/>
          </w:tcPr>
          <w:p>
            <w:pPr>
              <w:jc w:val="right"/>
              <w:ind w:right="169"/>
              <w:spacing w:after="0"/>
              <w:rPr>
                <w:sz w:val="20"/>
                <w:szCs w:val="20"/>
                <w:color w:val="auto"/>
              </w:rPr>
            </w:pPr>
            <w:r>
              <w:rPr>
                <w:rFonts w:ascii="Arial" w:cs="Arial" w:eastAsia="Arial" w:hAnsi="Arial"/>
                <w:sz w:val="18"/>
                <w:szCs w:val="18"/>
                <w:color w:val="auto"/>
                <w:w w:val="97"/>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w:t>
            </w:r>
          </w:p>
        </w:tc>
        <w:tc>
          <w:tcPr>
            <w:tcW w:w="1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(520)</w:t>
            </w:r>
          </w:p>
        </w:tc>
        <w:tc>
          <w:tcPr>
            <w:tcW w:w="2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vMerge w:val="restart"/>
          </w:tcPr>
          <w:p>
            <w:pPr>
              <w:jc w:val="right"/>
              <w:ind w:right="1689"/>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three months ended September 30,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Amount</w:t>
            </w:r>
          </w:p>
        </w:tc>
        <w:tc>
          <w:tcPr>
            <w:tcW w:w="22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72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Gain or</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0"/>
              </w:rPr>
              <w:t>(Loss)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on</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OCI into</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Income</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(Effective</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(Effective</w:t>
            </w:r>
          </w:p>
        </w:tc>
        <w:tc>
          <w:tcPr>
            <w:tcW w:w="172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Portion)</w:t>
            </w:r>
          </w:p>
        </w:tc>
        <w:tc>
          <w:tcPr>
            <w:tcW w:w="2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Portion)</w:t>
            </w:r>
          </w:p>
        </w:tc>
        <w:tc>
          <w:tcPr>
            <w:tcW w:w="1720" w:type="dxa"/>
            <w:vAlign w:val="bottom"/>
          </w:tcPr>
          <w:p>
            <w:pPr>
              <w:jc w:val="center"/>
              <w:ind w:right="191"/>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2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six months ended September 30,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Amount</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 Gain or</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Gain or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Reclassified</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from</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on</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OCI into</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Income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(Effective</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(Effective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Portion)</w:t>
            </w:r>
          </w:p>
        </w:tc>
        <w:tc>
          <w:tcPr>
            <w:tcW w:w="2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w w:val="89"/>
              </w:rPr>
              <w:t>Portion)</w:t>
            </w:r>
          </w:p>
        </w:tc>
        <w:tc>
          <w:tcPr>
            <w:tcW w:w="1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rPr>
              <w:t>(In thousands)</w:t>
            </w:r>
          </w:p>
        </w:tc>
        <w:tc>
          <w:tcPr>
            <w:tcW w:w="1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2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2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At September 28, 2012, the estimated net amount of unrealized gains or losses related to foreign currency forward contracts that was expected to be reclassified to earnings within the next twelve months was approximately $0.3 million. The Company’s foreign currency forward contracts outstanding as of September 28, 2012 will mature within nine to twenty three months from their inception. There were no gains or losses from ineffectiveness of these derivative instruments recorded for the three and six months ended September 28, 2012 and September 30,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and six months ended September 28, 2012 and September 30, 2011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$5.8 million and $12.4 million of stock-based compensation expense for the three and six months ended September 28, 2012, respectively, and $4.8 million and $9.0 million of stock-based compensation expense for the three and six months ended September 30, 2011, respectively.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six months ended September 28, 2012 and September 30, 2011, the Company recorded no incremental tax benefits from stock options exercised and restricted stock unit award vesting as the excess tax benefit from stock options exercised and restricted stock unit award vesting increased the Company’s net operating loss carryforward.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Current income tax expense is the amount of income taxes expected to be payable for the current fiscal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2011, the FASB issued ASU 2011-05, Comprehensive Income (ASC 220): Presentation of Comprehensive Income. The new authoritative guidance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requires an entity to present the total of comprehensive income, the components of net income, and the components of other comprehensive income either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single continuous statement of comprehensive income or in two separate but consecutive statements. The new authoritative guidance eliminates the option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the components of other comprehensive income as part of the statement of equity. In December 2011, the FASB further amended its guidance to defer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related to the presentation of reclassification adjustments indefinitely as a result of concerns raised by stakeholders that the new presentation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would be difficult for preparers and add unnecessary complexity to financial statements. The authoritative guidance (other than the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regarding the presentation of reclassification adjustments which, as noted above, has been deferred indefinitely) became effective for the Company beginning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fiscal year 2013. In the first quarter of fiscal year 2013, the Company retrospectively adopted the new accounting standard for the presentation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comprehensive income in financial statements which resulted in the presentation of a total for comprehensive income (loss), and the components of net income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(loss) and other comprehensive income (loss) in one statement. The adoption of this standard only changed how the Company presents comprehensive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and did not impact the Company’s consolidated financial position, results of operations or cash flows.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2011, the FASB issued ASU 2011-08, Intangibles—Goodwill and Other (ASC 350): Testing Goodwill for Impairment. The new authoritative guidance simplifies how an entity tests goodwill for impairment. The new authoritative guidance allows an entity to first assess qualitative factors to determine whether it is necessary to perform the two-step quantitative goodwill impairment test. The two-step quantitative impairment test is required only if, based on its qualitative assessment, an entity determines that it is more likely than not that the fair value of a reporting unit is less than its carrying amount. This authoritative guidance is effective for interim and annual goodwill impairment tests performed for fiscal years beginning after December 15, 2011. Early adoption is permitted if an entity’s financial statements for the more recent interim and annual period have not yet been issued. The Company early adopted this authoritative guidance in the fourth quarter of fiscal year 2012. Adoption of this authoritative guidance did not have a material impact on the Company’s consolidated financial statements and disclosures.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will be effective for the Company beginning in the first quarter of fiscal year 2014 and should be applied retrospectively for all comparative periods presented. The Company is currently evaluating the impact that this authoritative guidance may have on its consolidated financial statements and disclosures.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September 28, 2012</w:t>
            </w:r>
          </w:p>
        </w:tc>
        <w:tc>
          <w:tcPr>
            <w:tcW w:w="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Billed</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113,160</w:t>
            </w:r>
          </w:p>
        </w:tc>
        <w:tc>
          <w:tcPr>
            <w:tcW w:w="7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108,758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103,929</w:t>
            </w:r>
          </w:p>
        </w:tc>
        <w:tc>
          <w:tcPr>
            <w:tcW w:w="0" w:type="dxa"/>
            <w:vAlign w:val="bottom"/>
          </w:tcPr>
          <w:p>
            <w:pPr>
              <w:spacing w:after="0"/>
              <w:rPr>
                <w:sz w:val="1"/>
                <w:szCs w:val="1"/>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231,606</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43,440</w:t>
            </w: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23,814</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65,636</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19"/>
                <w:szCs w:val="19"/>
                <w:color w:val="auto"/>
              </w:rPr>
            </w:pP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132,890</w:t>
            </w:r>
          </w:p>
        </w:tc>
        <w:tc>
          <w:tcPr>
            <w:tcW w:w="7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127,646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31,881</w:t>
            </w:r>
          </w:p>
        </w:tc>
        <w:tc>
          <w:tcPr>
            <w:tcW w:w="7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19"/>
                <w:szCs w:val="19"/>
                <w:color w:val="auto"/>
              </w:rPr>
            </w:pP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34,718</w:t>
            </w:r>
          </w:p>
        </w:tc>
        <w:tc>
          <w:tcPr>
            <w:tcW w:w="7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Satellite — WildBlue-1 (estimated useful life of 10 years)</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195,890</w:t>
            </w:r>
          </w:p>
        </w:tc>
        <w:tc>
          <w:tcPr>
            <w:tcW w:w="7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Satellite — ViaSat-1 (estimated useful life of 17 years)</w:t>
            </w: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363,204</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658,184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657,957</w:t>
            </w:r>
          </w:p>
        </w:tc>
        <w:tc>
          <w:tcPr>
            <w:tcW w:w="0" w:type="dxa"/>
            <w:vAlign w:val="bottom"/>
          </w:tcPr>
          <w:p>
            <w:pPr>
              <w:spacing w:after="0"/>
              <w:rPr>
                <w:sz w:val="1"/>
                <w:szCs w:val="1"/>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(97,663)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(72,226)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560,521</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Machinery and equipment (estimated useful life of 2-5 years)</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219,660</w:t>
            </w: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195,975</w:t>
            </w: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Computer equipment and software (estimated useful life of 2-7 years)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132,032</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127,596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CPE leased equipment (estimated useful life of 3-5 years)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118,755</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85,271</w:t>
            </w: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14,086</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51,373</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51,205</w:t>
            </w: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8,923</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568,399</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504,017</w:t>
            </w:r>
          </w:p>
        </w:tc>
        <w:tc>
          <w:tcPr>
            <w:tcW w:w="0" w:type="dxa"/>
            <w:vAlign w:val="bottom"/>
          </w:tcPr>
          <w:p>
            <w:pPr>
              <w:spacing w:after="0"/>
              <w:rPr>
                <w:sz w:val="1"/>
                <w:szCs w:val="1"/>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(242,354)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(209,044)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326,045</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54,358</w:t>
            </w: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54,240</w:t>
            </w: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7 years)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88,790</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88,758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5,680</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(weighted average useful life of 6 years)</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163,732</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163,585</w:t>
            </w: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amortization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(108,673)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(100,544)</w:t>
            </w:r>
          </w:p>
        </w:tc>
        <w:tc>
          <w:tcPr>
            <w:tcW w:w="0" w:type="dxa"/>
            <w:vAlign w:val="bottom"/>
          </w:tcPr>
          <w:p>
            <w:pPr>
              <w:spacing w:after="0"/>
              <w:rPr>
                <w:sz w:val="1"/>
                <w:szCs w:val="1"/>
                <w:color w:val="auto"/>
              </w:rPr>
            </w:pPr>
          </w:p>
        </w:tc>
      </w:tr>
      <w:tr>
        <w:trPr>
          <w:trHeight w:val="221"/>
        </w:trPr>
        <w:tc>
          <w:tcPr>
            <w:tcW w:w="6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55,059</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16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28, 2012</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ind w:left="7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50,679</w:t>
            </w:r>
          </w:p>
        </w:tc>
        <w:tc>
          <w:tcPr>
            <w:tcW w:w="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68,768</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31,882</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spacing w:after="0"/>
              <w:rPr>
                <w:sz w:val="19"/>
                <w:szCs w:val="19"/>
                <w:color w:val="auto"/>
              </w:rPr>
            </w:pPr>
          </w:p>
        </w:tc>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162,584</w:t>
            </w:r>
          </w:p>
        </w:tc>
        <w:tc>
          <w:tcPr>
            <w:tcW w:w="8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81,187</w:t>
            </w:r>
          </w:p>
        </w:tc>
        <w:tc>
          <w:tcPr>
            <w:tcW w:w="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vacation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Warranty reserve, current portion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7,288</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44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34,056</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long-term portion</w:t>
            </w:r>
          </w:p>
        </w:tc>
        <w:tc>
          <w:tcPr>
            <w:tcW w:w="16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Deferred rent, long-term portion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9,169</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long-term portion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Deferred income taxes, long-term portion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2,797</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tax position liabilities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1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21,241</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hierarchy for its assets and liabilities measured at fair value on a recurring basis as of September 28,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Fair Value 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28, 2012</w:t>
            </w:r>
          </w:p>
        </w:tc>
        <w:tc>
          <w:tcPr>
            <w:tcW w:w="260" w:type="dxa"/>
            <w:vAlign w:val="bottom"/>
          </w:tcPr>
          <w:p>
            <w:pPr>
              <w:spacing w:after="0"/>
              <w:rPr>
                <w:sz w:val="14"/>
                <w:szCs w:val="14"/>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Level 1</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56,432</w:t>
            </w:r>
          </w:p>
        </w:tc>
        <w:tc>
          <w:tcPr>
            <w:tcW w:w="360" w:type="dxa"/>
            <w:vAlign w:val="bottom"/>
            <w:gridSpan w:val="2"/>
          </w:tcPr>
          <w:p>
            <w:pPr>
              <w:ind w:left="260"/>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56,432</w:t>
            </w:r>
          </w:p>
        </w:tc>
        <w:tc>
          <w:tcPr>
            <w:tcW w:w="96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56,432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56,432</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$ 377</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2"/>
            <w:vMerge w:val="continue"/>
          </w:tcPr>
          <w:p>
            <w:pPr>
              <w:spacing w:after="0"/>
              <w:rPr>
                <w:sz w:val="19"/>
                <w:szCs w:val="19"/>
                <w:color w:val="auto"/>
              </w:rPr>
            </w:pP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$ 377</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20" w:type="dxa"/>
            <w:vAlign w:val="bottom"/>
            <w:vMerge w:val="restart"/>
          </w:tcPr>
          <w:p>
            <w:pPr>
              <w:ind w:left="54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30, 2012</w:t>
            </w:r>
          </w:p>
        </w:tc>
        <w:tc>
          <w:tcPr>
            <w:tcW w:w="560" w:type="dxa"/>
            <w:vAlign w:val="bottom"/>
          </w:tcPr>
          <w:p>
            <w:pPr>
              <w:spacing w:after="0"/>
              <w:rPr>
                <w:sz w:val="14"/>
                <w:szCs w:val="14"/>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70,379</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70,379</w:t>
            </w:r>
          </w:p>
        </w:tc>
        <w:tc>
          <w:tcPr>
            <w:tcW w:w="4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70,379</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8"/>
              </w:rPr>
              <w:t>$ 443</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443</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$ 443</w:t>
            </w:r>
          </w:p>
        </w:tc>
        <w:tc>
          <w:tcPr>
            <w:tcW w:w="54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quoted prices for similar assets and liabilities in active markets or other inputs that are observable or can be corroborated by observable market data (Level 2).</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(1) capital lease obligations reported at the present value of future</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lease payments with current accrued interest, and (2) the Company’s 8.875% Senior Notes due 2016 (the 2016 Notes) and 6.875% Senior Notes due 2020 (the 2020 Notes, and collectively with the 2016 Notes, the Senior Notes) reported at amortized cost. However, for disclosure purposes, the Company is required to measure the fair value of outstanding debt on a recurring basis. The fair value of the Company’s outstanding long-term debt related to the 2020 Notes was determined using quoted prices in active markets (Level 1) and was approximately $283.3 million as of September 28, 2012. As of March 30, 2012, the fair value of the Company’s outstanding long-term debt related to the 2020 Notes had been determined using recent market transactions for similar notes (Level 2) and was approximately $280.2 million. The 2020 Notes were exchanged in August 2012 for substantially identical 2020 Notes that had been registered with the Securities and Exchange Commission (SEC), which resulted in a change of the inputs used to measure the fair value of the 2020 Notes from March 30, 2012 (Level 2) to September 28, 2012 (Level 1). The fair value of the Company’s outstanding long-term debt related to the 2016 Notes is determined using quoted prices in active markets (Level 1) and was approximately $294.9 million and $298.4 million as of September 28, 2012 and March 30, 2012, respectively. The fair value of the Company’s capital lease obligations is estimated at their carrying value based on current rates (Level 2).</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Satellite performance incentives obligation </w:t>
      </w:r>
      <w:r>
        <w:rPr>
          <w:rFonts w:ascii="Arial" w:cs="Arial" w:eastAsia="Arial" w:hAnsi="Arial"/>
          <w:sz w:val="18"/>
          <w:szCs w:val="18"/>
          <w:color w:val="auto"/>
        </w:rPr>
        <w:t>— The Company’s contract with the manufacturer of ViaSat-1 requires the Company to make monthly in-orbit</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are estimated at their carrying value based on current rates (Level 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64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4"/>
          </w:tcPr>
          <w:p>
            <w:pPr>
              <w:ind w:left="70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2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2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8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0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gridSpan w:val="3"/>
          </w:tcPr>
          <w:p>
            <w:pPr>
              <w:jc w:val="right"/>
              <w:ind w:right="738"/>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240" w:type="dxa"/>
            <w:vAlign w:val="bottom"/>
          </w:tcPr>
          <w:p>
            <w:pPr>
              <w:spacing w:after="0"/>
              <w:rPr>
                <w:sz w:val="20"/>
                <w:szCs w:val="20"/>
                <w:color w:val="auto"/>
              </w:rPr>
            </w:pPr>
            <w:r>
              <w:rPr>
                <w:rFonts w:ascii="Arial" w:cs="Arial" w:eastAsia="Arial" w:hAnsi="Arial"/>
                <w:sz w:val="18"/>
                <w:szCs w:val="18"/>
                <w:color w:val="auto"/>
                <w:w w:val="95"/>
              </w:rPr>
              <w:t>Common shares outstanding used in calculating basic net income (loss) per share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240" w:type="dxa"/>
            <w:vAlign w:val="bottom"/>
          </w:tcPr>
          <w:p>
            <w:pPr>
              <w:ind w:left="220"/>
              <w:spacing w:after="0"/>
              <w:rPr>
                <w:sz w:val="20"/>
                <w:szCs w:val="20"/>
                <w:color w:val="auto"/>
              </w:rPr>
            </w:pPr>
            <w:r>
              <w:rPr>
                <w:rFonts w:ascii="Arial" w:cs="Arial" w:eastAsia="Arial" w:hAnsi="Arial"/>
                <w:sz w:val="18"/>
                <w:szCs w:val="18"/>
                <w:color w:val="auto"/>
              </w:rPr>
              <w:t>attributable to ViaSat, Inc. common stockholders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43,615</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42,142</w:t>
            </w:r>
          </w:p>
        </w:tc>
        <w:tc>
          <w:tcPr>
            <w:tcW w:w="1140" w:type="dxa"/>
            <w:vAlign w:val="bottom"/>
          </w:tcPr>
          <w:p>
            <w:pPr>
              <w:jc w:val="right"/>
              <w:spacing w:after="0"/>
              <w:rPr>
                <w:sz w:val="20"/>
                <w:szCs w:val="20"/>
                <w:color w:val="auto"/>
              </w:rPr>
            </w:pPr>
            <w:r>
              <w:rPr>
                <w:rFonts w:ascii="Arial" w:cs="Arial" w:eastAsia="Arial" w:hAnsi="Arial"/>
                <w:sz w:val="18"/>
                <w:szCs w:val="18"/>
                <w:color w:val="auto"/>
              </w:rPr>
              <w:t>43,399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41,972</w:t>
            </w:r>
          </w:p>
        </w:tc>
        <w:tc>
          <w:tcPr>
            <w:tcW w:w="100" w:type="dxa"/>
            <w:vAlign w:val="bottom"/>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1"/>
              </w:rPr>
              <w:t>Options to purchase common stock as determined by application of the treasury stock</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method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1,311</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r>
      <w:tr>
        <w:trPr>
          <w:trHeight w:val="208"/>
        </w:trPr>
        <w:tc>
          <w:tcPr>
            <w:tcW w:w="6240" w:type="dxa"/>
            <w:vAlign w:val="bottom"/>
          </w:tcPr>
          <w:p>
            <w:pPr>
              <w:spacing w:after="0"/>
              <w:rPr>
                <w:sz w:val="20"/>
                <w:szCs w:val="20"/>
                <w:color w:val="auto"/>
              </w:rPr>
            </w:pPr>
            <w:r>
              <w:rPr>
                <w:rFonts w:ascii="Arial" w:cs="Arial" w:eastAsia="Arial" w:hAnsi="Arial"/>
                <w:sz w:val="18"/>
                <w:szCs w:val="18"/>
                <w:color w:val="auto"/>
                <w:w w:val="94"/>
              </w:rPr>
              <w:t>Restricted stock units to acquire common stock as determined by application of the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240" w:type="dxa"/>
            <w:vAlign w:val="bottom"/>
          </w:tcPr>
          <w:p>
            <w:pPr>
              <w:ind w:left="220"/>
              <w:spacing w:after="0"/>
              <w:rPr>
                <w:sz w:val="20"/>
                <w:szCs w:val="20"/>
                <w:color w:val="auto"/>
              </w:rPr>
            </w:pPr>
            <w:r>
              <w:rPr>
                <w:rFonts w:ascii="Arial" w:cs="Arial" w:eastAsia="Arial" w:hAnsi="Arial"/>
                <w:sz w:val="18"/>
                <w:szCs w:val="18"/>
                <w:color w:val="auto"/>
              </w:rPr>
              <w:t>treasury stock method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348</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4"/>
              </w:rPr>
              <w:t>Potentially issuable shares in connection with certain terms of the amended ViaSat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401(k) Profit Sharing Plan and Employee Stock Purchase Plan equivalents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w w:val="93"/>
              </w:rPr>
              <w:t>Shares used in computing diluted net income (loss) per share attributable to ViaSat,</w:t>
            </w: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Inc. common stockholders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43,615</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43,894</w:t>
            </w:r>
          </w:p>
        </w:tc>
        <w:tc>
          <w:tcPr>
            <w:tcW w:w="1140" w:type="dxa"/>
            <w:vAlign w:val="bottom"/>
          </w:tcPr>
          <w:p>
            <w:pPr>
              <w:jc w:val="right"/>
              <w:spacing w:after="0"/>
              <w:rPr>
                <w:sz w:val="20"/>
                <w:szCs w:val="20"/>
                <w:color w:val="auto"/>
              </w:rPr>
            </w:pPr>
            <w:r>
              <w:rPr>
                <w:rFonts w:ascii="Arial" w:cs="Arial" w:eastAsia="Arial" w:hAnsi="Arial"/>
                <w:sz w:val="18"/>
                <w:szCs w:val="18"/>
                <w:color w:val="auto"/>
              </w:rPr>
              <w:t>43,399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43,860</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weighted average number of shares used to calculate basic and diluted net income (loss) per share attributable to ViaSat, Inc. common stockholders is the same for both the three and six months ended September 28, 2012, as the Company’s financial information resulted in a net loss for the three and six months ended September 28, 2012 and inclusion of common share equivalents would be antidilutive. Common share equivalents excluded from the calculation for the three months ended September 28, 2012 were 1,566,615 shares relating to stock options, 367,833 shares relating to restricted stock units and 97,738 shares relating to certain terms of the amended ViaSat 401(k) Profit Sharing Plan and Employee Stock Purchase Plan. Common share equivalents excluded from the calculation for the six months ended September 28, 2012 were 1,628,482 shares relating to stock options, 357,005 shares relating to restricted stock units and 170,920 shares relating to certain terms of the amended ViaSat 401(k) Profit Sharing Plan and Employee Stock Purchase Plan. Antidilutive shares relating to stock options excluded from the calculation for the three and six months ended September 30, 2011 were 281,250 and 246,387 shares, respectively. Antidilutive shares relating to restricted stock units excluded from the calculation for the three and six months ended September 30, 2011 were 13,356 and 9,090 shares,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the first six months of fiscal year 2013, the Company’s goodwill increased by approximately $0.1 million related to the effects of foreign currency translation recorded within the Company’s government systems and commercial networks segments. Other acquired intangible assets are amortized using the straight-line method over their estimated useful lives of three to ten years. Amortization expense related to other acquired intangible assets was $4.0 million and $4.8 million for the three months ended September 28, 2012 and September 30, 2011, respectively, and $8.1 million and $9.5 million for the six months ended September 28, 2012 and September 30, 2011,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28, 2012</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2013</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September 28, 2012 and March 30,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September 28, 2012</w:t>
            </w: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30, 2012</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xml:space="preserve">2016 Notes </w:t>
            </w:r>
            <w:r>
              <w:rPr>
                <w:rFonts w:ascii="Arial" w:cs="Arial" w:eastAsia="Arial" w:hAnsi="Arial"/>
                <w:sz w:val="11"/>
                <w:szCs w:val="11"/>
                <w:color w:val="auto"/>
              </w:rPr>
              <w:t>(1)</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275,000</w:t>
            </w:r>
          </w:p>
        </w:tc>
        <w:tc>
          <w:tcPr>
            <w:tcW w:w="7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2016 Notes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(1,961)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(2,209)</w:t>
            </w: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xml:space="preserve">2020 Notes </w:t>
            </w:r>
            <w:r>
              <w:rPr>
                <w:rFonts w:ascii="Arial" w:cs="Arial" w:eastAsia="Arial" w:hAnsi="Arial"/>
                <w:sz w:val="11"/>
                <w:szCs w:val="11"/>
                <w:color w:val="auto"/>
              </w:rPr>
              <w:t>(1)</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Senior Notes, net of discount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548,039</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547,791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 of the Senior Notes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Senior Notes long-term, net</w:t>
            </w: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548,039</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547,791</w:t>
            </w:r>
          </w:p>
        </w:tc>
        <w:tc>
          <w:tcPr>
            <w:tcW w:w="120" w:type="dxa"/>
            <w:vAlign w:val="bottom"/>
            <w:shd w:val="clear" w:color="auto" w:fill="CCEEFF"/>
          </w:tcPr>
          <w:p>
            <w:pPr>
              <w:spacing w:after="0"/>
              <w:rPr>
                <w:sz w:val="18"/>
                <w:szCs w:val="18"/>
                <w:color w:val="auto"/>
              </w:rPr>
            </w:pPr>
          </w:p>
        </w:tc>
      </w:tr>
      <w:tr>
        <w:trPr>
          <w:trHeight w:val="322"/>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 of other long-term debt</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549,440</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549,805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548,170</w:t>
            </w:r>
          </w:p>
        </w:tc>
        <w:tc>
          <w:tcPr>
            <w:tcW w:w="78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548,565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306" w:lineRule="auto"/>
        <w:tabs>
          <w:tab w:leader="none" w:pos="46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Subsequent to the quarter end, the Company issued an additional $300.0 million in aggregate principal amount of 2020 Notes, repurchased approximately $262.1 million in aggregate principal amount of its 2016 Notes and issued a notice of redemption to redeem the remaining 2016 Notes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September 28, 2012, the Company’s revolving credit facility (the Credit Facility), as amended, provided a revolving line of credit of $325.0 million (including up to $50.0 million of letters of credit), with a maturity date of May 9, 2017.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Credit Facility in connection with the construction of various assets during the construction period. The Credit Facility is guaranteed by certain of the Company’s domestic subsidiaries and secured by substantially all of the Company’s and such subsidiaries’ assets.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 The</w:t>
      </w:r>
    </w:p>
    <w:p>
      <w:pPr>
        <w:sectPr>
          <w:pgSz w:w="11900" w:h="16838" w:orient="portrait"/>
          <w:cols w:equalWidth="0" w:num="1">
            <w:col w:w="11260"/>
          </w:cols>
          <w:pgMar w:left="240" w:top="459" w:right="399" w:bottom="1440" w:gutter="0" w:footer="0" w:header="0"/>
        </w:sectPr>
      </w:pP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240" w:top="459" w:right="3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Credit Facility was amended on September 26, 2012 to, among other things, increase the Company’s permitted total leverage ratio for the second, third and fourth quarters of fiscal year 2013 and authorize the offering of up to $300.0 million in additional indebtedness to refinance 2016 Notes.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September 28, 2012. At September 28, 2012, the Company had no outstanding borrowings under the Credit Facility and $38.5 million outstanding under standby letters of credit, leaving borrowing availability under the Credit Facility as of September 28, 2012 of $286.5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October 2009, the Company issued $275.0 million in principal amount of 2016 Notes in a private placement to institutional buyers, which 2016 Notes were exchanged in May 2010 for substantially identical 2016 Notes that had been registered with the SEC. The 2016 Notes bear interest at the rate of 8.875% per year, payable semi-annually in cash in arrears, which interest payments commenced in March 2010. The 2016 Notes were issued with an original issue discount of 1.24%, or $3.4 million. The 2016 Notes are recorded as long-term debt, net of original issue discount, in the Company’s condensed consolidated financial statements. The original issue discount and deferred financing cost associated with the issuance of the 2016 Notes is amortized to interest expense on a straight-line basis over the term of the 2016 Notes, which is not materially different from an effective interest rate basis.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2016 Notes are guaranteed on an unsecured senior basis by each of the Company’s existing and future subsidiaries that guarantees the Credit Facility (the Guarantor Subsidiaries). The 2016 Notes and the guarantees are the Company’s and the Guarantor Subsidiaries’ general senior unsecured obligations and rank equally in right of payment with all of the Company’s existing and future unsecured unsubordinated debt. The 2016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2016 Notes, and are senior in right of payment to all of their existing and future subordinated indebtedness.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2016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2016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15, 2015 at a redemption price of 100%, in each case plus accrued and unpaid interest, if any, thereon to the redemption date.</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2016 Notes at a purchase price in cash equal to 101% of the aggregate principal amount of the 2016 Notes repurchased plus accrued and unpaid interest, if any, to the date of purchase (subject to the right of holders of record on the relevant record date to receive interest due on the relevant interest payment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2020 Notes were exchanged in August 2012 for substantially identical 2020 Notes that had been registered with the SEC. The 2020 Notes bear interest at the rate of</w:t>
      </w:r>
    </w:p>
    <w:p>
      <w:pPr>
        <w:ind w:right="160"/>
        <w:spacing w:after="0" w:line="254" w:lineRule="auto"/>
        <w:rPr>
          <w:sz w:val="20"/>
          <w:szCs w:val="20"/>
          <w:color w:val="auto"/>
        </w:rPr>
      </w:pPr>
      <w:r>
        <w:rPr>
          <w:rFonts w:ascii="Arial" w:cs="Arial" w:eastAsia="Arial" w:hAnsi="Arial"/>
          <w:sz w:val="18"/>
          <w:szCs w:val="18"/>
          <w:color w:val="auto"/>
        </w:rPr>
        <w:t>6.875% per year, payable semi-annually in cash in arrears, which interest payments commenced in June 2012. The 2020 Notes were issued at the face value and are recorded as long-term debt in the Company’s condensed consolidated financial statements. Deferred financing cost associated with the issuance of the 2020 Notes is amortized to interest expense on a straight-line basis over the term of the 2020 Notes, which is not materially different from an effective interest rate basis.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2020 Notes are guaranteed on an unsecured senior basis by each of the Guarantor Subsidiaries. The 2020 Notes and the guarantees are the Company’s and the Guarantor Subsidiaries’ general senior unsecured obligations and rank equally in right of payment with all of the Company’s existing and future unsecured unsubordinated debt. The 2020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2020 Notes, and are senior in right of payment to all of their existing and future subordinated indebtedness.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Occasionally the Company may enter into capital lease agreements for various machinery, equipment, computer-related equipment, software, furniture or fixtures. As of September 28, 2012 and March 30, 2012, the Company had approximately $1.4 million and $2.0 million, respectively, outstanding under capital leases payable over a weighted average period of 36 months, due fiscal year 2014. These lease agreements bear interest at a weighted average rate of 4.61% and can be extended on a month-to-month basis after the original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issuance of additional 2020 Notes and repurchase of 2016 Notes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October 12, 2012, subsequent to the quarter end, the Company issued an additional $300.0 million in aggregate principal amount of its 2020 Notes in a private placement to institutional buyers at an issue price of 103.50% of the principal amount. The $10.5 million premium the Company received in connection with the issuance of the additional 2020 Notes will be recorded in long-term debt in the condensed consolidated financial statements and will be amortized as a reduction to interest expense on a straight-line basis over the term of the 2020 Notes, which is not materially different from an effective interest rate basis.</w:t>
      </w:r>
    </w:p>
    <w:p>
      <w:pPr>
        <w:spacing w:after="0" w:line="11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On September 27, 2012, the Company launched a tender offer to purchase, for cash, any and all of its $275.0 million in aggregate principal amount of outstanding 2016 Notes. In conjunction with the tender offer, the Company also solicited consents from the holders of the 2016 Notes to eliminate certain covenants in and amend certain provisions of the indenture governing the 2016 Notes. In connection with the Company’s issuance of the additional 2020 Notes, on October 12, 2012, the Company purchased approximately $262.1 million in aggregate principal amount of the 2016 Notes pursuant to the tender offer. The purchase price for the 2016 Notes was $1,071.56 per $1,000 principal amount of 2016 Notes tendered, which included a $10.00 consent payment per $1,000 principal amount of notes tendered. The total cash payment to purchase the tendered 2016 Notes, including accrued and unpaid interest up to, but excluding, October 12, 2012, was approximately $282.5 million. The tender offer expired on October 25, 2012. On October 15, 2012, the Company issued a notice to redeem the remaining $12.9 million in aggregate principal amount of 2016 Notes in accordance with the indenture governing the 2016 Notes. The remaining 2016 Notes will be redeemed on November 14, 2012 at a redemption price of 106.656%, plus accrued and unpaid interest up to, but excluding, the redemption date. The Company estimates that it will incur a loss on extinguishment of debt of approximately $27.0 million, which will be recorded in the third quarter of fiscal year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28, 2012 and September 30, 2011:</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219"/>
              <w:spacing w:after="0"/>
              <w:rPr>
                <w:sz w:val="20"/>
                <w:szCs w:val="20"/>
                <w:color w:val="auto"/>
              </w:rPr>
            </w:pPr>
            <w:r>
              <w:rPr>
                <w:rFonts w:ascii="Arial" w:cs="Arial" w:eastAsia="Arial" w:hAnsi="Arial"/>
                <w:sz w:val="14"/>
                <w:szCs w:val="14"/>
                <w:b w:val="1"/>
                <w:bCs w:val="1"/>
                <w:color w:val="auto"/>
                <w:w w:val="87"/>
              </w:rPr>
              <w:t>Six Months Ended</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34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4"/>
          </w:tcPr>
          <w:p>
            <w:pPr>
              <w:jc w:val="center"/>
              <w:ind w:left="219"/>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13,402</w:t>
            </w:r>
          </w:p>
        </w:tc>
        <w:tc>
          <w:tcPr>
            <w:tcW w:w="26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February 2012, the Company filed a complaint against Space Systems/Loral, Inc. (SS/L) and its parent company Loral Space &amp; Communications, Inc. (Loral) in the United States District Court for the Southern District of California for patent infringement and breach of contract relating to the manufacture of ViaSat-1. The Company alleges, among other things, that SS/L and Loral infringed U.S. Patent Nos. 8,107,875, 8,010,043, 8,068,827 and 7,773,942 by making, using, offering to sell and/or selling other high-capacity broadband satellites, and has requested monetary damages, injunctive relief and other remedies. On June 15, 2012, SS/L filed counterclaims against the Company for patent infringement and declaratory relief. Specifically, SS/L seeks a judicial declaration that SS/L did not breach the parties’ contract for the manufacture of ViaSat-1, that SS/L does not infringe the Company’s patents described above, and that those patents are invalid and/or unenforceable. SS/L also alleges that the Company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28, 2012 and March 30, 2012, the Company had $6.7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currently estimates its annual effective income tax rate to be approximately 40.5% for fiscal year 2013. The estimated annual effective income tax rate reflects the December 31, 2011 expiration of the federal research and development tax credit. If the federal research and development tax credit is reinstated, the Company may have a lower annual effective tax rate for fiscal year 2013, and the amount of any such tax rate reduction will depend on the effective date of any such reinstatement, the terms of the reinstatement, as well as the amount of eligible research and development expenses in the reinstated period. The estimated annual effective tax rate is different from the expected statutory rate primarily due to state research and development tax credits.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three and six months ended September 28, 2012, the Company’s gross unrecognized tax benefits decreased by $1.3 million and increased by $0.9 million, respectively. In the next twelve months, it is reasonably possible that the amount of unrecognized tax benefits will decrease by up to approximately $2.4 million as a result of the expiration of the statute of limitations or settlements with tax authorities for previously filed tax returns.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components of accumulated other comprehensive income (loss), net of taxes,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28, 2012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gridSpan w:val="4"/>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 Foreign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center"/>
              <w:ind w:right="6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w w:val="92"/>
              </w:rPr>
              <w:t>Current period other comprehensive income (loss), net of tax</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899</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Six Months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28, 2012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gridSpan w:val="4"/>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 Foreign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center"/>
              <w:ind w:right="6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w w:val="92"/>
              </w:rPr>
              <w:t>Current period other comprehensive income (loss), net of tax</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Net Change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4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Derivatives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78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2,403</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2"/>
              </w:rPr>
              <w:t>Current period other comprehensive income (loss), net of tax</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(1,002)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Net Change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4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Derivatives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6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2,095</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2"/>
              </w:rPr>
              <w:t>Current period other comprehensive income (loss), net of tax</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(694)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80" w:type="dxa"/>
            <w:vAlign w:val="bottom"/>
            <w:vMerge w:val="restart"/>
          </w:tcPr>
          <w:p>
            <w:pPr>
              <w:ind w:left="200"/>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 are primarily distinguished by the type of customer and the related contractual requirements. The Company’s satellite services segment provides retail and wholesale satellite-based broadband internet services for its consumer, enterprise and mobile broadband customers in the United States, as well as managed network services for the satellite communication systems of the Company’s consumer, enterprise and mobile broadband customers worldwide.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secure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three and six months ended September 28, 2012 and September 30, 2011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2"/>
              </w:rPr>
              <w:t>Three Months Ended</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5"/>
              </w:rPr>
              <w:t>Six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jc w:val="center"/>
              <w:ind w:right="2872"/>
              <w:spacing w:after="0"/>
              <w:rPr>
                <w:sz w:val="20"/>
                <w:szCs w:val="20"/>
                <w:color w:val="auto"/>
              </w:rPr>
            </w:pPr>
            <w:r>
              <w:rPr>
                <w:rFonts w:ascii="Arial" w:cs="Arial" w:eastAsia="Arial" w:hAnsi="Arial"/>
                <w:sz w:val="18"/>
                <w:szCs w:val="18"/>
                <w:color w:val="auto"/>
                <w:w w:val="86"/>
              </w:rPr>
              <w:t>Product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jc w:val="center"/>
              <w:ind w:right="2892"/>
              <w:spacing w:after="0"/>
              <w:rPr>
                <w:sz w:val="20"/>
                <w:szCs w:val="20"/>
                <w:color w:val="auto"/>
              </w:rPr>
            </w:pPr>
            <w:r>
              <w:rPr>
                <w:rFonts w:ascii="Arial" w:cs="Arial" w:eastAsia="Arial" w:hAnsi="Arial"/>
                <w:sz w:val="18"/>
                <w:szCs w:val="18"/>
                <w:color w:val="auto"/>
                <w:w w:val="86"/>
              </w:rPr>
              <w:t>Service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54,488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123,120</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126,626</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jc w:val="center"/>
              <w:ind w:right="2872"/>
              <w:spacing w:after="0"/>
              <w:rPr>
                <w:sz w:val="20"/>
                <w:szCs w:val="20"/>
                <w:color w:val="auto"/>
              </w:rPr>
            </w:pPr>
            <w:r>
              <w:rPr>
                <w:rFonts w:ascii="Arial" w:cs="Arial" w:eastAsia="Arial" w:hAnsi="Arial"/>
                <w:sz w:val="18"/>
                <w:szCs w:val="18"/>
                <w:color w:val="auto"/>
                <w:w w:val="86"/>
              </w:rPr>
              <w:t>Product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59,063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151,875</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jc w:val="center"/>
              <w:ind w:right="2892"/>
              <w:spacing w:after="0"/>
              <w:rPr>
                <w:sz w:val="20"/>
                <w:szCs w:val="20"/>
                <w:color w:val="auto"/>
              </w:rPr>
            </w:pPr>
            <w:r>
              <w:rPr>
                <w:rFonts w:ascii="Arial" w:cs="Arial" w:eastAsia="Arial" w:hAnsi="Arial"/>
                <w:sz w:val="18"/>
                <w:szCs w:val="18"/>
                <w:color w:val="auto"/>
                <w:w w:val="86"/>
              </w:rPr>
              <w:t>Service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5,136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10,797</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64,199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162,672</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jc w:val="center"/>
              <w:ind w:right="2872"/>
              <w:spacing w:after="0"/>
              <w:rPr>
                <w:sz w:val="20"/>
                <w:szCs w:val="20"/>
                <w:color w:val="auto"/>
              </w:rPr>
            </w:pPr>
            <w:r>
              <w:rPr>
                <w:rFonts w:ascii="Arial" w:cs="Arial" w:eastAsia="Arial" w:hAnsi="Arial"/>
                <w:sz w:val="18"/>
                <w:szCs w:val="18"/>
                <w:color w:val="auto"/>
                <w:w w:val="86"/>
              </w:rPr>
              <w:t>Product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86,621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160,823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jc w:val="center"/>
              <w:ind w:right="2892"/>
              <w:spacing w:after="0"/>
              <w:rPr>
                <w:sz w:val="20"/>
                <w:szCs w:val="20"/>
                <w:color w:val="auto"/>
              </w:rPr>
            </w:pPr>
            <w:r>
              <w:rPr>
                <w:rFonts w:ascii="Arial" w:cs="Arial" w:eastAsia="Arial" w:hAnsi="Arial"/>
                <w:sz w:val="18"/>
                <w:szCs w:val="18"/>
                <w:color w:val="auto"/>
                <w:w w:val="86"/>
              </w:rPr>
              <w:t>Service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16,789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74,464</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103,410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235,287</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223,024</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524,585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(losses) profits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(19,373)</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(1,739)</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(41,889)</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(3,905)</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14,333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39,251</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 of intersegment operating profits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w w:val="96"/>
              </w:rPr>
              <w:t>Segment operating profit (loss) before corporate and amortization of</w:t>
            </w:r>
          </w:p>
        </w:tc>
        <w:tc>
          <w:tcPr>
            <w:tcW w:w="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jc w:val="center"/>
              <w:ind w:right="2932"/>
              <w:spacing w:after="0"/>
              <w:rPr>
                <w:sz w:val="20"/>
                <w:szCs w:val="20"/>
                <w:color w:val="auto"/>
              </w:rPr>
            </w:pPr>
            <w:r>
              <w:rPr>
                <w:rFonts w:ascii="Arial" w:cs="Arial" w:eastAsia="Arial" w:hAnsi="Arial"/>
                <w:sz w:val="18"/>
                <w:szCs w:val="18"/>
                <w:color w:val="auto"/>
                <w:w w:val="86"/>
              </w:rPr>
              <w:t>acquired intangible assets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9,723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(6,543)</w:t>
            </w:r>
          </w:p>
        </w:tc>
        <w:tc>
          <w:tcPr>
            <w:tcW w:w="4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(4,041)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(4,767)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(8,105)</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4,956</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(14,648)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Assets identifiable to segments include: accounts receivable, unbilled accounts receivable, inventory, acquired intangible assets and goodwill. The Company’s property, plant and equipment, including its satellites, gateways and other networking equipment, are assigned to corporate assets as they are available for use by the various segments throughout their estimated useful lives. Segment assets as of September 28, 2012 and March 30, 2012 were as follows:</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September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28,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right"/>
              <w:ind w:right="55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98,269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3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222,497</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503,224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3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1,240,145</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1,241,730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1,743,369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1,727,153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340" w:type="dxa"/>
            <w:vAlign w:val="bottom"/>
            <w:vMerge w:val="restart"/>
          </w:tcPr>
          <w:p>
            <w:pPr>
              <w:jc w:val="right"/>
              <w:ind w:right="1972"/>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September 28, 2012 and March 30, 2012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89"/>
              </w:rPr>
              <w:t>Other Acquired Intangible</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4"/>
                <w:szCs w:val="14"/>
                <w:b w:val="1"/>
                <w:bCs w:val="1"/>
                <w:color w:val="auto"/>
                <w:w w:val="81"/>
              </w:rPr>
              <w:t>Assets, Net</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Goodwill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7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September 28, 2012</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March 30, 2012</w:t>
            </w: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September 28, 2012</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45,914</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52,390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Commercial Networks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1,825</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2,186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43,670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8,465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55,059</w:t>
            </w:r>
          </w:p>
        </w:tc>
        <w:tc>
          <w:tcPr>
            <w:tcW w:w="7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63,041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83,537</w:t>
            </w:r>
          </w:p>
        </w:tc>
        <w:tc>
          <w:tcPr>
            <w:tcW w:w="7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six months ended September 28, 2012 and September 30, 2011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Three Months Ended</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3,238</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Commercial Networks</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884</w:t>
            </w:r>
          </w:p>
        </w:tc>
        <w:tc>
          <w:tcPr>
            <w:tcW w:w="5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361</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Total amortization of acquired intangible assets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4,041</w:t>
            </w:r>
          </w:p>
        </w:tc>
        <w:tc>
          <w:tcPr>
            <w:tcW w:w="3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4,767</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8,105</w:t>
            </w:r>
          </w:p>
        </w:tc>
        <w:tc>
          <w:tcPr>
            <w:tcW w:w="540" w:type="dxa"/>
            <w:vAlign w:val="bottom"/>
          </w:tcPr>
          <w:p>
            <w:pPr>
              <w:jc w:val="right"/>
              <w:ind w:right="35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information by geographic area for the three and six months ended September 28, 2012 and September 30, 2011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0"/>
              </w:rPr>
              <w:t>Three Months Ended</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206,490</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175,760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385,224</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54,330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30,336</w:t>
            </w:r>
          </w:p>
        </w:tc>
        <w:tc>
          <w:tcPr>
            <w:tcW w:w="4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86,545</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20,892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5,489</w:t>
            </w:r>
          </w:p>
        </w:tc>
        <w:tc>
          <w:tcPr>
            <w:tcW w:w="4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24,287</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7,637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282,822</w:t>
            </w:r>
          </w:p>
        </w:tc>
        <w:tc>
          <w:tcPr>
            <w:tcW w:w="3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223,024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524,585</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418,125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$18.9 million and $18.7 million at September 28, 2012 and March 30, 2012,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Michael Targoff, who served as a director of the Company from February 2003 to February 2012, currently serves as the Chief Executive Officer and the Vice Chairman of the board of directors of Loral, the parent of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satellite construction contract with SS/L for ViaSat-1 requires the Company to make monthly satellite performance incentive payments, including interest, over a fifteen-year period from December 2011 to December 2026, subject to the continued satisfactory performance of the satellite. As of September 28, 2012 and March 30, 2012, the Company’s estimated satellite performance incentives obligation and accrued interest were $22.9 million and $22.5 million, respectively. Based on estimates as of September 28, 2012, the remaining amount of satellite performance incentives and related interest that the Company may be required to pay under this satellite construction contract during the period until December 2026 is approximately $38.5 million. Material amounts related to the satellite construction contract with SS/L are disclosed in the tables below.</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from time to time, the Company enters into various contracts in the ordinary course of business with SS/L and Telesat Canada. Material amounts related to these contracts are disclosed in the tables below.</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Current payables included in accrued liabilities and long-term payables included in other liabilities as of September 28, 2012 and March 30, 2012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404"/>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gridSpan w:val="2"/>
          </w:tcPr>
          <w:p>
            <w:pPr>
              <w:jc w:val="center"/>
              <w:ind w:left="104"/>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920" w:type="dxa"/>
            <w:vAlign w:val="bottom"/>
          </w:tcPr>
          <w:p>
            <w:pPr>
              <w:spacing w:after="0"/>
              <w:rPr>
                <w:sz w:val="12"/>
                <w:szCs w:val="12"/>
                <w:color w:val="auto"/>
              </w:rPr>
            </w:pPr>
          </w:p>
        </w:tc>
        <w:tc>
          <w:tcPr>
            <w:tcW w:w="1720" w:type="dxa"/>
            <w:vAlign w:val="bottom"/>
            <w:gridSpan w:val="3"/>
          </w:tcPr>
          <w:p>
            <w:pPr>
              <w:jc w:val="center"/>
              <w:ind w:left="142"/>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040" w:type="dxa"/>
            <w:vAlign w:val="bottom"/>
            <w:gridSpan w:val="2"/>
          </w:tcPr>
          <w:p>
            <w:pPr>
              <w:jc w:val="center"/>
              <w:ind w:left="84"/>
              <w:spacing w:after="0" w:line="149" w:lineRule="exact"/>
              <w:rPr>
                <w:sz w:val="20"/>
                <w:szCs w:val="20"/>
                <w:color w:val="auto"/>
              </w:rPr>
            </w:pPr>
            <w:r>
              <w:rPr>
                <w:rFonts w:ascii="Arial" w:cs="Arial" w:eastAsia="Arial" w:hAnsi="Arial"/>
                <w:sz w:val="14"/>
                <w:szCs w:val="14"/>
                <w:b w:val="1"/>
                <w:bCs w:val="1"/>
                <w:color w:val="auto"/>
                <w:w w:val="92"/>
              </w:rPr>
              <w:t>March 30,</w:t>
            </w:r>
          </w:p>
        </w:tc>
      </w:tr>
      <w:tr>
        <w:trPr>
          <w:trHeight w:val="161"/>
        </w:trPr>
        <w:tc>
          <w:tcPr>
            <w:tcW w:w="5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04"/>
              <w:spacing w:after="0"/>
              <w:rPr>
                <w:sz w:val="20"/>
                <w:szCs w:val="20"/>
                <w:color w:val="auto"/>
              </w:rPr>
            </w:pPr>
            <w:r>
              <w:rPr>
                <w:rFonts w:ascii="Arial" w:cs="Arial" w:eastAsia="Arial" w:hAnsi="Arial"/>
                <w:sz w:val="14"/>
                <w:szCs w:val="14"/>
                <w:b w:val="1"/>
                <w:bCs w:val="1"/>
                <w:color w:val="auto"/>
                <w:w w:val="83"/>
              </w:rPr>
              <w:t>2012</w:t>
            </w:r>
          </w:p>
        </w:tc>
        <w:tc>
          <w:tcPr>
            <w:tcW w:w="94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jc w:val="right"/>
              <w:ind w:right="56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Payables, current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920" w:type="dxa"/>
            <w:vAlign w:val="bottom"/>
          </w:tcPr>
          <w:p>
            <w:pPr>
              <w:ind w:left="440"/>
              <w:spacing w:after="0"/>
              <w:rPr>
                <w:sz w:val="20"/>
                <w:szCs w:val="20"/>
                <w:color w:val="auto"/>
              </w:rPr>
            </w:pPr>
            <w:r>
              <w:rPr>
                <w:rFonts w:ascii="Arial" w:cs="Arial" w:eastAsia="Arial" w:hAnsi="Arial"/>
                <w:sz w:val="18"/>
                <w:szCs w:val="18"/>
                <w:color w:val="auto"/>
                <w:w w:val="98"/>
              </w:rPr>
              <w:t>Loral – satellite construction contract (estimated satellite performance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92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24"/>
              <w:spacing w:after="0"/>
              <w:rPr>
                <w:sz w:val="20"/>
                <w:szCs w:val="20"/>
                <w:color w:val="auto"/>
              </w:rPr>
            </w:pPr>
            <w:r>
              <w:rPr>
                <w:rFonts w:ascii="Arial" w:cs="Arial" w:eastAsia="Arial" w:hAnsi="Arial"/>
                <w:sz w:val="18"/>
                <w:szCs w:val="18"/>
                <w:color w:val="auto"/>
              </w:rPr>
              <w:t>1,656</w:t>
            </w:r>
          </w:p>
        </w:tc>
        <w:tc>
          <w:tcPr>
            <w:tcW w:w="940" w:type="dxa"/>
            <w:vAlign w:val="bottom"/>
          </w:tcPr>
          <w:p>
            <w:pPr>
              <w:jc w:val="right"/>
              <w:spacing w:after="0"/>
              <w:rPr>
                <w:sz w:val="20"/>
                <w:szCs w:val="20"/>
                <w:color w:val="auto"/>
              </w:rPr>
            </w:pPr>
            <w:r>
              <w:rPr>
                <w:rFonts w:ascii="Arial" w:cs="Arial" w:eastAsia="Arial" w:hAnsi="Arial"/>
                <w:sz w:val="18"/>
                <w:szCs w:val="18"/>
                <w:color w:val="auto"/>
              </w:rPr>
              <w:t>$  1,599</w:t>
            </w:r>
          </w:p>
        </w:tc>
        <w:tc>
          <w:tcPr>
            <w:tcW w:w="100" w:type="dxa"/>
            <w:vAlign w:val="bottom"/>
          </w:tcPr>
          <w:p>
            <w:pPr>
              <w:spacing w:after="0"/>
              <w:rPr>
                <w:sz w:val="19"/>
                <w:szCs w:val="19"/>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Payables, long-term</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920" w:type="dxa"/>
            <w:vAlign w:val="bottom"/>
          </w:tcPr>
          <w:p>
            <w:pPr>
              <w:ind w:left="440"/>
              <w:spacing w:after="0"/>
              <w:rPr>
                <w:sz w:val="20"/>
                <w:szCs w:val="20"/>
                <w:color w:val="auto"/>
              </w:rPr>
            </w:pPr>
            <w:r>
              <w:rPr>
                <w:rFonts w:ascii="Arial" w:cs="Arial" w:eastAsia="Arial" w:hAnsi="Arial"/>
                <w:sz w:val="18"/>
                <w:szCs w:val="18"/>
                <w:color w:val="auto"/>
                <w:w w:val="98"/>
              </w:rPr>
              <w:t>Loral – satellite construction contract (estimated satellite performance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92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24"/>
              <w:spacing w:after="0"/>
              <w:rPr>
                <w:sz w:val="20"/>
                <w:szCs w:val="20"/>
                <w:color w:val="auto"/>
              </w:rPr>
            </w:pPr>
            <w:r>
              <w:rPr>
                <w:rFonts w:ascii="Arial" w:cs="Arial" w:eastAsia="Arial" w:hAnsi="Arial"/>
                <w:sz w:val="18"/>
                <w:szCs w:val="18"/>
                <w:color w:val="auto"/>
              </w:rPr>
              <w:t>21,241</w:t>
            </w:r>
          </w:p>
        </w:tc>
        <w:tc>
          <w:tcPr>
            <w:tcW w:w="940" w:type="dxa"/>
            <w:vAlign w:val="bottom"/>
          </w:tcPr>
          <w:p>
            <w:pPr>
              <w:jc w:val="right"/>
              <w:spacing w:after="0"/>
              <w:rPr>
                <w:sz w:val="20"/>
                <w:szCs w:val="20"/>
                <w:color w:val="auto"/>
              </w:rPr>
            </w:pPr>
            <w:r>
              <w:rPr>
                <w:rFonts w:ascii="Arial" w:cs="Arial" w:eastAsia="Arial" w:hAnsi="Arial"/>
                <w:sz w:val="18"/>
                <w:szCs w:val="18"/>
                <w:color w:val="auto"/>
              </w:rPr>
              <w:t>20,910</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expense for the three and six months ended September 28, 2012 and September 30, 2011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September 28, 2012</w:t>
            </w:r>
          </w:p>
        </w:tc>
        <w:tc>
          <w:tcPr>
            <w:tcW w:w="12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September 30, 2011</w:t>
            </w:r>
          </w:p>
        </w:tc>
        <w:tc>
          <w:tcPr>
            <w:tcW w:w="100" w:type="dxa"/>
            <w:vAlign w:val="bottom"/>
          </w:tcPr>
          <w:p>
            <w:pPr>
              <w:spacing w:after="0"/>
              <w:rPr>
                <w:sz w:val="12"/>
                <w:szCs w:val="12"/>
                <w:color w:val="auto"/>
              </w:rPr>
            </w:pPr>
          </w:p>
        </w:tc>
      </w:tr>
      <w:tr>
        <w:trPr>
          <w:trHeight w:val="156"/>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40" w:type="dxa"/>
            <w:vAlign w:val="bottom"/>
            <w:gridSpan w:val="3"/>
          </w:tcPr>
          <w:p>
            <w:pPr>
              <w:jc w:val="right"/>
              <w:ind w:right="752"/>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992"/>
              <w:spacing w:after="0" w:line="217" w:lineRule="exact"/>
              <w:rPr>
                <w:sz w:val="20"/>
                <w:szCs w:val="20"/>
                <w:color w:val="auto"/>
              </w:rPr>
            </w:pPr>
            <w:r>
              <w:rPr>
                <w:rFonts w:ascii="Arial" w:cs="Arial" w:eastAsia="Arial" w:hAnsi="Arial"/>
                <w:sz w:val="22"/>
                <w:szCs w:val="22"/>
                <w:color w:val="auto"/>
                <w:w w:val="93"/>
                <w:vertAlign w:val="superscript"/>
              </w:rPr>
              <w:t>*</w:t>
            </w:r>
            <w:r>
              <w:rPr>
                <w:rFonts w:ascii="Arial" w:cs="Arial" w:eastAsia="Arial" w:hAnsi="Arial"/>
                <w:sz w:val="18"/>
                <w:szCs w:val="18"/>
                <w:color w:val="auto"/>
                <w:w w:val="93"/>
              </w:rPr>
              <w:t xml:space="preserve">  $</w:t>
            </w:r>
          </w:p>
        </w:tc>
        <w:tc>
          <w:tcPr>
            <w:tcW w:w="760" w:type="dxa"/>
            <w:vAlign w:val="bottom"/>
          </w:tcPr>
          <w:p>
            <w:pPr>
              <w:jc w:val="right"/>
              <w:ind w:right="402"/>
              <w:spacing w:after="0" w:line="217" w:lineRule="exact"/>
              <w:rPr>
                <w:sz w:val="20"/>
                <w:szCs w:val="20"/>
                <w:color w:val="auto"/>
              </w:rPr>
            </w:pPr>
            <w:r>
              <w:rPr>
                <w:rFonts w:ascii="Arial" w:cs="Arial" w:eastAsia="Arial" w:hAnsi="Arial"/>
                <w:sz w:val="22"/>
                <w:szCs w:val="22"/>
                <w:color w:val="auto"/>
                <w:w w:val="84"/>
                <w:vertAlign w:val="superscript"/>
              </w:rPr>
              <w:t>*</w:t>
            </w:r>
            <w:r>
              <w:rPr>
                <w:rFonts w:ascii="Arial" w:cs="Arial" w:eastAsia="Arial" w:hAnsi="Arial"/>
                <w:sz w:val="18"/>
                <w:szCs w:val="18"/>
                <w:color w:val="auto"/>
                <w:w w:val="84"/>
              </w:rPr>
              <w:t xml:space="preserve">   $</w:t>
            </w:r>
          </w:p>
        </w:tc>
        <w:tc>
          <w:tcPr>
            <w:tcW w:w="54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1,496</w:t>
            </w: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r>
    </w:tbl>
    <w:p>
      <w:pPr>
        <w:spacing w:after="0" w:line="136" w:lineRule="exact"/>
        <w:rPr>
          <w:sz w:val="20"/>
          <w:szCs w:val="20"/>
          <w:color w:val="auto"/>
        </w:rPr>
      </w:pPr>
    </w:p>
    <w:p>
      <w:pPr>
        <w:spacing w:after="0"/>
        <w:tabs>
          <w:tab w:leader="none" w:pos="200" w:val="left"/>
        </w:tabs>
        <w:rPr>
          <w:sz w:val="20"/>
          <w:szCs w:val="20"/>
          <w:color w:val="auto"/>
        </w:rPr>
      </w:pPr>
      <w:r>
        <w:rPr>
          <w:rFonts w:ascii="Arial" w:cs="Arial" w:eastAsia="Arial" w:hAnsi="Arial"/>
          <w:sz w:val="22"/>
          <w:szCs w:val="22"/>
          <w:color w:val="auto"/>
          <w:vertAlign w:val="superscript"/>
        </w:rPr>
        <w:t>*</w:t>
      </w:r>
      <w:r>
        <w:rPr>
          <w:sz w:val="20"/>
          <w:szCs w:val="20"/>
          <w:color w:val="auto"/>
        </w:rPr>
        <w:tab/>
      </w:r>
      <w:r>
        <w:rPr>
          <w:rFonts w:ascii="Arial" w:cs="Arial" w:eastAsia="Arial" w:hAnsi="Arial"/>
          <w:sz w:val="18"/>
          <w:szCs w:val="18"/>
          <w:color w:val="auto"/>
        </w:rPr>
        <w:t>Amounts were not meaningful.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received and paid during the six months ended September 28, 2012 and September 30, 2011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153"/>
              <w:spacing w:after="0"/>
              <w:rPr>
                <w:sz w:val="20"/>
                <w:szCs w:val="20"/>
                <w:color w:val="auto"/>
              </w:rPr>
            </w:pPr>
            <w:r>
              <w:rPr>
                <w:rFonts w:ascii="Arial" w:cs="Arial" w:eastAsia="Arial" w:hAnsi="Arial"/>
                <w:sz w:val="14"/>
                <w:szCs w:val="14"/>
                <w:b w:val="1"/>
                <w:bCs w:val="1"/>
                <w:color w:val="auto"/>
                <w:w w:val="87"/>
              </w:rPr>
              <w:t>Six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September 28, 2012</w:t>
            </w:r>
          </w:p>
        </w:tc>
        <w:tc>
          <w:tcPr>
            <w:tcW w:w="1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September 30, 2011</w:t>
            </w:r>
          </w:p>
        </w:tc>
        <w:tc>
          <w:tcPr>
            <w:tcW w:w="10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gridSpan w:val="2"/>
          </w:tcPr>
          <w:p>
            <w:pPr>
              <w:jc w:val="center"/>
              <w:ind w:left="13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received</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4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80" w:type="dxa"/>
            <w:vAlign w:val="bottom"/>
          </w:tcPr>
          <w:p>
            <w:pPr>
              <w:ind w:left="440"/>
              <w:spacing w:after="0"/>
              <w:rPr>
                <w:sz w:val="20"/>
                <w:szCs w:val="20"/>
                <w:color w:val="auto"/>
              </w:rPr>
            </w:pPr>
            <w:r>
              <w:rPr>
                <w:rFonts w:ascii="Arial" w:cs="Arial" w:eastAsia="Arial" w:hAnsi="Arial"/>
                <w:sz w:val="18"/>
                <w:szCs w:val="18"/>
                <w:color w:val="auto"/>
                <w:w w:val="93"/>
              </w:rPr>
              <w:t>Loral – satellite construction contract (including satellite performance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58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21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r>
      <w:tr>
        <w:trPr>
          <w:trHeight w:val="217"/>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3,675</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8"/>
                <w:szCs w:val="18"/>
                <w:color w:val="auto"/>
              </w:rPr>
            </w:pPr>
          </w:p>
        </w:tc>
      </w:tr>
    </w:tbl>
    <w:p>
      <w:pPr>
        <w:spacing w:after="0" w:line="143" w:lineRule="exact"/>
        <w:rPr>
          <w:sz w:val="20"/>
          <w:szCs w:val="20"/>
          <w:color w:val="auto"/>
        </w:rPr>
      </w:pPr>
    </w:p>
    <w:p>
      <w:pPr>
        <w:spacing w:after="0"/>
        <w:tabs>
          <w:tab w:leader="none" w:pos="200" w:val="left"/>
        </w:tabs>
        <w:rPr>
          <w:sz w:val="20"/>
          <w:szCs w:val="20"/>
          <w:color w:val="auto"/>
        </w:rPr>
      </w:pPr>
      <w:r>
        <w:rPr>
          <w:rFonts w:ascii="Arial" w:cs="Arial" w:eastAsia="Arial" w:hAnsi="Arial"/>
          <w:sz w:val="22"/>
          <w:szCs w:val="22"/>
          <w:color w:val="auto"/>
          <w:vertAlign w:val="superscript"/>
        </w:rPr>
        <w:t>*</w:t>
      </w:r>
      <w:r>
        <w:rPr>
          <w:sz w:val="20"/>
          <w:szCs w:val="20"/>
          <w:color w:val="auto"/>
        </w:rPr>
        <w:tab/>
      </w:r>
      <w:r>
        <w:rPr>
          <w:rFonts w:ascii="Arial" w:cs="Arial" w:eastAsia="Arial" w:hAnsi="Arial"/>
          <w:sz w:val="18"/>
          <w:szCs w:val="18"/>
          <w:color w:val="auto"/>
        </w:rPr>
        <w:t>Amounts were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Statements of Parent and Subsidiary Guarantors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September 28, 2012, the $550.0 million in aggregate principal amount of Senior Notes issued by the Company was comprised of $275.0 million in principal amount of 2016 Notes and $275.0 million in principal amount of 2020 Notes. The Senior Notes are jointly and severally guaranteed on a full and unconditional basis by each of the Guarantor Subsidiaries, subject to certain customary release provisions, including the sale, transfer or other disposition of the capital stock or all or substantially all of the assets of a Guarantor Subsidiary, the designation of a Guarantor Subsidiary as an unrestricted subsidiary, the release or discharge of the Guarantor Subsidiary’s guarantee of the Credit Facility or the exercise of the legal defeasance option or covenant defeasance option. All of the Guarantor Subsidiaries are direct or indirect 100% owned subsidiaries of the Company. The indentures governing the Senior Notes limit,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following supplemental financial information sets forth, on a condensed consolidating basis, the balance sheets, statements of operations and comprehensive income (loss), and statements of cash flows for the Company (as “Issuing Parent Company”), the Guarantor Subsidiaries, the non-guarantor subsidiaries and total consolidated Company and subsidiaries as of September 28, 2012 and March 30, 2012 and for the three and six months ended September 28, 2012 and September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September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Guarantor</w:t>
            </w:r>
          </w:p>
        </w:tc>
        <w:tc>
          <w:tcPr>
            <w:tcW w:w="36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8"/>
              </w:rPr>
              <w:t>Subsidiaries</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w w:val="89"/>
              </w:rPr>
              <w:t>(Unaudited, in thousands)</w:t>
            </w: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119,292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215,026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9,701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6,879</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18,457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Current portion of intercompany receivables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65,443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51,542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23,353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348,119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212,402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183,723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136,170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6,152</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7,062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63,939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9,687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9,911</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 and intercompany receivables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(409,148)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126,172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35,755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1,674,901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494,282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48,777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(474,591)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1,743,369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123,524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26,265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Current portion of intercompany payables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65,443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107,125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15,796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123,045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17,927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897,562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371,237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30,850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(402,087)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897,562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371,237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30,850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(397,832)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1,674,901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494,282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48,777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(474,591)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1,743,369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March 30,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5"/>
              </w:rPr>
              <w:t>Issuing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Parent</w:t>
            </w:r>
          </w:p>
        </w:tc>
        <w:tc>
          <w:tcPr>
            <w:tcW w:w="5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Guarantor</w:t>
            </w:r>
          </w:p>
        </w:tc>
        <w:tc>
          <w:tcPr>
            <w:tcW w:w="400" w:type="dxa"/>
            <w:vAlign w:val="bottom"/>
          </w:tcPr>
          <w:p>
            <w:pPr>
              <w:spacing w:after="0"/>
              <w:rPr>
                <w:sz w:val="12"/>
                <w:szCs w:val="12"/>
                <w:color w:val="auto"/>
              </w:rPr>
            </w:pP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Company</w:t>
            </w:r>
          </w:p>
        </w:tc>
        <w:tc>
          <w:tcPr>
            <w:tcW w:w="5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Subsidiaries</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86"/>
              </w:rPr>
              <w:t>(Unaudited, 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162,426</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9,718</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192,313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6,966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18,482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506,500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33,773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22,879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Satellites, net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358,580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227,151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110,137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52,389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Investments in subsidiaries and intercompany receivables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437,631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(441,560)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1,665,194</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454,524</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48,995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(441,560)</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1,727,153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380"/>
              <w:spacing w:after="0"/>
              <w:rPr>
                <w:sz w:val="20"/>
                <w:szCs w:val="20"/>
                <w:color w:val="auto"/>
              </w:rPr>
            </w:pPr>
            <w:r>
              <w:rPr>
                <w:rFonts w:ascii="Arial" w:cs="Arial" w:eastAsia="Arial" w:hAnsi="Arial"/>
                <w:sz w:val="18"/>
                <w:szCs w:val="18"/>
                <w:b w:val="1"/>
                <w:bCs w:val="1"/>
                <w:color w:val="auto"/>
              </w:rPr>
              <w:t>LIABILITIES AND EQUITY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62,085</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12,192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763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547,791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long-term debt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37,385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10,269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2,699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777,219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16,849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887,975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398,313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32,146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(430,459)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887,975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398,313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32,146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(426,241)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1,665,194</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454,524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48,995</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(441,560)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54"/>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Operations and Comprehensive Income (Loss) for the Three Months Ended September 28,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1"/>
              </w:rPr>
              <w:t>Issuing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Parent</w:t>
            </w:r>
          </w:p>
        </w:tc>
        <w:tc>
          <w:tcPr>
            <w:tcW w:w="28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Guarantor</w:t>
            </w:r>
          </w:p>
        </w:tc>
        <w:tc>
          <w:tcPr>
            <w:tcW w:w="400" w:type="dxa"/>
            <w:vAlign w:val="bottom"/>
          </w:tcPr>
          <w:p>
            <w:pPr>
              <w:spacing w:after="0"/>
              <w:rPr>
                <w:sz w:val="12"/>
                <w:szCs w:val="12"/>
                <w:color w:val="auto"/>
              </w:rPr>
            </w:pP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2"/>
                <w:szCs w:val="12"/>
                <w:color w:val="auto"/>
              </w:rPr>
            </w:pPr>
          </w:p>
        </w:tc>
        <w:tc>
          <w:tcPr>
            <w:tcW w:w="14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Company</w:t>
            </w: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4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Pr>
          <w:p>
            <w:pPr>
              <w:spacing w:after="0"/>
              <w:rPr>
                <w:sz w:val="14"/>
                <w:szCs w:val="14"/>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161,137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2,975</w:t>
            </w:r>
          </w:p>
        </w:tc>
        <w:tc>
          <w:tcPr>
            <w:tcW w:w="18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4,481</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168,475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3,261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114,347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212,805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62,778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7,742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282,822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116,382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3,121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37, 012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20,747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2,732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(20,151)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(11,537)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(20,167)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(7,978)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(13,157)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13,157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(7,907)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(12,189)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13,157</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Net income (loss) attributable to noncontrolling interest,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gridSpan w:val="2"/>
            <w:vMerge w:val="continue"/>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(7,907)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(12,189)</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(918)</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13,107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(12,189)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Six Months Ended September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Issuing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Guarantor</w:t>
            </w:r>
          </w:p>
        </w:tc>
        <w:tc>
          <w:tcPr>
            <w:tcW w:w="400" w:type="dxa"/>
            <w:vAlign w:val="bottom"/>
          </w:tcPr>
          <w:p>
            <w:pPr>
              <w:spacing w:after="0"/>
              <w:rPr>
                <w:sz w:val="12"/>
                <w:szCs w:val="12"/>
                <w:color w:val="auto"/>
              </w:rPr>
            </w:pP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2"/>
                <w:szCs w:val="12"/>
                <w:color w:val="auto"/>
              </w:rPr>
            </w:pPr>
          </w:p>
        </w:tc>
        <w:tc>
          <w:tcPr>
            <w:tcW w:w="14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Company</w:t>
            </w: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4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Pr>
          <w:p>
            <w:pPr>
              <w:spacing w:after="0"/>
              <w:rPr>
                <w:sz w:val="14"/>
                <w:szCs w:val="14"/>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$ 304,311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3,506</w:t>
            </w:r>
          </w:p>
        </w:tc>
        <w:tc>
          <w:tcPr>
            <w:tcW w:w="18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8,609</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114,387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5,739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208,381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393,339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117,893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14,348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524,585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222,707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5,843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61,366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109,481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3,877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61,743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43,722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5,115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15,363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(44,406)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(23,058)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(44,442)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2,202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(17,367)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28,780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(22,327)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(27,075)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(1,668)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28,780</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Net income (loss) attributable to noncontrolling interest, net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gridSpan w:val="2"/>
            <w:vMerge w:val="continue"/>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 (22,327)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(27,075)</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(1,668)</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28,743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(22,000)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(27,075)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(1,421)</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28,496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0" w:type="dxa"/>
            <w:vAlign w:val="bottom"/>
            <w:gridSpan w:val="2"/>
          </w:tcPr>
          <w:p>
            <w:pPr>
              <w:jc w:val="right"/>
              <w:ind w:right="77"/>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Operations and Comprehensive Income (Loss) for the Three Months Ended September 30, 2011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Issuing</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2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Parent</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Guarantor</w:t>
            </w:r>
          </w:p>
        </w:tc>
        <w:tc>
          <w:tcPr>
            <w:tcW w:w="40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Company</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4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135,843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926</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9,917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21,988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51,638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76,413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157,831</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52,564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13,104</w:t>
            </w:r>
          </w:p>
        </w:tc>
        <w:tc>
          <w:tcPr>
            <w:tcW w:w="2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223,024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100,366</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785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7,892</w:t>
            </w:r>
          </w:p>
        </w:tc>
        <w:tc>
          <w:tcPr>
            <w:tcW w:w="2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14,580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38,321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1,701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29,919</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11,983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2,477</w:t>
            </w:r>
          </w:p>
        </w:tc>
        <w:tc>
          <w:tcPr>
            <w:tcW w:w="2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6,592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3,239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5,404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5,364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(3,443)</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7,393</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(1,091)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Net income (loss) attributable to noncontrolling interest, net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7,393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(1,091)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1,802</w:t>
            </w:r>
          </w:p>
        </w:tc>
        <w:tc>
          <w:tcPr>
            <w:tcW w:w="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Six Months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Issuing</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Parent</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2"/>
                <w:szCs w:val="12"/>
                <w:color w:val="auto"/>
              </w:rPr>
            </w:pPr>
          </w:p>
        </w:tc>
        <w:tc>
          <w:tcPr>
            <w:tcW w:w="12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Company</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8"/>
              </w:rPr>
              <w:t>Subsidiaries</w:t>
            </w:r>
          </w:p>
        </w:tc>
        <w:tc>
          <w:tcPr>
            <w:tcW w:w="3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ind w:left="60"/>
              <w:spacing w:after="0" w:line="142" w:lineRule="exact"/>
              <w:rPr>
                <w:sz w:val="20"/>
                <w:szCs w:val="20"/>
                <w:color w:val="auto"/>
              </w:rPr>
            </w:pPr>
            <w:r>
              <w:rPr>
                <w:rFonts w:ascii="Arial" w:cs="Arial" w:eastAsia="Arial" w:hAnsi="Arial"/>
                <w:sz w:val="14"/>
                <w:szCs w:val="14"/>
                <w:b w:val="1"/>
                <w:bCs w:val="1"/>
                <w:color w:val="auto"/>
                <w:w w:val="96"/>
              </w:rPr>
              <w:t>(Unaudited, in thousands)</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254,756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1,578</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13,167</w:t>
            </w:r>
          </w:p>
        </w:tc>
        <w:tc>
          <w:tcPr>
            <w:tcW w:w="4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39,685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104,989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148,968</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294,441</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106,567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18,580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(1,463)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418,125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189,930</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10,465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(1,743)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25,472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56,534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25,060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11,957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6,477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8,608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8,701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8,849</w:t>
            </w: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(1,206)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(2,080)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Net income (loss) attributable to noncontrolling interest, net of tax</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8,849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(1,206)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4,171</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Six Months Ended September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Consolidation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Issuing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Parent</w:t>
            </w:r>
          </w:p>
        </w:tc>
        <w:tc>
          <w:tcPr>
            <w:tcW w:w="26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Guarantor</w:t>
            </w:r>
          </w:p>
        </w:tc>
        <w:tc>
          <w:tcPr>
            <w:tcW w:w="38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 (15,490)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57,710</w:t>
            </w:r>
          </w:p>
        </w:tc>
        <w:tc>
          <w:tcPr>
            <w:tcW w:w="180" w:type="dxa"/>
            <w:vAlign w:val="bottom"/>
          </w:tcPr>
          <w:p>
            <w:pPr>
              <w:spacing w:after="0"/>
              <w:rPr>
                <w:sz w:val="19"/>
                <w:szCs w:val="19"/>
                <w:color w:val="auto"/>
              </w:rPr>
            </w:pP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(133)</w:t>
            </w:r>
          </w:p>
        </w:tc>
        <w:tc>
          <w:tcPr>
            <w:tcW w:w="22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42,087</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(23,287)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(50,689)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(74,652)</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(12,351)</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(50,689)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(87,003)</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14,055</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Payments on capital lease</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satellite performance incentives obligation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(1,052)</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(1,052)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w:t>
            </w: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(36,465)</w:t>
            </w: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439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9,718</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172,583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$ 119,292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6,911</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9,915</w:t>
            </w: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136,118</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Six Months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Consolidation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Issuing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Parent</w:t>
            </w:r>
          </w:p>
        </w:tc>
        <w:tc>
          <w:tcPr>
            <w:tcW w:w="26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Guarantor</w:t>
            </w:r>
          </w:p>
        </w:tc>
        <w:tc>
          <w:tcPr>
            <w:tcW w:w="40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Company</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90"/>
              </w:rPr>
              <w:t>(Unaudited, 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(12,993)</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30,987</w:t>
            </w:r>
          </w:p>
        </w:tc>
        <w:tc>
          <w:tcPr>
            <w:tcW w:w="160" w:type="dxa"/>
            <w:vAlign w:val="bottom"/>
          </w:tcPr>
          <w:p>
            <w:pPr>
              <w:spacing w:after="0"/>
              <w:rPr>
                <w:sz w:val="19"/>
                <w:szCs w:val="19"/>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7,704</w:t>
            </w:r>
          </w:p>
        </w:tc>
        <w:tc>
          <w:tcPr>
            <w:tcW w:w="22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(1,912)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(116,927)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(16,129)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left="173"/>
              <w:spacing w:after="0"/>
              <w:rPr>
                <w:sz w:val="20"/>
                <w:szCs w:val="20"/>
                <w:color w:val="auto"/>
              </w:rPr>
            </w:pPr>
            <w:r>
              <w:rPr>
                <w:rFonts w:ascii="Arial" w:cs="Arial" w:eastAsia="Arial" w:hAnsi="Arial"/>
                <w:sz w:val="18"/>
                <w:szCs w:val="18"/>
                <w:color w:val="auto"/>
                <w:w w:val="84"/>
              </w:rPr>
              <w:t>1,912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60"/>
              <w:spacing w:after="0"/>
              <w:rPr>
                <w:sz w:val="20"/>
                <w:szCs w:val="20"/>
                <w:color w:val="auto"/>
              </w:rPr>
            </w:pPr>
            <w:r>
              <w:rPr>
                <w:rFonts w:ascii="Arial" w:cs="Arial" w:eastAsia="Arial" w:hAnsi="Arial"/>
                <w:sz w:val="18"/>
                <w:szCs w:val="18"/>
                <w:color w:val="auto"/>
              </w:rPr>
              <w:t>Long-term intercompany notes and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(3,346)</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(121,858)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(16,129)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(1,434)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Proceeds from issuance of common stock under equity plans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Purchase of common stock in treasury</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line of credit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20,686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(20,686)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(3,346)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left="173"/>
              <w:spacing w:after="0"/>
              <w:rPr>
                <w:sz w:val="20"/>
                <w:szCs w:val="20"/>
                <w:color w:val="auto"/>
              </w:rPr>
            </w:pPr>
            <w:r>
              <w:rPr>
                <w:rFonts w:ascii="Arial" w:cs="Arial" w:eastAsia="Arial" w:hAnsi="Arial"/>
                <w:sz w:val="18"/>
                <w:szCs w:val="18"/>
                <w:color w:val="auto"/>
                <w:w w:val="84"/>
              </w:rPr>
              <w:t>3,346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134,549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(21,097)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4"/>
              </w:rPr>
              <w:t>3,346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2,058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24,045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10,601</w:t>
            </w: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anticipated satellite construction activities; future economic conditions and performance; anticipated performance of products or services;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successfully implement our business plan for our broadband satellite services on our anticipated timeline or at all; negative audits by the U.S. government; continued turmoil in global business environment and economic conditions; delays in approving U.S. government budgets and cuts in government defense expenditures; our reliance on U.S. government contracts, and on a small number of contracts which account for a significant percentage of our revenues; our ability to successfully develop, introduce and sell new technologies, products and services;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30, 2012,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broadband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satellite services segment provides retail and wholesale satellite-based broadband internet services for our consumer, enterprise and mobile broadband customers in the United States. Our satellite services business also provides a platform for the provision of network management services to domestic and international satellite service providers.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18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Retail and wholesale broadband satellite services offered under the Exede</w:t>
      </w:r>
      <w:r>
        <w:rPr>
          <w:rFonts w:ascii="Arial" w:cs="Arial" w:eastAsia="Arial" w:hAnsi="Arial"/>
          <w:sz w:val="10"/>
          <w:szCs w:val="10"/>
          <w:color w:val="auto"/>
        </w:rPr>
        <w:t>SM</w:t>
      </w:r>
      <w:r>
        <w:rPr>
          <w:rFonts w:ascii="Arial" w:cs="Arial" w:eastAsia="Arial" w:hAnsi="Arial"/>
          <w:sz w:val="16"/>
          <w:szCs w:val="16"/>
          <w:color w:val="auto"/>
        </w:rPr>
        <w:t xml:space="preserve"> and WildBlue</w:t>
      </w:r>
      <w:r>
        <w:rPr>
          <w:rFonts w:ascii="Arial" w:cs="Arial" w:eastAsia="Arial" w:hAnsi="Arial"/>
          <w:sz w:val="10"/>
          <w:szCs w:val="10"/>
          <w:color w:val="auto"/>
        </w:rPr>
        <w:t>®</w:t>
      </w:r>
      <w:r>
        <w:rPr>
          <w:rFonts w:ascii="Arial" w:cs="Arial" w:eastAsia="Arial" w:hAnsi="Arial"/>
          <w:sz w:val="16"/>
          <w:szCs w:val="16"/>
          <w:color w:val="auto"/>
        </w:rPr>
        <w:t xml:space="preserve"> brands, which provide two-way satellite-based broadband internet access to consumers and small businesses in the United States. We offer a range of service plans to both retail and wholesale customers, with pricing based on data speeds and volume limits. We offer wholesale broadband services to our national and regional distribution partners, including direct-to-home satellite video providers, retail service providers and communications companies. As of September 28, 2012, we provided broadband satellite services to approximately 429,000 subscribers.</w:t>
      </w:r>
    </w:p>
    <w:p>
      <w:pPr>
        <w:spacing w:after="0" w:line="34"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color w:val="auto"/>
        </w:rPr>
        <w:t xml:space="preserve"> mobile broadband services, which provide global network management and high-speed internet connectivity services for customers using airborne, maritime and ground-mobile satellite systems.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satellite networks, including next-generation satellite network infrastructure and ground terminals to access high-capacity satellites.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 satellite communication systems, including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and satellite networking services, as well as products designed for manpacks, aircraft, unmanned aerial vehicles (UAVs), seagoing vessels, ground mobile vehicles and fixed applications.</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assurance products and secure networking solutions, which provide advanced, high-speed IP-based “Type 1,” High Assurance Internet Protocol Encryption (HAIPE</w:t>
      </w:r>
      <w:r>
        <w:rPr>
          <w:rFonts w:ascii="Arial" w:cs="Arial" w:eastAsia="Arial" w:hAnsi="Arial"/>
          <w:sz w:val="10"/>
          <w:szCs w:val="10"/>
          <w:color w:val="auto"/>
        </w:rPr>
        <w:t>®</w:t>
      </w:r>
      <w:r>
        <w:rPr>
          <w:rFonts w:ascii="Arial" w:cs="Arial" w:eastAsia="Arial" w:hAnsi="Arial"/>
          <w:sz w:val="16"/>
          <w:szCs w:val="16"/>
          <w:color w:val="auto"/>
        </w:rPr>
        <w:t>)-compliant, and other advanced encryption solutions that enable military, government and other users to communicate information securely over networks, and that secure data stored on computers and storage devices.</w:t>
      </w:r>
    </w:p>
    <w:p>
      <w:pPr>
        <w:spacing w:after="0" w:line="25"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 JTRS) terminals, “disposable” weapon data links and portable small tactical terminals.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 Our domestic satellite broadband services business comprised approximately 13% and 15% of total revenues during the three months ended September 28, 2012 and September 30, 2011, respectively, and 14% and 16% of total revenues during the six months ended September 28, 2012 and September 30, 2011, respectively.</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With respect to our commercial networks and government systems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 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95% and 94% of our total revenues for these segments for the three months ended September 28, 2012 and September 30, 2011, respectively, and 94% and 93% of our total revenues for these segments for the six months ended September 28, 2012 and September 30, 2011,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2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$51.3 million or 18% and $53.4 million or 24% of our total revenues in the three months ended September 28, 2012 and September 30, 2011, respectively. Revenues for our funded research and development from our customer contracts were approximately $104.1 million or 20% and $107.8 million or 26% of our total revenues in the six months ended September 28, 2012 and September 30, 2011, respectively.</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3% of total revenues during each of the three and six months ended September 28, 2012 and September 30, 2011. As a government contractor, we are able to recover a portion of our IR&amp;D expenses pursuant to our government contracts.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September 28, 2012 and September 30, 2011, we recorded losses of approximately $1.1 million and $0.4 million, respectively, related to loss contracts. During the six months ended September 28, 2012 and September 30, 2011, we recorded losses of approximately $2.4 million and $0.7 million, respectively, related to loss contracts.</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September 28, 2012 would change our loss before income taxes by approximately $0.5 million.</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95"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To determine the selling price in multiple-element arrangements, we establish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0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own two satellites: our new high-capacity Ka-band spot-beam satellite, ViaSat-1 (which was successfully launched into orbit in October 2011 and commenced commercial operation in January 2012) and WildBlue-1 (which was placed into service in March 2007). In addition, we have an exclusive prepaid lifetime capital lease of Ka-band capacity over the continental United States on Telesat Canada’s Anik F2 satellite (which was placed into service in April 2005) and own related gateway and networking equipment on all of our satellites. Our property and equipment also includes the indoor and outdoor customer premise equipment (CPE) units leased to subscribers under a retail leasing program as part of our satellite services segment.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Occasionally, we may enter into capital lease arrangements for various machinery, equipment, computer-related equipment, software, furniture or fixtures. As of September 28, 2012 and March 30, 2012, assets under capital lease totaled approximately $3.1 million. We record amortization of assets leased under capital lease arrangements within depreciation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28, 2012 and September 30, 2011.</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We early adopted the provisions of ASU 2011-08, Testing Goodwill for Impairment, during the fourth quarter of fiscal year 2012,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qualitative analysis performed during the fourth quarter of fiscal year 2012 included assessing the impact of changes in certain factors including</w:t>
      </w:r>
    </w:p>
    <w:p>
      <w:pPr>
        <w:spacing w:after="0" w:line="38" w:lineRule="exact"/>
        <w:rPr>
          <w:sz w:val="20"/>
          <w:szCs w:val="20"/>
          <w:color w:val="auto"/>
        </w:rPr>
      </w:pPr>
    </w:p>
    <w:p>
      <w:pPr>
        <w:ind w:right="160" w:firstLine="8"/>
        <w:spacing w:after="0" w:line="295"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forecasted operating results and comparing actual results to projections, (2) changes in our weighted average cost of capital, (3) changes in the industry or our competitive environment since the acquisition date, (4) changes in the overall economy, our market share and market interest rates since the acquisition date, (5) trends in the stock price and related market capitalization and enterprise values, (6) trends in peer companies total enterprise value metrics, and (7) additional factors such as management turnover, changes in regulation and changes in litigation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 $14.7 million at March 30, 2012 to $16.2 million at September 28, 2012. The valuation allowance primarily relates to state net operating loss carryforwards and research credit carryforwards available to reduce state income taxes.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7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542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r>
      <w:tr>
        <w:trPr>
          <w:trHeight w:val="161"/>
        </w:trPr>
        <w:tc>
          <w:tcPr>
            <w:tcW w:w="54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5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65.7</w:t>
            </w:r>
          </w:p>
        </w:tc>
        <w:tc>
          <w:tcPr>
            <w:tcW w:w="820" w:type="dxa"/>
            <w:vAlign w:val="bottom"/>
          </w:tcPr>
          <w:p>
            <w:pPr>
              <w:jc w:val="right"/>
              <w:spacing w:after="0"/>
              <w:rPr>
                <w:sz w:val="20"/>
                <w:szCs w:val="20"/>
                <w:color w:val="auto"/>
              </w:rPr>
            </w:pPr>
            <w:r>
              <w:rPr>
                <w:rFonts w:ascii="Arial" w:cs="Arial" w:eastAsia="Arial" w:hAnsi="Arial"/>
                <w:sz w:val="18"/>
                <w:szCs w:val="18"/>
                <w:color w:val="auto"/>
              </w:rPr>
              <w:t>60.3</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5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24.3</w:t>
            </w: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(loss) income</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ViaSat, Inc.</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4900"/>
        <w:spacing w:after="0" w:line="369" w:lineRule="auto"/>
        <w:rPr>
          <w:sz w:val="20"/>
          <w:szCs w:val="20"/>
          <w:color w:val="auto"/>
        </w:rPr>
      </w:pPr>
      <w:r>
        <w:rPr>
          <w:rFonts w:ascii="Arial" w:cs="Arial" w:eastAsia="Arial" w:hAnsi="Arial"/>
          <w:sz w:val="18"/>
          <w:szCs w:val="18"/>
          <w:b w:val="1"/>
          <w:bCs w:val="1"/>
          <w:color w:val="auto"/>
        </w:rPr>
        <w:t xml:space="preserve">Three Months Ended September 28, 2012 vs. Three Months Ended September 30, 2011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2"/>
                <w:szCs w:val="12"/>
                <w:color w:val="auto"/>
              </w:rPr>
            </w:pPr>
          </w:p>
        </w:tc>
        <w:tc>
          <w:tcPr>
            <w:tcW w:w="144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3"/>
              </w:rPr>
              <w:t>September 28,</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168.5</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146.6</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21.9</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total revenues increased approximately $59.8 million during the second quarter of fiscal year 2013 when compared to the same period last fiscal year due to an increase in service revenues of approximately $37.9 million, coupled with an increase in product revenues of approximately $21.9 million. The increase in service revenues was driven primarily by service revenue increases in our government systems segment of approximately $27.8 million and in our satellite services segment of approximately $9.8 million. The increase in product revenues resulted from product revenue increases in our commercial networks segment of approximately $22.1 million and in our satellite services segment of approximately $2.0 million, offset by a decrease of approximately $2.2 million in our government systems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121.4</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107.9</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Total cost of revenues increased $54.7 million during the second quarter of fiscal year 2013 compared to the second quarter of fiscal year 2012 due to a cost of service revenues increase of approximately $41.2 million and a cost of product revenues increase of approximately $13.5 million. Cost of service revenues increased from $54.2 million to $95.4 million during the second quarter of fiscal year 2013 when compared to the second quarter of fiscal year 2012 primarily due to increased service revenues, which caused an increase of approximately $26.9 million in cost of service revenues on a constant margin basis mainly related to our government systems segment. Additionally, in the second quarter of fiscal year 2013 we experienced an increase of approximately $16.8 million in cost of service revenues associated with our new ViaSat-1 satellite and associated infrastructure costs, and with our satellite services operations support in connection with our Exede broadband services, which commenced commercial operation in January 2012. Cost of product revenues increased from $107.9 million to $121.4 million during the second quarter of fiscal year 2013 when compared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second quarter of fiscal year 2012 primarily due to increased product revenues, which caused an increase of approximately $16.1 million in cost of product revenues on a constant margin basis mainly related to consumer broadband products in our commercial networks segment. This increase in cost of product revenues was offset by improved margins mainly related to consumer broadband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Three Months Ended</w:t>
            </w:r>
          </w:p>
        </w:tc>
        <w:tc>
          <w:tcPr>
            <w:tcW w:w="5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00" w:type="dxa"/>
            <w:vAlign w:val="bottom"/>
            <w:vMerge w:val="restart"/>
          </w:tcPr>
          <w:p>
            <w:pPr>
              <w:spacing w:after="0"/>
              <w:rPr>
                <w:sz w:val="11"/>
                <w:szCs w:val="11"/>
                <w:color w:val="auto"/>
              </w:rPr>
            </w:pPr>
          </w:p>
        </w:tc>
        <w:tc>
          <w:tcPr>
            <w:tcW w:w="14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1"/>
                <w:szCs w:val="11"/>
                <w:color w:val="auto"/>
              </w:rPr>
            </w:pPr>
          </w:p>
        </w:tc>
        <w:tc>
          <w:tcPr>
            <w:tcW w:w="128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76"/>
              </w:rPr>
              <w:t>2011</w:t>
            </w:r>
          </w:p>
        </w:tc>
        <w:tc>
          <w:tcPr>
            <w:tcW w:w="700" w:type="dxa"/>
            <w:vAlign w:val="bottom"/>
          </w:tcPr>
          <w:p>
            <w:pPr>
              <w:spacing w:after="0"/>
              <w:rPr>
                <w:sz w:val="12"/>
                <w:szCs w:val="12"/>
                <w:color w:val="auto"/>
              </w:rPr>
            </w:pPr>
          </w:p>
        </w:tc>
        <w:tc>
          <w:tcPr>
            <w:tcW w:w="128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54.1</w:t>
            </w:r>
          </w:p>
        </w:tc>
        <w:tc>
          <w:tcPr>
            <w:tcW w:w="6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44.4</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increase in selling, general and administrative (SG&amp;A) expenses of $9.7 million in the second quarter of fiscal year 2013 compared to the second quarter of fiscal year 2012 was primarily attributable to higher selling costs of approximately $ 9.2 million. Of the higher selling costs, $8.5 million related to our satellite services segment due to increases of $6.9 million in advertising and marketing expenses, and $1.9 million in commission costs in connection with our Exede broadband services, which commenced commercial operation in January 2012. SG&amp;A expenses consisted primarily of personnel costs, business development expenses, marketing and sales, bids and proposals, facilities, finance, contract administration and general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Three Months Ended</w:t>
            </w: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60" w:type="dxa"/>
            <w:vAlign w:val="bottom"/>
            <w:vMerge w:val="restart"/>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1"/>
                <w:szCs w:val="11"/>
                <w:color w:val="auto"/>
              </w:rPr>
            </w:pPr>
          </w:p>
        </w:tc>
        <w:tc>
          <w:tcPr>
            <w:tcW w:w="128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2"/>
                <w:szCs w:val="12"/>
                <w:color w:val="auto"/>
              </w:rPr>
            </w:pPr>
          </w:p>
        </w:tc>
        <w:tc>
          <w:tcPr>
            <w:tcW w:w="1280" w:type="dxa"/>
            <w:vAlign w:val="bottom"/>
            <w:gridSpan w:val="3"/>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6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IR&amp;D expenses increased $1.9 million in the second quarter of fiscal year 2013 compared to the second quarter of fiscal year 2012, driven primarily by increased IR&amp;D efforts in our commercial networks segment of $1.4 million principally related to next-generation satellite communications systems and next-generation consumer broadband.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three to ten years. The decrease in amortization of acquired intangible assets of approximately $0.7 million in the second quarter of fiscal year 2013 compared to the same period last fiscal year was a result of certain acquired technology intangibles in our commercial networks segment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28, 2012</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2013</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income in the three months ended September 28, 2012 compared to the three months ended September 30, 2011 increased slightly as we experienced similar average interest rates on our investments but higher average invested cash balances during the second quarter of fiscal year 2013 compared to the same period last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$11.3 million increase in interest expense from the second quarter of fiscal year 2012 to the second quarter of fiscal year 2013 was due to lower capitalized interest and additional interest incurred on our 6.875% Senior Notes due 2020 (the 2020 Notes), which were issued in the fourth quarter of fiscal year 2012. In the second quarter of fiscal year 2013, we capitalized approximately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$0.8 million of interest associated with other assets currently under construction, compared to approximately $7.7 million in the second quarter of fiscal year 2012 associated with our ViaSat-1 satellite, related gateways and networking equipment, which were placed into service during the fourth quarter of fiscal year 2012. Interest expense incurred during the three months ended September 28, 2012 related to the 2020 Notes, our 8.875% Senior Notes due 2016 (the 2016 Notes, and collectively with the 2020 Notes, the Senior Notes) and our revolving credit facility (the Credit Facility). Interest expense incurred during the three months ended September 30, 2011 related to the 2016 Notes and the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currently estimate our annual effective income tax rate to be approximately 40.5% for fiscal year 2013. The estimated annual effective income tax rate reflects the December 31, 2011 expiration of the federal research and development tax credit. If the federal research and development tax credit is reinstated, we may have a change in the effective tax rate for fiscal year 2013, and the amount of any such tax rate change will depend on the effective date of any such reinstatement, the terms of the reinstatement, as well as the amount of eligible research and development expenses in the reinstated period. The estimated annual effective tax rate is different from the expected statutory rate primarily due to state research and development tax credits.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28, 2012 vs. Three Months Ended September 30,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6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0.9</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8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increase of approximately $11.9 million in our satellite services segment revenue in the second quarter of fiscal year 2013 compared to the second quarter of fiscal year 2012 was from increased service revenues of approximately $9.8 million and product revenues of approximately $2.0 million. The increase in service revenues was comprised of $8.2 million relating to our Exede and WildBlue broadband services and $1.6 million relating to our mobile broadband services. The revenue increase relating to our Exede and WildBlue broadband services was a result of a 7% increase in the number of subscribers in the second quarter of fiscal year 2013 compared to the second quarter of fiscal year 2012, as well as a change in the mix of retail and wholesale subscribers and related higher average revenue per subscriber.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6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(19.4)</w:t>
            </w:r>
          </w:p>
        </w:tc>
        <w:tc>
          <w:tcPr>
            <w:tcW w:w="2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(1.7)</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(17.6)</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(1,014.0)%</w:t>
            </w: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Our satellite services segment generated a $17.6 million higher operating loss in the second quarter of fiscal year 2013 compared to the same period last fiscal year due to higher operating expenses in the current fiscal year period associated with our ViaSat-1 satellite and related infrastructure and the commencement of commercial operation of our Exede broadband internet services in January 2012, and included additional depreciation of $10.7 million, additional satellite services operations support costs of $6.2 million, higher advertising and marketing costs of $6.9 million and higher commission costs of $1.9 million as we expanded the subscriber base of our Exede broadband services.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6"/>
              </w:rPr>
              <w:t>Three Months Ended</w:t>
            </w:r>
          </w:p>
        </w:tc>
        <w:tc>
          <w:tcPr>
            <w:tcW w:w="5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7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70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70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81.1</w:t>
            </w:r>
          </w:p>
        </w:tc>
        <w:tc>
          <w:tcPr>
            <w:tcW w:w="7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59.1</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22.1</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8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Commercial networks segment revenue increased approximately $22.3 million in the second quarter of fiscal year 2013 compared to the second quarter of fiscal year 2012, primarily due to an increase in product revenues of approximately $22.1 million. The increase in product revenues resulted primarily from a revenue increase of $30.9 million in consumer broadband products and $1.6 million in satellite payload technology development programs, offset by a revenue decrease of $4.8 million in enterprise VSAT networks and products, $3.7 million in antenna systems products and $2.2 million in mobile broadband satellite communication systems.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180" w:type="dxa"/>
            <w:vAlign w:val="bottom"/>
            <w:vMerge w:val="restart"/>
          </w:tcPr>
          <w:p>
            <w:pPr>
              <w:spacing w:after="0"/>
              <w:rPr>
                <w:sz w:val="11"/>
                <w:szCs w:val="11"/>
                <w:color w:val="auto"/>
              </w:rPr>
            </w:pPr>
          </w:p>
        </w:tc>
        <w:tc>
          <w:tcPr>
            <w:tcW w:w="1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0" w:type="dxa"/>
            <w:vAlign w:val="bottom"/>
          </w:tcPr>
          <w:p>
            <w:pPr>
              <w:spacing w:after="0"/>
              <w:rPr>
                <w:sz w:val="11"/>
                <w:szCs w:val="11"/>
                <w:color w:val="auto"/>
              </w:rPr>
            </w:pPr>
          </w:p>
        </w:tc>
        <w:tc>
          <w:tcPr>
            <w:tcW w:w="122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2011</w:t>
            </w:r>
          </w:p>
        </w:tc>
        <w:tc>
          <w:tcPr>
            <w:tcW w:w="800" w:type="dxa"/>
            <w:vAlign w:val="bottom"/>
          </w:tcPr>
          <w:p>
            <w:pPr>
              <w:spacing w:after="0"/>
              <w:rPr>
                <w:sz w:val="12"/>
                <w:szCs w:val="12"/>
                <w:color w:val="auto"/>
              </w:rPr>
            </w:pPr>
          </w:p>
        </w:tc>
        <w:tc>
          <w:tcPr>
            <w:tcW w:w="122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decrease in our commercial networks segment operating loss in the second quarter of fiscal year 2013 compared to the same period last fiscal year was primarily due to higher earnings contributions of approximately $2.5 million from increased revenues and improved margins in our consumer broadband products, offset by higher IR&amp;D costs of $1.4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4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84.4</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86.6</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27.8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Total revenues in our government systems segment increased approximately $25.6 million in the second quarter of fiscal year 2013 compared to the same period last fiscal year due to an increase in service revenues of $27.8 million, offset by a decrease in product revenues of $2.2 million. The increase in service revenues was primarily due to a revenue increase of $28.8 million in government satellite communication systems services (mainly attributable to broadband networking services revenues for military customers). The decrease in product revenues was primarily due to a revenue decrease of $5.8 million in information assurance products, offset by a revenue increase of $3.1 million in tactical data link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4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24.4</w:t>
            </w:r>
          </w:p>
        </w:tc>
        <w:tc>
          <w:tcPr>
            <w:tcW w:w="7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14.3</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10.1</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our government systems segment operating profit of $10.1 million during the second quarter of fiscal year 2013 compared to the second quarter of fiscal year 2012 was primarily due to higher earnings contributions of approximately $10.0 million mainly in our government satellite communication systems.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40"/>
        <w:spacing w:after="0" w:line="369" w:lineRule="auto"/>
        <w:rPr>
          <w:sz w:val="20"/>
          <w:szCs w:val="20"/>
          <w:color w:val="auto"/>
        </w:rPr>
      </w:pPr>
      <w:r>
        <w:rPr>
          <w:rFonts w:ascii="Arial" w:cs="Arial" w:eastAsia="Arial" w:hAnsi="Arial"/>
          <w:sz w:val="18"/>
          <w:szCs w:val="18"/>
          <w:b w:val="1"/>
          <w:bCs w:val="1"/>
          <w:color w:val="auto"/>
        </w:rPr>
        <w:t xml:space="preserve">Six Months Ended September 28, 2012 vs. Six Months Ended September 30, 2011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4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4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2011</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4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316.2</w:t>
            </w:r>
          </w:p>
        </w:tc>
        <w:tc>
          <w:tcPr>
            <w:tcW w:w="6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269.2</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59.4</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total revenues increased approximately $106.5 million during the first six months of fiscal year 2013 when compared to the same period last fiscal year due to an increase in service revenues of approximately $59.4 million, coupled with an increase in product revenues of approximately $47.0 million. The increase in service revenues was driven primarily by service revenue increases in our government systems segment of approximately $46.1 million and in our satellite services segment of approximately $12.4 million. The increase in product revenues resulted primarily from product revenue increases in our commercial networks segment of approximately $45.5 million and in our satellite services segment of approximately $1.9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4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4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2011</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4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230.5</w:t>
            </w:r>
          </w:p>
        </w:tc>
        <w:tc>
          <w:tcPr>
            <w:tcW w:w="6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200.2</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30.3</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70.4</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Total cost of revenues increased $100.7 million during the first six months of fiscal year 2013 compared to the same period in fiscal year 2012 due to a cost of service revenues increase of approximately $70.4 million and a cost of product revenues increase of approximately $30.3 million. Cost of service revenues increased from $103.5 million to $174.0 million during the first six months of fiscal year 2013 when compared to the first six months of fiscal year 2012 primarily due to increased service revenues, which caused an increase of approximately $41.3 million in cost of service revenues on a constant margin basis mainly related to our government systems segment. Additionally, in the first six months of fiscal year 2013 we experienced an increase of approximately $31.6 million in cost of service revenues associated with our new ViaSat-1 satellite and associated infrastructure costs, and with our satellite services operations support in connection with our Exede broadband services, which commenced commercial operation in January 2012. Cost of product revenues increased from $200.2 million to $230.5 million during the first six months of fiscal year 2013 when compared to the first six months of fiscal year 2012 primarily due to increased product revenues, which caused an increase of approximately $35.0 million in cost of product revenues on a constant margin basis related to consumer broadband products. This increase in cost of product revenues was slightly offset by improved margins in our commercial networks segment mainly related to consumer broadband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8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110.6</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86.1</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24.5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increase in SG&amp;A expenses of $24.5 million in the first six months of fiscal year 2013 compared to the first six months of fiscal year 2012 was primarily attributable to higher selling costs of approximately $19.7 million, higher support costs of approximately $3.2 million and higher new business proposal costs for new contract awards of approximately $1.6 million. Of the higher selling costs, $17.8 million related to our satellite services segment, of which $12.7 million related to an increase in advertising and marketing expenses, and $5.5 million related to an increase in commission costs in connection with our Exede broadband services, which commenced commercial operation in January 2012. Of the higher support costs, $2.4 million related to our satellite services segment and $0.6 million related to our commercial networks segment. Our commercial networks segment contributed to an increase of approximately $1.1 million in higher new business proposal costs for new contract awards. SG&amp;A expenses consisted primarily of personnel costs, business development expenses, marketing and sales, bids and proposals, facilities, finance, contract administration and general management.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0"/>
              </w:rPr>
              <w:t>Six Months Ended</w:t>
            </w:r>
          </w:p>
        </w:tc>
        <w:tc>
          <w:tcPr>
            <w:tcW w:w="5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40" w:type="dxa"/>
            <w:vAlign w:val="bottom"/>
            <w:vMerge w:val="restart"/>
          </w:tcPr>
          <w:p>
            <w:pPr>
              <w:spacing w:after="0"/>
              <w:rPr>
                <w:sz w:val="11"/>
                <w:szCs w:val="11"/>
                <w:color w:val="auto"/>
              </w:rPr>
            </w:pPr>
          </w:p>
        </w:tc>
        <w:tc>
          <w:tcPr>
            <w:tcW w:w="12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1"/>
                <w:szCs w:val="11"/>
                <w:color w:val="auto"/>
              </w:rPr>
            </w:pPr>
          </w:p>
        </w:tc>
        <w:tc>
          <w:tcPr>
            <w:tcW w:w="128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89"/>
              </w:rPr>
              <w:t>2011</w:t>
            </w:r>
          </w:p>
        </w:tc>
        <w:tc>
          <w:tcPr>
            <w:tcW w:w="700" w:type="dxa"/>
            <w:vAlign w:val="bottom"/>
          </w:tcPr>
          <w:p>
            <w:pPr>
              <w:spacing w:after="0"/>
              <w:rPr>
                <w:sz w:val="12"/>
                <w:szCs w:val="12"/>
                <w:color w:val="auto"/>
              </w:rPr>
            </w:pPr>
          </w:p>
        </w:tc>
        <w:tc>
          <w:tcPr>
            <w:tcW w:w="128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6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IR&amp;D expenses increased $3.6 million in the first six months of fiscal year 2013 compared to the first six months of fiscal year 2012, driven primarily by increased IR&amp;D efforts in our commercial networks segment of $2.9 million principally related to next-generation satellite communications systems and next-generation consumer broadband.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three to ten years. The decrease in amortization of acquired intangible assets of approximately $1.4 million in the first six months of fiscal year 2013 compared to the same period last fiscal year was a result of certain acquired technology intangibles in our commercial networks segment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28, 2012</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2013</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for the six months ended September 28, 2012 compared to the six months ended September 30, 2011 increased slightly as we experienced similar average interest rates on our investments but higher average invested cash balances during the six months ended September 28, 2012 compared to the same period last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$22.9 million increase in interest expense from the first six months of fiscal year 2012 to the first six months of fiscal year 2013 was due to lower capitalized interest and additional interest incurred on our 2020 Notes, which were issued in the fourth quarter of fiscal year 2012. In the first six months of fiscal year 2013, we capitalized approximately $1.6 million of interest associated with other assets currently under construction, compared to approximately $15.3 million in the first six months of fiscal year 2012 associated with our ViaSat-1 satellite, related gateways and networking equipment, which were placed into service during the fourth quarter of fiscal year 2012. Interest expense incurred during the six months ended September 28, 2012 related to the 2020 Notes, the 2016 Notes and the Credit Facility. Interest expense incurred during the six months ended September 30, 2011 related to the 2016 Notes and the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currently estimate our annual effective income tax rate to be approximately 40.5% for fiscal year 2013. The estimated annual effective income tax rate reflects the December 31, 2011 expiration of the federal research and development tax credit. If the federal research and development tax credit is reinstated, we may have a change in the effective tax rate for fiscal year 2013, and the amount of any such tax rate change will depend on the effective date of any such reinstatement, the terms of the reinstatement, as well as the amount of eligible research and development expenses in the reinstated period. The estimated annual effective tax rate is different from the expected statutory rate primarily due to state research and development tax credits.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28, 2012 vs. Six Months Ended September 30,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6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2011</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6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increase of approximately $14.3 million in our satellite services segment revenue in the first six months of fiscal year 2013 compared to the first six months of fiscal year 2012 was mainly from increased service revenues of approximately $12.4 million. This increase in service revenues was comprised of $9.5 million relating to our Exede and WildBlue broadband services and $2.9 million relating to our mobile broadband services. The revenue increase relating to our Exede and WildBlue broadband services was a result of a 2% increase in the number of subscribers in the first six months of fiscal year 2013 compared to the first six months of fiscal year 2012, as well as a change in the mix of retail and wholesale subscribers and related higher average revenue per subscriber.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Six Months Ended</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Dollar</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Increase</w:t>
            </w: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96"/>
              </w:rPr>
              <w:t>2011</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3"/>
              </w:rPr>
              <w:t>(Decrease)</w:t>
            </w:r>
          </w:p>
        </w:tc>
        <w:tc>
          <w:tcPr>
            <w:tcW w:w="9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 profit</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0.2</w:t>
            </w:r>
          </w:p>
        </w:tc>
        <w:tc>
          <w:tcPr>
            <w:tcW w:w="4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(42.1)</w:t>
            </w:r>
          </w:p>
        </w:tc>
        <w:tc>
          <w:tcPr>
            <w:tcW w:w="62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91"/>
              </w:rPr>
              <w:t>(21,692.3)%</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satellite services segment generated an operating loss in the first six months of fiscal year 2013 compared to an operating profit in the first six months of fiscal year 2012. This change was primarily driven by higher operating expenses in the current fiscal year period associated with our ViaSat-1 satellite and related infrastructure and the commencement of commercial operation of our Exede broadband internet services in January 2012, and included additional depreciation of $18.8 million, additional satellite services operations support costs of $12.7 million, higher advertising and marketing costs of $12.7 million and higher commission costs of $5.5 million as we expanded the subscriber base of our Exede broadband services.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151.9</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106.4</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162.7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Commercial networks segment revenue increased approximately $46.4 million in the first six months of fiscal year 2013 compared to the first six months of fiscal year 2012, primarily due to an increase in product revenues of approximately $45.5 million, comprised of a $50.9 million increase in consumer broadband products, a $3.1 million increase in satellite payload technology development programs and a $2.1 million increase in satellite networking development programs. This increase in product revenues was offset by decreases of $5.4 million in enterprise VSAT networks and products and $3.2 million in antenna systems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Six Months Ended</w:t>
            </w:r>
          </w:p>
        </w:tc>
        <w:tc>
          <w:tcPr>
            <w:tcW w:w="6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160" w:type="dxa"/>
            <w:vAlign w:val="bottom"/>
            <w:vMerge w:val="restart"/>
          </w:tcPr>
          <w:p>
            <w:pPr>
              <w:spacing w:after="0"/>
              <w:rPr>
                <w:sz w:val="11"/>
                <w:szCs w:val="11"/>
                <w:color w:val="auto"/>
              </w:rPr>
            </w:pPr>
          </w:p>
        </w:tc>
        <w:tc>
          <w:tcPr>
            <w:tcW w:w="1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0" w:type="dxa"/>
            <w:vAlign w:val="bottom"/>
          </w:tcPr>
          <w:p>
            <w:pPr>
              <w:spacing w:after="0"/>
              <w:rPr>
                <w:sz w:val="11"/>
                <w:szCs w:val="11"/>
                <w:color w:val="auto"/>
              </w:rPr>
            </w:pPr>
          </w:p>
        </w:tc>
        <w:tc>
          <w:tcPr>
            <w:tcW w:w="124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2"/>
                <w:szCs w:val="12"/>
                <w:color w:val="auto"/>
              </w:rPr>
            </w:pPr>
          </w:p>
        </w:tc>
        <w:tc>
          <w:tcPr>
            <w:tcW w:w="124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420" w:type="dxa"/>
            <w:vAlign w:val="bottom"/>
            <w:gridSpan w:val="2"/>
          </w:tcPr>
          <w:p>
            <w:pPr>
              <w:ind w:left="3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decrease in our commercial networks segment operating loss in the first six months of fiscal year 2013 compared to the same period last fiscal year was primarily due to higher earnings contributions of approximately $8.1 million from increased revenues and improved margins in our consumer broadband products, offset by an increase in selling, support and new business proposal costs of $3.0 million and higher IR&amp;D costs of $2.9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3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160.8</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161.2</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46.1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235.3</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Total revenues in our government systems segment increased approximately $45.7 million in the first six months of fiscal year 2013 compared to the same period last fiscal year due to an increase in service revenues of $46.1 million. The increase in service revenues was primarily due to a revenue increase of $46.2 million in government satellite communication systems services (mainly attributable to broadband networking services revenues for military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Six Months Ended</w:t>
            </w: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4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39.3</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21.7</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17.5</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increase in our government systems segment operating profit of $17.5 million during the first six months of fiscal year 2013 compared to the first six months of fiscal year 2012 was primarily due to higher earnings contributions of approximately $18.9 million mainly in our government satellite communication systems, offset by higher selling, support and new business proposal costs of approximately $1.5 million.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reflected in the table below, both firm and funded backlog increased in each of our segments during the first six months of fiscal year 2013 due to certain large contract awards in our commercial networks segment, which we were pursuing in fiscal year 2012 and the first six months of fiscal year 2013, as well as growth in contract awards across the other two segments.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28, 2012</w:t>
            </w:r>
          </w:p>
        </w:tc>
        <w:tc>
          <w:tcPr>
            <w:tcW w:w="20" w:type="dxa"/>
            <w:vAlign w:val="bottom"/>
          </w:tcPr>
          <w:p>
            <w:pPr>
              <w:spacing w:after="0"/>
              <w:rPr>
                <w:sz w:val="14"/>
                <w:szCs w:val="14"/>
                <w:color w:val="auto"/>
              </w:rPr>
            </w:pPr>
          </w:p>
        </w:tc>
        <w:tc>
          <w:tcPr>
            <w:tcW w:w="1940" w:type="dxa"/>
            <w:vAlign w:val="bottom"/>
            <w:gridSpan w:val="4"/>
          </w:tcPr>
          <w:p>
            <w:pPr>
              <w:ind w:left="940"/>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11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w:t>
            </w:r>
          </w:p>
        </w:tc>
        <w:tc>
          <w:tcPr>
            <w:tcW w:w="11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1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528.9</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951.8</w:t>
            </w:r>
          </w:p>
        </w:tc>
        <w:tc>
          <w:tcPr>
            <w:tcW w:w="11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$965.8 million in firm backlog, approximately $346.8 million is expected to be delivered during the remaining six months of fiscal year 2013, and the balance is expected to be delivered in fiscal year 2014 and thereafter. We include in our backlog only those orders for which we have accepted purchase orders.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total new awards were $548.0 million and $880.6 million in the three and six months ended September 28, 2012, respectively, compared to $245.7 million and $499.3 million for the three and six months ended September 30, 2011, respectively.</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At September 28, 2012, we had $136.1 million in cash and cash equivalents, $319.3 million in working capital and no outstanding borrowings under our Credit Facility. At March 30, 2012, we had $172.6 million in cash and cash equivalents, $327.1 million in working capital and no outstanding borrowings under our Credit Facility. We invest our cash in excess of current operating requirements in short-term, interest-bearing, investment-grade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primarily by the timing of payment of capital expenditures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(i.e.,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further enhance our liquidity position,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provided by operating activities for the first six months of fiscal year 2013 was $42.1 million compared to cash provided by operating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$23.8 million for the first six months of fiscal year 2012. This $18.3 million increase was primarily driven by a $39.2 million year-over-year decrease in cash used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fund net operating assets needs. The decrease in net operating assets was mainly due to an increase of approximately $11.7 million in our accounts payable due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timing of payments, as well as investment in inventory at the lower rate, of approximately $15.4 million, during first six months of fiscal year 2013 compared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same period last year.</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Cash used in investing activities for the first six months of fiscal year 2013 was $87.0 million compared to cash used in investing activities for the first six months in fiscal year 2012 of $141.6 million. The decrease in cash used in investing activities resulted primarily from a decrease of $62.4 million and $23.6 million in cash used during the first six month of fiscal year 2013 compared to the same period last year for the construction of our ViaSat-1 satellite and for expenditures for the construction of gateway facilities and network operating systems related to ViaSast-1, respectively, offset by $27.3 million in higher capital expenditures for new CPE units and other general purpose equipment.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provided by financing activities for the first six months of fiscal year 2013 was $8.4 million compared to cash provided by financing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$113.5 million for the first six months of fiscal year 2012. This $105.0 million decrease in cash provided by financing activities was primarily due to the absence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borrowings under our Credit Facility during the first six months of fiscal year 2013 compared to $110.0 million in borrowings, net of repayments,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during the first six months of fiscal year 2012. Cash provided by financing activities for both periods included cash received from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exercises and employee stock purchase plan purchases, and cash used for the repurchase of common stock related to net share settlement of certain employee tax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liabilities in connection with the vesting of restricted stock unit awards.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Beginning in the fourth quarter of fiscal year 2011, we have incurred higher operating costs in connection with the launch and roll out of our ViaSat-1 satellite and related ground infrastructure and, beginning in January 2012, the launch of our Exede broadband internet services. These higher operating costs have included costs associated with depreciation, connectivity to the ViaSat-1 gateways, advertising and marketing, commissions, logistics, customer care and various support systems. These higher operating costs have negatively impacted income from operations during the past seven quarters as the costs incurred were higher than incremental revenue generated by our satellite services segment. In the second quarter of fiscal year 2013, the total number of subscribers of our Exede broadband services increased and we expect that this trend will continue. Accordingly, we expect that the resultant incremental service revenues in our satellite services segment will improve income (loss) from operations for that segment over time. However, there can be no assurance that this will occur.</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since the fourth quarter of fiscal year 2012, we have experienced higher interest expense as we no longer capitalize the interest expense relating to the debt incurred to build ViaSat-1 and the related gateway and networking equipment now that ViaSat-1 is in service. We also expect our capital expenditures to increase during the remainder of fiscal year 2013 as a result of increased subscriber acquisition costs relating to the expected increase in the number of subscribers of our Exede broadband internet services. We expect our capital expenditures also to increase in connection with our expected commencement of construction of one or more additional high-capacity satellites.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involved in a variety of claims, suits, investigations and proceedings arising in the ordinary course of business, including actions with respect to intellectual property claims and other matters. See “Legal Proceedings” in Part II, Item 1 for a discussion of certain patent infringement litigation involving Space Systems/Loral, Inc. (SS/L) and its parent company Loral Space &amp; Communications, Inc. (Loral), a related party. Regardless of the outcome, litigation can have an adverse impact on us because we expect to incur costs, which may vary based on interim rulings, discovery and other related activities. In addition, it is possible that an unfavorable resolution of one or more such proceedings could in the future materially and adversely affect our business, financial condition, results of operations or liquidity in a particular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As of September 28, 2012, the Credit Facility provided a revolving line of credit of $325.0 million (including up to $50.0 million of letters of credit) with a maturity date of May 9, 2017.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w:t>
      </w:r>
    </w:p>
    <w:p>
      <w:pPr>
        <w:spacing w:after="0" w:line="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(2), an applicable margin that is based on our total leverage ratio. The Credit Facility is guaranteed by certain of our domestic subsidiaries and secured by substantially all of our respective assets. 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 The Credit Facility was amended on September 26, 2012 to, among other things, increase our permitted total leverage ratio for the second, third and fourth quarters of fiscal year 2013 and authorize the offering of up to $300.0 million in additional indebtedness to refinance 2016 Notes.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September 28, 2012, we had no outstanding borrowings under the Credit Facility and $38.5 million outstanding under standby letters of credit, leaving borrowing availability under the Credit Facility as of September 28, 2012 of $286.5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90"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In October 2009, we issued $275.0 million in principal amount of 2016 Notes in a private placement to institutional buyers. The 2016 Notes were exchanged in May 2010 for substantially identical 2016 Notes that had been registered with the SEC. The 2016 Notes bear interest at the rate of 8.875% per year, payable semi-annually in cash in arrears, which interest payments commenced in March 2010. The 2016 Notes were issued with an original issue discount of</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1.24%, or $3.4 million. The 2016 Notes are recorded as long-term debt, net of original issue discount, in our consolidated financial statements. The original issue discount and deferred financing cost associated with the issuance of the 2016 Notes are amortized to interest expense on a straight-line basis over the term of the 2016 Notes, which is not materially different from an effective interest rate basis.</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2016 Notes are guaranteed on an unsecured senior basis by each of our existing and future subsidiaries that guarantees the Credit Facility (the Guarantor Subsidiaries). The 2016 Notes and the guarantees are our and the Guarantor Subsidiaries’ general senior unsecured obligations and rank equally in right of payment with all of their existing and future unsecured unsubordinated debt. The 2016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2016 Notes, and are senior in right of payment to all of their existing and future subordinated indebtedness.</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2016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2016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15, 2015 at a redemption price of 100%, in each case plus accrued and unpaid interest, if any, thereon to the redemption date.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us to repurchase all or any part (equal to $2,000 or larger integral multiples of $1,000) of such holder’s 2016 Notes at a purchase price in cash equal to 101% of the aggregate principal amount of the 2016 Notes repurchased plus accrued and unpaid interest, if any, to the date of purchase (subject to the right of holders of record on the relevant record date to receive interest due on the relevant interest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2012, we issued $275.0 million in principal amount of 2020 Notes in a private placement to institutional buyers, which 2020 Notes were exchanged in August 2012 for substantially identical 2020 Notes that had been registered with the SEC. The 2020 Notes bear interest at the rate of 6.875% per year, payable semi-annually in cash in arrears, which interest payments commenced in June 2012. The 2020 Notes were issued at the face value and are recorded as long-term debt in our condensed consolidated financial statements. Deferred financing cost associated with the issuance of the 2020 Notes is amortized to interest expense on a straight-line basis over the term of the 2020 Notes, which is not materially different from an effective interest rate basis.</w:t>
      </w:r>
    </w:p>
    <w:p>
      <w:pPr>
        <w:spacing w:after="0" w:line="1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2020 Notes are guaranteed on an unsecured senior basis by each of the Guarantor Subsidiaries. The 2020 Notes and the guarantees are our and the Guarantor Subsidiaries’ general senior unsecured obligations and rank equally in right of payment with all of their existing and future unsecured unsubordinated debt. The 2020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2020 Notes, and are senior in right of payment to all of their existing and future subordinated indebtedness.</w:t>
      </w:r>
    </w:p>
    <w:p>
      <w:pPr>
        <w:spacing w:after="0" w:line="10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90"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us to repurchase all or any part (equal to $2,000 or larger integral multiples of $1,000)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issuance of additional 2020 Notes and repurchase of 2016 Notes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October 12, 2012, subsequent to the quarter end, we issued an additional $300.0 million in aggregate principal amount of our 2020 Notes in a private placement to institutional buyers at an issue price of 103.50% of the principal amount. The $10.5 million premium we received in connection with the issuance of the additional 2020 Notes will be recorded in long-term debt in the condensed consolidated financial statements and will be amortized as a reduction to interest expense on a straight-line basis over the term of the 2020 Notes, which is not materially different from an effective interest rate basis.</w:t>
      </w:r>
    </w:p>
    <w:p>
      <w:pPr>
        <w:spacing w:after="0" w:line="11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On September 27, 2012, we launched a tender offer to purchase, for cash, any and all of the $275.0 million in aggregate principal amount of outstanding 2016 Notes. In conjunction with the tender offer, we also solicited consents from the holders of the 2016 Notes to eliminate certain covenants in and amend certain provisions of the indenture governing the 2016 Notes. In connection with our issuance of the additional 2020 Notes, on October 12, 2012, we purchased approximately $262.1 million in aggregate principal amount of the 2016 Notes pursuant to the tender offer. The purchase price for the 2016 Notes was $1,071.56 per $1,000 principal amount of 2016 Notes tendered, which included a $10.00 consent payment per $1,000 principal amount of notes tendered. The total cash payment to purchase the tendered 2016 Notes, including accrued and unpaid interest up to, but excluding, October 12, 2012, was approximately $282.5 million. The tender offer expired on October 25, 2012. On October 15, 2012, we issued a notice to redeem the remaining $12.9 million in aggregate principal amount of 2016 Notes in accordance with the indenture governing the 2016 Notes. The remaining 2016 Notes will be redeemed on November 14, 2012 at a redemption price of 106.656%, plus accrued and unpaid interest up to, but excluding, the redemption date. We estimate that we will incur a loss on extinguishment of debt of approximately $27.0 million, which will be recorded in the third quarter of fiscal year 2013.</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September 28,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For the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including interest where applicable)</w:t>
            </w:r>
          </w:p>
        </w:tc>
        <w:tc>
          <w:tcPr>
            <w:tcW w:w="34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2014-2015</w:t>
            </w:r>
          </w:p>
        </w:tc>
        <w:tc>
          <w:tcPr>
            <w:tcW w:w="9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2016-2017</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204,392</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44,225</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81,832</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35,462</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42,873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Senior Notes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792,344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348,405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38,499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124,639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147,720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1,455,628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198,776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352,079</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450,982</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453,791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0" w:hanging="452"/>
        <w:spacing w:after="0" w:line="235"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Includes the 2016 Notes and 2020 Notes. Subsequent to the quarter end, we issued an additional $300.0 million in aggregate principal amount of 2020 Notes, repurchased approximately $262.1 million in aggregate principal amount of our 2016 Notes and issued a notice of redemption to redeem the remaining 2016 Notes outstanding.</w:t>
      </w:r>
    </w:p>
    <w:p>
      <w:pPr>
        <w:spacing w:after="0" w:line="15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our satellite construction contract with SS/L for ViaSat-1, based on estimates as of September 28, 2012, the remaining amount of satellite performance incentives and related interest that we may be required to pay during the period until December 2026 is approximately $38.5 million. We have also entered into an agreement with a supplier for an additional satellite launch which can be used for a future satellite.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condensed consolidated balance sheets included $57.1 million and $50.4 million of “other liabilities” as of September 28, 2012 and March 30, 2012, respectively, which primarily consisted of our long-term portion of satellite performance incentives obligation, long-term warranty obligations, long-term portion of deferred rent, long-term portion of deferred revenue, long-term deferred income taxes and long-term unrecognized tax position liabilities. With the exception of our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had no material off-balance sheet arrangements at September 28, 2012 as defined in Regulation S-K Item 303(a)(4) other than as discussed under Contractual Obligations above or disclosed in the notes to our consolidated financial statements included in this Quarterly Report or in our Annual Report on Form 10-K for the year ended March 30,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2011, the FASB issued ASU 2011-05, Comprehensive Income (ASC 220): Presentation of Comprehensive Income. The new authoritative guidance requires an entity to present the total of comprehensive income, the components of net income, and the components of other comprehensive income either in a single continuous statement of comprehensive income or in two separate but consecutive statements. The new authoritative guidance eliminates the option to present the components of other comprehensive income as part of the statement of equity. In December 2011, the FASB further amended its guidance to defer changes related to the presentation of reclassification adjustments indefinitely as a result of concerns raised by stakeholders that the new presentation requirements would be difficult for preparers and add unnecessary complexity to financial statements. The authoritative guidance (other than the portion regarding the presentation of reclassification adjustments which, as noted above, has been deferred indefinitely) became effective for us beginning in the first quarter of fiscal year 2013. In the first quarter of fiscal year 2013, we retrospectively adopted the new accounting standard for the presentation of comprehensive income in financial statements which resulted in the presentation of a total for comprehensive income (loss), and the components of net income (loss) and other comprehensive income (loss) in one statement. The adoption of this standard only changed how we present comprehensive income (loss) and did not impact our consolidated financial position, results of operations or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September 2011, the FASB issued ASU 2011-08, Intangibles—Goodwill and Other (ASC 350): Testing Goodwill for Impairment. The new authoritative guidance simplifies how an entity tests goodwill for impairment. The new authoritative guidance allows an entity to first assess qualitative factors to determine whether it is necessary to perform the two-step quantitative goodwill impairment test. The two-step quantitative impairment test is required only if, based on its qualitative assessment, an entity determines that it is more likely than not that the fair value of a reporting unit is less than its carrying amount. This authoritative guidance is effective for interim and annual goodwill impairment tests performed for fiscal years beginning after December 15, 2011. Early adoption is permitted if an entity’s financial statements for the more recent interim and annual period have not yet been issued. We early adopted this authoritative guidance in the fourth quarter of fiscal year 2012. Adoption of this authoritative guidance did not have a material impact on our consolidated financial statements and disclosures.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will be effective for us beginning in the first quarter of fiscal year 2014 and should be applied retrospectively for all comparative periods presented. We are currently evaluating the impact that this authoritative guidance may have on its consolidated financial statements and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and short-term and long-term obligations, including the Credit Facility and the Senior Notes. We consider investments in highly liquid instruments purchased with a remaining maturity of 90 days or less at the date of purchase to be cash equivalents. As of September 28, 2012, we had no outstanding borrowings under our Credit Facility and $550.0 million in aggregate principal amount outstanding of the Senior Notes, and we held no short-term investments. Our Senior Notes bear interest at a fixed rate and therefore our exposure to market risk for changes in interest rates relates primarily to borrowings under our Credit Facility, cash equivalents, short-term investments and short-term obligations.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$0.3 million and $0.1 million for the three months ended September 28, 2012 and September 30, 2011,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primary interest rate under the Credit Facility is the Eurodollar rate plus an applicable margin that is based on our total leverage ratio. As of September 28, 2012, the weighted average effective interest rate that would have been applied to any new borrowings under the Credit Facility was approximately 2.96%. As of September 28, 2012, we had no outstanding borrowings under our Credit Facility. Accordingly, assuming the outstanding balance remained constant over a year, changes in interest rates applicable to our Credit Facility would have no effect on our interest incurred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September 28, 2012, we had a number of foreign currency forward contracts outstanding which are intended to reduce the foreign currency risk for amounts payable to vendors in Euros. The foreign currency forward contracts with a notional amount of $7.5 million had a fair value of approximately $0.4 million and were recorded in accrued liabilities as of September 28, 2012. If the foreign currency forward rate for the Euro to the U.S. dollar on these foreign currency forward contracts had changed by 10%, the fair value of these foreign currency forward contracts as of September 28, 2012 would have changed by approximately $0.7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28, 2012, the end of the period covered by this Quarterly Report. Based upon the foregoing, our Chief Executive Officer and Chief Financial Officer concluded that our disclosure controls and procedures were effective at a reasonable assurance level as of September 28, 2012.</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February 2012, we filed a complaint against SS/L and its parent company Loral in the United States District Court for the Southern District of California for patent infringement and breach of contract relating to the manufacture of ViaSat-1. We allege, among other things, that SS/L and Loral infringed U.S. Patent Nos. 8,107,875, 8,010,043, 8,068,827 and 7,773,942 by making, using, offering to sell and/or selling other high-capacity broadband satellites, and have requested monetary damages, injunctive relief and other remedies. On June 15, 2012, SS/L filed counterclaims against ViaSat for patent infringement and declaratory relief. Specifically, SS/L seeks a judicial declaration that SS/L did not breach the parties’ contract for the manufacture of ViaSat-1, that SS/L does not infringe the ViaSat patents described above, and that those patents are invalid and/or unenforceable. SS/L also alleges that ViaSat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March 30, 2012, which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57 is incorporated herein by reference as the list of exhibits required as part of this Quarterly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VIASAT, INC.</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November 7, 2012</w:t>
            </w:r>
          </w:p>
        </w:tc>
        <w:tc>
          <w:tcPr>
            <w:tcW w:w="26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tc>
      </w:tr>
      <w:tr>
        <w:trPr>
          <w:trHeight w:val="202"/>
        </w:trPr>
        <w:tc>
          <w:tcPr>
            <w:tcW w:w="3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Mark Dankberg</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3"/>
        </w:trPr>
        <w:tc>
          <w:tcPr>
            <w:tcW w:w="3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tc>
      </w:tr>
      <w:tr>
        <w:trPr>
          <w:trHeight w:val="202"/>
        </w:trPr>
        <w:tc>
          <w:tcPr>
            <w:tcW w:w="3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Shawn Duffy</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Corporate Controller,</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Accounting Officer, and Chief Financial Officer</w:t>
            </w:r>
          </w:p>
        </w:tc>
      </w:tr>
      <w:tr>
        <w:trPr>
          <w:trHeight w:val="222"/>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and Chief Accounting Officer)</w:t>
            </w:r>
          </w:p>
        </w:tc>
      </w:tr>
      <w:tr>
        <w:trPr>
          <w:trHeight w:val="365"/>
        </w:trPr>
        <w:tc>
          <w:tcPr>
            <w:tcW w:w="3480" w:type="dxa"/>
            <w:vAlign w:val="bottom"/>
          </w:tcPr>
          <w:p>
            <w:pPr>
              <w:spacing w:after="0"/>
              <w:rPr>
                <w:sz w:val="24"/>
                <w:szCs w:val="24"/>
                <w:color w:val="auto"/>
              </w:rPr>
            </w:pPr>
          </w:p>
        </w:tc>
        <w:tc>
          <w:tcPr>
            <w:tcW w:w="2600" w:type="dxa"/>
            <w:vAlign w:val="bottom"/>
          </w:tcPr>
          <w:p>
            <w:pPr>
              <w:jc w:val="right"/>
              <w:ind w:right="192"/>
              <w:spacing w:after="0"/>
              <w:rPr>
                <w:sz w:val="20"/>
                <w:szCs w:val="20"/>
                <w:color w:val="auto"/>
              </w:rPr>
            </w:pPr>
            <w:r>
              <w:rPr>
                <w:rFonts w:ascii="Arial" w:cs="Arial" w:eastAsia="Arial" w:hAnsi="Arial"/>
                <w:sz w:val="18"/>
                <w:szCs w:val="18"/>
                <w:color w:val="auto"/>
              </w:rPr>
              <w:t>56</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w w:val="94"/>
              </w:rPr>
              <w:t>Incorporated by Reference</w:t>
            </w:r>
          </w:p>
        </w:tc>
      </w:tr>
      <w:tr>
        <w:trPr>
          <w:trHeight w:val="129"/>
        </w:trPr>
        <w:tc>
          <w:tcPr>
            <w:tcW w:w="94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Number</w:t>
            </w:r>
          </w:p>
        </w:tc>
        <w:tc>
          <w:tcPr>
            <w:tcW w:w="5020" w:type="dxa"/>
            <w:vAlign w:val="bottom"/>
          </w:tcPr>
          <w:p>
            <w:pPr>
              <w:ind w:left="1940"/>
              <w:spacing w:after="0" w:line="109" w:lineRule="exact"/>
              <w:rPr>
                <w:sz w:val="20"/>
                <w:szCs w:val="20"/>
                <w:color w:val="auto"/>
              </w:rPr>
            </w:pPr>
            <w:r>
              <w:rPr>
                <w:rFonts w:ascii="Arial" w:cs="Arial" w:eastAsia="Arial" w:hAnsi="Arial"/>
                <w:sz w:val="12"/>
                <w:szCs w:val="12"/>
                <w:b w:val="1"/>
                <w:bCs w:val="1"/>
                <w:color w:val="auto"/>
              </w:rPr>
              <w:t>Exhibit Description</w:t>
            </w:r>
          </w:p>
        </w:tc>
        <w:tc>
          <w:tcPr>
            <w:tcW w:w="100" w:type="dxa"/>
            <w:vAlign w:val="bottom"/>
          </w:tcPr>
          <w:p>
            <w:pPr>
              <w:spacing w:after="0"/>
              <w:rPr>
                <w:sz w:val="11"/>
                <w:szCs w:val="11"/>
                <w:color w:val="auto"/>
              </w:rPr>
            </w:pPr>
          </w:p>
        </w:tc>
        <w:tc>
          <w:tcPr>
            <w:tcW w:w="5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jc w:val="right"/>
              <w:ind w:right="137"/>
              <w:spacing w:after="0" w:line="115" w:lineRule="exact"/>
              <w:rPr>
                <w:sz w:val="20"/>
                <w:szCs w:val="20"/>
                <w:color w:val="auto"/>
              </w:rPr>
            </w:pPr>
            <w:r>
              <w:rPr>
                <w:rFonts w:ascii="Arial" w:cs="Arial" w:eastAsia="Arial" w:hAnsi="Arial"/>
                <w:sz w:val="12"/>
                <w:szCs w:val="12"/>
                <w:b w:val="1"/>
                <w:bCs w:val="1"/>
                <w:color w:val="auto"/>
              </w:rPr>
              <w:t>File No.</w:t>
            </w:r>
          </w:p>
        </w:tc>
        <w:tc>
          <w:tcPr>
            <w:tcW w:w="320" w:type="dxa"/>
            <w:vAlign w:val="bottom"/>
          </w:tcPr>
          <w:p>
            <w:pPr>
              <w:spacing w:after="0"/>
              <w:rPr>
                <w:sz w:val="11"/>
                <w:szCs w:val="11"/>
                <w:color w:val="auto"/>
              </w:rPr>
            </w:pPr>
          </w:p>
        </w:tc>
        <w:tc>
          <w:tcPr>
            <w:tcW w:w="80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Exhibit</w:t>
            </w:r>
          </w:p>
        </w:tc>
        <w:tc>
          <w:tcPr>
            <w:tcW w:w="1620" w:type="dxa"/>
            <w:vAlign w:val="bottom"/>
          </w:tcPr>
          <w:p>
            <w:pPr>
              <w:jc w:val="right"/>
              <w:ind w:right="417"/>
              <w:spacing w:after="0" w:line="115" w:lineRule="exact"/>
              <w:rPr>
                <w:sz w:val="20"/>
                <w:szCs w:val="20"/>
                <w:color w:val="auto"/>
              </w:rPr>
            </w:pPr>
            <w:r>
              <w:rPr>
                <w:rFonts w:ascii="Arial" w:cs="Arial" w:eastAsia="Arial" w:hAnsi="Arial"/>
                <w:sz w:val="12"/>
                <w:szCs w:val="12"/>
                <w:b w:val="1"/>
                <w:bCs w:val="1"/>
                <w:color w:val="auto"/>
              </w:rPr>
              <w:t>Filing Date</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0"/>
              </w:rPr>
              <w:t>Registration Rights Agreement, dated as of October 12, 2012, among</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ViaSat, Inc., ViaSat Holding, Inc., ViaSat Communications, Inc., WB</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Holdings 1 LLC and Merrill Lynch, Pierce, Fenner &amp; Smith</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6"/>
              </w:rPr>
              <w:t>Incorporated, for and on behalf of itself and JP Morgan Securities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LLC, Credit Suisse Securities (USA) LLC, Morgan Stanley &amp; Co.</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LLC, Wells Fargo Securities, LLC, Stephens Inc. and B. Riley &amp; Co.,</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LLC</w:t>
            </w:r>
          </w:p>
        </w:tc>
        <w:tc>
          <w:tcPr>
            <w:tcW w:w="10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900" w:type="dxa"/>
            <w:vAlign w:val="bottom"/>
          </w:tcPr>
          <w:p>
            <w:pPr>
              <w:jc w:val="right"/>
              <w:spacing w:after="0"/>
              <w:rPr>
                <w:sz w:val="20"/>
                <w:szCs w:val="20"/>
                <w:color w:val="auto"/>
              </w:rPr>
            </w:pPr>
            <w:r>
              <w:rPr>
                <w:rFonts w:ascii="Arial" w:cs="Arial" w:eastAsia="Arial" w:hAnsi="Arial"/>
                <w:sz w:val="18"/>
                <w:szCs w:val="18"/>
                <w:color w:val="auto"/>
              </w:rPr>
              <w:t>000-21767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October 12,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88"/>
              </w:rPr>
              <w:t>Second Supplemental Indenture, dated as of October 12, 2012, among</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ViaSat, Inc., ViaSat Holding, Inc., ViaSat Communications, Inc., WB</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9"/>
              </w:rPr>
              <w:t>Holdings 1 LLC and Wilmington Trust, National Association, as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10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900" w:type="dxa"/>
            <w:vAlign w:val="bottom"/>
          </w:tcPr>
          <w:p>
            <w:pPr>
              <w:jc w:val="right"/>
              <w:spacing w:after="0"/>
              <w:rPr>
                <w:sz w:val="20"/>
                <w:szCs w:val="20"/>
                <w:color w:val="auto"/>
              </w:rPr>
            </w:pPr>
            <w:r>
              <w:rPr>
                <w:rFonts w:ascii="Arial" w:cs="Arial" w:eastAsia="Arial" w:hAnsi="Arial"/>
                <w:sz w:val="18"/>
                <w:szCs w:val="18"/>
                <w:color w:val="auto"/>
              </w:rPr>
              <w:t>000-21767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October 12,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6"/>
              </w:rPr>
              <w:t>First Amendment to Fifth Amended and Restated Revolving Loan</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Agreement, dated as of September 26, 2012, by and among ViaSat,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Inc., Union Bank, N.A. (as administrative agent and collateral agent)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and the lenders party thereto</w:t>
            </w:r>
          </w:p>
        </w:tc>
        <w:tc>
          <w:tcPr>
            <w:tcW w:w="10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900" w:type="dxa"/>
            <w:vAlign w:val="bottom"/>
          </w:tcPr>
          <w:p>
            <w:pPr>
              <w:jc w:val="right"/>
              <w:spacing w:after="0"/>
              <w:rPr>
                <w:sz w:val="20"/>
                <w:szCs w:val="20"/>
                <w:color w:val="auto"/>
              </w:rPr>
            </w:pPr>
            <w:r>
              <w:rPr>
                <w:rFonts w:ascii="Arial" w:cs="Arial" w:eastAsia="Arial" w:hAnsi="Arial"/>
                <w:sz w:val="18"/>
                <w:szCs w:val="18"/>
                <w:color w:val="auto"/>
              </w:rPr>
              <w:t>000-21767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w w:val="98"/>
              </w:rPr>
              <w:t>September 27,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8"/>
              </w:rPr>
              <w:t>1996 Equity Participation Plan of ViaSat, Inc. (As Amended and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Restated Effective September 20, 2012)</w:t>
            </w:r>
          </w:p>
        </w:tc>
        <w:tc>
          <w:tcPr>
            <w:tcW w:w="10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900" w:type="dxa"/>
            <w:vAlign w:val="bottom"/>
          </w:tcPr>
          <w:p>
            <w:pPr>
              <w:jc w:val="right"/>
              <w:spacing w:after="0"/>
              <w:rPr>
                <w:sz w:val="20"/>
                <w:szCs w:val="20"/>
                <w:color w:val="auto"/>
              </w:rPr>
            </w:pPr>
            <w:r>
              <w:rPr>
                <w:rFonts w:ascii="Arial" w:cs="Arial" w:eastAsia="Arial" w:hAnsi="Arial"/>
                <w:sz w:val="18"/>
                <w:szCs w:val="18"/>
                <w:color w:val="auto"/>
              </w:rPr>
              <w:t>000-21767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w w:val="98"/>
              </w:rPr>
              <w:t>September 20,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89"/>
              </w:rPr>
              <w:t>Separation Agreement, dated as of August 22, 2012, between ViaSat,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 and Ronald Wangerin</w:t>
            </w:r>
          </w:p>
        </w:tc>
        <w:tc>
          <w:tcPr>
            <w:tcW w:w="10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900" w:type="dxa"/>
            <w:vAlign w:val="bottom"/>
          </w:tcPr>
          <w:p>
            <w:pPr>
              <w:jc w:val="right"/>
              <w:spacing w:after="0"/>
              <w:rPr>
                <w:sz w:val="20"/>
                <w:szCs w:val="20"/>
                <w:color w:val="auto"/>
              </w:rPr>
            </w:pPr>
            <w:r>
              <w:rPr>
                <w:rFonts w:ascii="Arial" w:cs="Arial" w:eastAsia="Arial" w:hAnsi="Arial"/>
                <w:sz w:val="18"/>
                <w:szCs w:val="18"/>
                <w:color w:val="auto"/>
              </w:rPr>
              <w:t>000-21767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August 23,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Section 302 of the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Section 302 of the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Certifications Pursuant to 18 U.S.C. Section 1350, as Adopted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0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02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0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ind w:left="46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280" w:space="360"/>
            <w:col w:w="56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340" w:type="dxa"/>
            <w:vAlign w:val="bottom"/>
          </w:tcPr>
          <w:p>
            <w:pPr>
              <w:spacing w:after="0"/>
              <w:rPr>
                <w:sz w:val="15"/>
                <w:szCs w:val="15"/>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Filed</w:t>
            </w:r>
          </w:p>
        </w:tc>
      </w:tr>
      <w:tr>
        <w:trPr>
          <w:trHeight w:val="129"/>
        </w:trPr>
        <w:tc>
          <w:tcPr>
            <w:tcW w:w="500" w:type="dxa"/>
            <w:vAlign w:val="bottom"/>
            <w:tcBorders>
              <w:bottom w:val="single" w:sz="8" w:color="auto"/>
            </w:tcBorders>
          </w:tcPr>
          <w:p>
            <w:pPr>
              <w:spacing w:after="0" w:line="10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80" w:type="dxa"/>
            <w:vAlign w:val="bottom"/>
          </w:tcPr>
          <w:p>
            <w:pPr>
              <w:ind w:left="2380"/>
              <w:spacing w:after="0" w:line="109" w:lineRule="exact"/>
              <w:rPr>
                <w:sz w:val="20"/>
                <w:szCs w:val="20"/>
                <w:color w:val="auto"/>
              </w:rPr>
            </w:pPr>
            <w:r>
              <w:rPr>
                <w:rFonts w:ascii="Arial" w:cs="Arial" w:eastAsia="Arial" w:hAnsi="Arial"/>
                <w:sz w:val="12"/>
                <w:szCs w:val="12"/>
                <w:b w:val="1"/>
                <w:bCs w:val="1"/>
                <w:color w:val="auto"/>
              </w:rPr>
              <w:t>Exhibit Description</w:t>
            </w: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File No.</w:t>
            </w:r>
          </w:p>
        </w:tc>
        <w:tc>
          <w:tcPr>
            <w:tcW w:w="7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Exhibit</w:t>
            </w:r>
          </w:p>
        </w:tc>
        <w:tc>
          <w:tcPr>
            <w:tcW w:w="640" w:type="dxa"/>
            <w:vAlign w:val="bottom"/>
          </w:tcPr>
          <w:p>
            <w:pPr>
              <w:spacing w:after="0" w:line="115" w:lineRule="exact"/>
              <w:rPr>
                <w:sz w:val="20"/>
                <w:szCs w:val="20"/>
                <w:color w:val="auto"/>
              </w:rPr>
            </w:pPr>
            <w:r>
              <w:rPr>
                <w:rFonts w:ascii="Arial" w:cs="Arial" w:eastAsia="Arial" w:hAnsi="Arial"/>
                <w:sz w:val="12"/>
                <w:szCs w:val="12"/>
                <w:b w:val="1"/>
                <w:bCs w:val="1"/>
                <w:color w:val="auto"/>
              </w:rPr>
              <w:t>Filing Date</w:t>
            </w:r>
          </w:p>
        </w:tc>
        <w:tc>
          <w:tcPr>
            <w:tcW w:w="340" w:type="dxa"/>
            <w:vAlign w:val="bottom"/>
          </w:tcPr>
          <w:p>
            <w:pPr>
              <w:spacing w:after="0"/>
              <w:rPr>
                <w:sz w:val="11"/>
                <w:szCs w:val="11"/>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2"/>
                <w:szCs w:val="12"/>
                <w:b w:val="1"/>
                <w:bCs w:val="1"/>
                <w:color w:val="auto"/>
              </w:rPr>
              <w:t>Herewith</w:t>
            </w:r>
          </w:p>
        </w:tc>
      </w:tr>
      <w:tr>
        <w:trPr>
          <w:trHeight w:val="20"/>
        </w:trPr>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89"/>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Labels Linkbase</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Presentation Linkbase</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Definition Linkbase</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4140" w:type="dxa"/>
            <w:vAlign w:val="bottom"/>
            <w:gridSpan w:val="2"/>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235"/>
        </w:trPr>
        <w:tc>
          <w:tcPr>
            <w:tcW w:w="5300" w:type="dxa"/>
            <w:vAlign w:val="bottom"/>
            <w:gridSpan w:val="4"/>
          </w:tcPr>
          <w:p>
            <w:pPr>
              <w:spacing w:after="0"/>
              <w:rPr>
                <w:sz w:val="20"/>
                <w:szCs w:val="20"/>
                <w:color w:val="auto"/>
              </w:rPr>
            </w:pPr>
            <w:r>
              <w:rPr>
                <w:rFonts w:ascii="Arial" w:cs="Arial" w:eastAsia="Arial" w:hAnsi="Arial"/>
                <w:sz w:val="18"/>
                <w:szCs w:val="18"/>
                <w:color w:val="auto"/>
                <w:w w:val="93"/>
              </w:rPr>
              <w:t>*  Indicates management contract, compensatory plan or arrangement.</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65"/>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20" w:type="dxa"/>
            <w:vAlign w:val="bottom"/>
          </w:tcPr>
          <w:p>
            <w:pPr>
              <w:jc w:val="right"/>
              <w:ind w:right="123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080"/>
          </w:cols>
          <w:pgMar w:left="240" w:top="459" w:right="5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7, 2012</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7, 2012</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HAWN</w:t>
      </w:r>
      <w:r>
        <w:rPr>
          <w:rFonts w:ascii="Arial" w:cs="Arial" w:eastAsia="Arial" w:hAnsi="Arial"/>
          <w:sz w:val="16"/>
          <w:szCs w:val="16"/>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2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28, 2012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7, 2012</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2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28, 2012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7, 2012</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HAWN</w:t>
      </w:r>
      <w:r>
        <w:rPr>
          <w:rFonts w:ascii="Arial" w:cs="Arial" w:eastAsia="Arial" w:hAnsi="Arial"/>
          <w:sz w:val="16"/>
          <w:szCs w:val="16"/>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Roman"/>
      <w:start w:val="2"/>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2019-12-09T10:05:40Z</dcterms:created>
  <dcterms:modified xsi:type="dcterms:W3CDTF">2019-12-09T10:05:40Z</dcterms:modified>
</cp:coreProperties>
</file>