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101600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3" w:lineRule="exact"/>
        <w:rPr>
          <w:sz w:val="24"/>
          <w:szCs w:val="24"/>
          <w:color w:val="auto"/>
        </w:rPr>
      </w:pPr>
    </w:p>
    <w:p>
      <w:pPr>
        <w:ind w:left="3520" w:right="1760" w:hanging="3512"/>
        <w:spacing w:after="0" w:line="325" w:lineRule="auto"/>
        <w:tabs>
          <w:tab w:leader="none" w:pos="4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660"/>
        <w:spacing w:after="0"/>
        <w:tabs>
          <w:tab w:leader="none" w:pos="68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81280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66040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900" w:type="dxa"/>
        <w:tblCellMar>
          <w:top w:w="0" w:type="dxa"/>
          <w:left w:w="0" w:type="dxa"/>
          <w:bottom w:w="0" w:type="dxa"/>
          <w:right w:w="0" w:type="dxa"/>
        </w:tblCellMar>
      </w:tblPr>
      <w:tr>
        <w:trPr>
          <w:trHeight w:val="209"/>
        </w:trPr>
        <w:tc>
          <w:tcPr>
            <w:tcW w:w="4020" w:type="dxa"/>
            <w:vAlign w:val="bottom"/>
          </w:tcPr>
          <w:p>
            <w:pPr>
              <w:jc w:val="center"/>
              <w:ind w:right="2025"/>
              <w:spacing w:after="0"/>
              <w:rPr>
                <w:sz w:val="20"/>
                <w:szCs w:val="20"/>
                <w:color w:val="auto"/>
              </w:rPr>
            </w:pPr>
            <w:r>
              <w:rPr>
                <w:rFonts w:ascii="Arial" w:cs="Arial" w:eastAsia="Arial" w:hAnsi="Arial"/>
                <w:sz w:val="18"/>
                <w:szCs w:val="18"/>
                <w:b w:val="1"/>
                <w:bCs w:val="1"/>
                <w:color w:val="auto"/>
              </w:rPr>
              <w:t>Delaware</w:t>
            </w:r>
          </w:p>
        </w:tc>
        <w:tc>
          <w:tcPr>
            <w:tcW w:w="3220" w:type="dxa"/>
            <w:vAlign w:val="bottom"/>
          </w:tcPr>
          <w:p>
            <w:pPr>
              <w:jc w:val="center"/>
              <w:ind w:left="2005"/>
              <w:spacing w:after="0"/>
              <w:rPr>
                <w:sz w:val="20"/>
                <w:szCs w:val="20"/>
                <w:color w:val="auto"/>
              </w:rPr>
            </w:pPr>
            <w:r>
              <w:rPr>
                <w:rFonts w:ascii="Arial" w:cs="Arial" w:eastAsia="Arial" w:hAnsi="Arial"/>
                <w:sz w:val="18"/>
                <w:szCs w:val="18"/>
                <w:b w:val="1"/>
                <w:bCs w:val="1"/>
                <w:color w:val="auto"/>
              </w:rPr>
              <w:t>33-0174996</w:t>
            </w:r>
          </w:p>
        </w:tc>
      </w:tr>
      <w:tr>
        <w:trPr>
          <w:trHeight w:val="149"/>
        </w:trPr>
        <w:tc>
          <w:tcPr>
            <w:tcW w:w="4020" w:type="dxa"/>
            <w:vAlign w:val="bottom"/>
          </w:tcPr>
          <w:p>
            <w:pPr>
              <w:jc w:val="center"/>
              <w:ind w:right="2005"/>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220" w:type="dxa"/>
            <w:vAlign w:val="bottom"/>
          </w:tcPr>
          <w:p>
            <w:pPr>
              <w:jc w:val="center"/>
              <w:ind w:left="200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90"/>
        </w:trPr>
        <w:tc>
          <w:tcPr>
            <w:tcW w:w="4020" w:type="dxa"/>
            <w:vAlign w:val="bottom"/>
          </w:tcPr>
          <w:p>
            <w:pPr>
              <w:jc w:val="center"/>
              <w:ind w:right="2025"/>
              <w:spacing w:after="0"/>
              <w:rPr>
                <w:sz w:val="20"/>
                <w:szCs w:val="20"/>
                <w:color w:val="auto"/>
              </w:rPr>
            </w:pPr>
            <w:r>
              <w:rPr>
                <w:rFonts w:ascii="Arial" w:cs="Arial" w:eastAsia="Arial" w:hAnsi="Arial"/>
                <w:sz w:val="14"/>
                <w:szCs w:val="14"/>
                <w:b w:val="1"/>
                <w:bCs w:val="1"/>
                <w:color w:val="auto"/>
                <w:w w:val="96"/>
              </w:rPr>
              <w:t>incorporation or organization)</w:t>
            </w:r>
          </w:p>
        </w:tc>
        <w:tc>
          <w:tcPr>
            <w:tcW w:w="3220" w:type="dxa"/>
            <w:vAlign w:val="bottom"/>
          </w:tcPr>
          <w:p>
            <w:pPr>
              <w:jc w:val="center"/>
              <w:ind w:left="2005"/>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(Title of Each Class)</w:t>
            </w:r>
          </w:p>
        </w:tc>
        <w:tc>
          <w:tcPr>
            <w:tcW w:w="3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(Trading Symbol)</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20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Common Stock, par value $0.0001 per share</w:t>
            </w:r>
          </w:p>
        </w:tc>
        <w:tc>
          <w:tcPr>
            <w:tcW w:w="80" w:type="dxa"/>
            <w:vAlign w:val="bottom"/>
          </w:tcPr>
          <w:p>
            <w:pPr>
              <w:spacing w:after="0"/>
              <w:rPr>
                <w:sz w:val="18"/>
                <w:szCs w:val="18"/>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VSAT</w:t>
            </w:r>
          </w:p>
        </w:tc>
        <w:tc>
          <w:tcPr>
            <w:tcW w:w="40" w:type="dxa"/>
            <w:vAlign w:val="bottom"/>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The Nasdaq Stock Market LLC</w:t>
            </w:r>
          </w:p>
        </w:tc>
      </w:tr>
    </w:tbl>
    <w:p>
      <w:pPr>
        <w:ind w:right="440" w:firstLine="518"/>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59" w:lineRule="exact"/>
        <w:rPr>
          <w:sz w:val="24"/>
          <w:szCs w:val="24"/>
          <w:color w:val="auto"/>
        </w:rPr>
      </w:pPr>
    </w:p>
    <w:p>
      <w:pPr>
        <w:ind w:right="120" w:firstLine="518"/>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 w:lineRule="exact"/>
        <w:rPr>
          <w:sz w:val="24"/>
          <w:szCs w:val="24"/>
          <w:color w:val="auto"/>
        </w:rPr>
      </w:pPr>
    </w:p>
    <w:p>
      <w:pPr>
        <w:jc w:val="both"/>
        <w:ind w:right="160" w:firstLine="5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00" w:right="239" w:bottom="1440" w:gutter="0" w:footer="0" w:header="0"/>
        </w:sectPr>
      </w:pPr>
    </w:p>
    <w:p>
      <w:pPr>
        <w:spacing w:after="0" w:line="5" w:lineRule="exact"/>
        <w:rPr>
          <w:sz w:val="24"/>
          <w:szCs w:val="24"/>
          <w:color w:val="auto"/>
        </w:rPr>
      </w:pPr>
    </w:p>
    <w:p>
      <w:pPr>
        <w:spacing w:after="0" w:line="207" w:lineRule="exact"/>
        <w:tabs>
          <w:tab w:leader="none" w:pos="2620" w:val="left"/>
          <w:tab w:leader="none" w:pos="83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Accelerated filer</w:t>
      </w:r>
    </w:p>
    <w:p>
      <w:pPr>
        <w:spacing w:after="0" w:line="51" w:lineRule="exact"/>
        <w:rPr>
          <w:sz w:val="24"/>
          <w:szCs w:val="24"/>
          <w:color w:val="auto"/>
        </w:rPr>
      </w:pPr>
    </w:p>
    <w:p>
      <w:pPr>
        <w:spacing w:after="0" w:line="207" w:lineRule="exact"/>
        <w:tabs>
          <w:tab w:leader="none" w:pos="2620" w:val="left"/>
          <w:tab w:leader="none" w:pos="83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Smaller reporting company</w:t>
      </w:r>
    </w:p>
    <w:p>
      <w:pPr>
        <w:spacing w:after="0" w:line="27" w:lineRule="exact"/>
        <w:rPr>
          <w:sz w:val="24"/>
          <w:szCs w:val="24"/>
          <w:color w:val="auto"/>
        </w:rPr>
      </w:pPr>
    </w:p>
    <w:p>
      <w:pPr>
        <w:ind w:left="8360"/>
        <w:spacing w:after="0"/>
        <w:rPr>
          <w:sz w:val="20"/>
          <w:szCs w:val="20"/>
          <w:color w:val="auto"/>
        </w:rPr>
      </w:pPr>
      <w:r>
        <w:rPr>
          <w:rFonts w:ascii="Arial" w:cs="Arial" w:eastAsia="Arial" w:hAnsi="Arial"/>
          <w:sz w:val="18"/>
          <w:szCs w:val="18"/>
          <w:color w:val="auto"/>
        </w:rPr>
        <w:t>Emerging growth company</w:t>
      </w:r>
    </w:p>
    <w:p>
      <w:pPr>
        <w:spacing w:after="0" w:line="55" w:lineRule="exact"/>
        <w:rPr>
          <w:sz w:val="24"/>
          <w:szCs w:val="24"/>
          <w:color w:val="auto"/>
        </w:rPr>
      </w:pPr>
    </w:p>
    <w:p>
      <w:pPr>
        <w:ind w:right="260" w:firstLine="518"/>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spacing w:after="0" w:line="27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October 25, 2019 was 61,352,560.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379730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960" w:space="80"/>
            <w:col w:w="380"/>
          </w:cols>
          <w:pgMar w:left="240" w:top="30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5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20" w:type="dxa"/>
            <w:vAlign w:val="bottom"/>
            <w:gridSpan w:val="18"/>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7240" w:type="dxa"/>
            <w:vAlign w:val="bottom"/>
            <w:gridSpan w:val="8"/>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Income (Loss)</w:t>
              </w:r>
            </w:hyperlink>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5900" w:type="dxa"/>
            <w:vAlign w:val="bottom"/>
            <w:gridSpan w:val="5"/>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Item 3.</w:t>
              </w:r>
            </w:hyperlink>
          </w:p>
        </w:tc>
        <w:tc>
          <w:tcPr>
            <w:tcW w:w="7100" w:type="dxa"/>
            <w:vAlign w:val="bottom"/>
            <w:tcBorders>
              <w:top w:val="single" w:sz="8" w:color="0000EE"/>
            </w:tcBorders>
            <w:gridSpan w:val="15"/>
          </w:tcPr>
          <w:p>
            <w:pPr>
              <w:ind w:left="2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2840" w:type="dxa"/>
            <w:vAlign w:val="bottom"/>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Item 4.</w:t>
              </w:r>
            </w:hyperlink>
          </w:p>
        </w:tc>
        <w:tc>
          <w:tcPr>
            <w:tcW w:w="2020" w:type="dxa"/>
            <w:vAlign w:val="bottom"/>
            <w:tcBorders>
              <w:top w:val="single" w:sz="8" w:color="0000EE"/>
              <w:bottom w:val="single" w:sz="8" w:color="0000EE"/>
            </w:tcBorders>
            <w:gridSpan w:val="5"/>
          </w:tcPr>
          <w:p>
            <w:pPr>
              <w:ind w:left="20"/>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Controls and Procedures</w:t>
              </w:r>
            </w:hyperlink>
          </w:p>
        </w:tc>
        <w:tc>
          <w:tcPr>
            <w:tcW w:w="2720" w:type="dxa"/>
            <w:vAlign w:val="bottom"/>
            <w:tcBorders>
              <w:top w:val="single" w:sz="8" w:color="0000EE"/>
            </w:tcBorders>
            <w:gridSpan w:val="8"/>
          </w:tcPr>
          <w:p>
            <w:pPr>
              <w:spacing w:after="0"/>
              <w:rPr>
                <w:sz w:val="17"/>
                <w:szCs w:val="17"/>
                <w:color w:val="auto"/>
              </w:rPr>
            </w:pPr>
          </w:p>
        </w:tc>
        <w:tc>
          <w:tcPr>
            <w:tcW w:w="5200" w:type="dxa"/>
            <w:vAlign w:val="bottom"/>
            <w:gridSpan w:val="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56">
              <w:r>
                <w:rPr>
                  <w:rFonts w:ascii="Arial" w:cs="Arial" w:eastAsia="Arial" w:hAnsi="Arial"/>
                  <w:sz w:val="18"/>
                  <w:szCs w:val="18"/>
                  <w:b w:val="1"/>
                  <w:bCs w:val="1"/>
                  <w:color w:val="0000EE"/>
                  <w:w w:val="98"/>
                </w:rPr>
                <w:t>PART II. OTHER INFORMATION</w:t>
              </w:r>
            </w:hyperlink>
          </w:p>
        </w:tc>
        <w:tc>
          <w:tcPr>
            <w:tcW w:w="78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Item 1.</w:t>
              </w:r>
            </w:hyperlink>
          </w:p>
        </w:tc>
        <w:tc>
          <w:tcPr>
            <w:tcW w:w="152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Legal Proceedings</w:t>
              </w:r>
            </w:hyperlink>
          </w:p>
        </w:tc>
        <w:tc>
          <w:tcPr>
            <w:tcW w:w="8420" w:type="dxa"/>
            <w:vAlign w:val="bottom"/>
            <w:gridSpan w:val="12"/>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Item 1A. Risk Factors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66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57">
              <w:r>
                <w:rPr>
                  <w:rFonts w:ascii="Arial" w:cs="Arial" w:eastAsia="Arial" w:hAnsi="Arial"/>
                  <w:sz w:val="18"/>
                  <w:szCs w:val="18"/>
                  <w:color w:val="0000EE"/>
                  <w:w w:val="98"/>
                </w:rPr>
                <w:t>Exhibits</w:t>
              </w:r>
            </w:hyperlink>
          </w:p>
        </w:tc>
        <w:tc>
          <w:tcPr>
            <w:tcW w:w="48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673"/>
        </w:trPr>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60" w:type="dxa"/>
            <w:vAlign w:val="bottom"/>
            <w:gridSpan w:val="13"/>
          </w:tcPr>
          <w:p>
            <w:pPr>
              <w:jc w:val="right"/>
              <w:ind w:right="16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652"/>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ind w:right="172"/>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32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87,045</w:t>
            </w:r>
          </w:p>
        </w:tc>
        <w:tc>
          <w:tcPr>
            <w:tcW w:w="6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294,067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269,517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105,004</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755,633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satellites, net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2,363,916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2,125,290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319,698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121,223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788,614</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758,805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4,367,051</w:t>
            </w:r>
          </w:p>
        </w:tc>
        <w:tc>
          <w:tcPr>
            <w:tcW w:w="2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3,915,287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FF0FC"/>
          </w:tcPr>
          <w:p>
            <w:pPr>
              <w:ind w:left="246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141,746</w:t>
            </w:r>
          </w:p>
        </w:tc>
        <w:tc>
          <w:tcPr>
            <w:tcW w:w="6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Accrued and other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330,011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29,962</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501,719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485,480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1,284,329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1,282,898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159,636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296,707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118,824</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2,361,215</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1,999,209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1,751,924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1,656,819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237,311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24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1,990,907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1,907,748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14,929</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2,005,836</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1,916,078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4,367,051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94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Borders>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 2019</w:t>
            </w:r>
          </w:p>
        </w:tc>
        <w:tc>
          <w:tcPr>
            <w:tcW w:w="8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4"/>
                <w:szCs w:val="14"/>
                <w:color w:val="auto"/>
              </w:rPr>
            </w:pPr>
          </w:p>
        </w:tc>
      </w:tr>
      <w:tr>
        <w:trPr>
          <w:trHeight w:val="169"/>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9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306,830</w:t>
            </w:r>
          </w:p>
        </w:tc>
        <w:tc>
          <w:tcPr>
            <w:tcW w:w="14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280,435</w:t>
            </w:r>
          </w:p>
        </w:tc>
        <w:tc>
          <w:tcPr>
            <w:tcW w:w="24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570,445</w:t>
            </w:r>
          </w:p>
        </w:tc>
        <w:tc>
          <w:tcPr>
            <w:tcW w:w="140" w:type="dxa"/>
            <w:vAlign w:val="bottom"/>
          </w:tcPr>
          <w:p>
            <w:pPr>
              <w:spacing w:after="0"/>
              <w:rPr>
                <w:sz w:val="18"/>
                <w:szCs w:val="18"/>
                <w:color w:val="auto"/>
              </w:rPr>
            </w:pPr>
          </w:p>
        </w:tc>
        <w:tc>
          <w:tcPr>
            <w:tcW w:w="70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498,564</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4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237,039</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558,848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457,779</w:t>
            </w:r>
          </w:p>
        </w:tc>
        <w:tc>
          <w:tcPr>
            <w:tcW w:w="100" w:type="dxa"/>
            <w:vAlign w:val="bottom"/>
            <w:shd w:val="clear" w:color="auto" w:fill="CFF0FC"/>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 revenues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517,474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1,129,293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956,343</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223,075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216,900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390,348</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175,230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346,662</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113,120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252,523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225,762</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64,733</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4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FF0FC"/>
            </w:tcBorders>
          </w:tcPr>
          <w:p>
            <w:pPr>
              <w:spacing w:after="0"/>
              <w:rPr>
                <w:sz w:val="18"/>
                <w:szCs w:val="18"/>
                <w:color w:val="auto"/>
              </w:rPr>
            </w:pPr>
          </w:p>
        </w:tc>
      </w:tr>
      <w:tr>
        <w:trPr>
          <w:trHeight w:val="21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(76,050)</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(9,540)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(14,074)</w:t>
            </w:r>
          </w:p>
        </w:tc>
        <w:tc>
          <w:tcPr>
            <w:tcW w:w="3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(20,714)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(25,398)</w:t>
            </w:r>
          </w:p>
        </w:tc>
      </w:tr>
      <w:tr>
        <w:trPr>
          <w:trHeight w:val="210"/>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(35,616)</w:t>
            </w: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(101,383)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9,704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38,909</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Equity in income of unconsolidated affiliate, net</w:t>
            </w:r>
          </w:p>
        </w:tc>
        <w:tc>
          <w:tcPr>
            <w:tcW w:w="4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FF0FC"/>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(25,598)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(61,095)</w:t>
            </w:r>
          </w:p>
        </w:tc>
        <w:tc>
          <w:tcPr>
            <w:tcW w:w="100" w:type="dxa"/>
            <w:vAlign w:val="bottom"/>
          </w:tcPr>
          <w:p>
            <w:pPr>
              <w:spacing w:after="0"/>
              <w:rPr>
                <w:sz w:val="18"/>
                <w:szCs w:val="18"/>
                <w:color w:val="auto"/>
              </w:rPr>
            </w:pPr>
          </w:p>
        </w:tc>
      </w:tr>
      <w:tr>
        <w:trPr>
          <w:trHeight w:val="193"/>
        </w:trPr>
        <w:tc>
          <w:tcPr>
            <w:tcW w:w="43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Less: net income (loss) attributable to</w:t>
            </w:r>
          </w:p>
        </w:tc>
        <w:tc>
          <w:tcPr>
            <w:tcW w:w="4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noncontrolling interests, net of tax</w:t>
            </w: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(1,361)</w:t>
            </w:r>
          </w:p>
        </w:tc>
      </w:tr>
      <w:tr>
        <w:trPr>
          <w:trHeight w:val="25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Viasat, Inc.</w:t>
            </w:r>
          </w:p>
        </w:tc>
        <w:tc>
          <w:tcPr>
            <w:tcW w:w="46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(25,724)</w:t>
            </w:r>
          </w:p>
        </w:tc>
        <w:tc>
          <w:tcPr>
            <w:tcW w:w="24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(59,734)</w:t>
            </w:r>
          </w:p>
        </w:tc>
        <w:tc>
          <w:tcPr>
            <w:tcW w:w="100" w:type="dxa"/>
            <w:vAlign w:val="bottom"/>
            <w:tcBorders>
              <w:bottom w:val="single" w:sz="8" w:color="CFF0FC"/>
            </w:tcBorders>
          </w:tcPr>
          <w:p>
            <w:pPr>
              <w:spacing w:after="0"/>
              <w:rPr>
                <w:sz w:val="21"/>
                <w:szCs w:val="21"/>
                <w:color w:val="auto"/>
              </w:rPr>
            </w:pPr>
          </w:p>
        </w:tc>
      </w:tr>
      <w:tr>
        <w:trPr>
          <w:trHeight w:val="174"/>
        </w:trPr>
        <w:tc>
          <w:tcPr>
            <w:tcW w:w="4300" w:type="dxa"/>
            <w:vAlign w:val="bottom"/>
            <w:shd w:val="clear" w:color="auto" w:fill="CFF0FC"/>
          </w:tcPr>
          <w:p>
            <w:pPr>
              <w:spacing w:after="0" w:line="174" w:lineRule="exact"/>
              <w:rPr>
                <w:sz w:val="20"/>
                <w:szCs w:val="20"/>
                <w:color w:val="auto"/>
              </w:rPr>
            </w:pPr>
            <w:r>
              <w:rPr>
                <w:rFonts w:ascii="Arial" w:cs="Arial" w:eastAsia="Arial" w:hAnsi="Arial"/>
                <w:sz w:val="18"/>
                <w:szCs w:val="18"/>
                <w:color w:val="auto"/>
              </w:rPr>
              <w:t>Basic net income (loss) per share attributable to</w:t>
            </w:r>
          </w:p>
        </w:tc>
        <w:tc>
          <w:tcPr>
            <w:tcW w:w="4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5"/>
        </w:trPr>
        <w:tc>
          <w:tcPr>
            <w:tcW w:w="4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Viasat, Inc. common stockholders</w:t>
            </w:r>
          </w:p>
        </w:tc>
        <w:tc>
          <w:tcPr>
            <w:tcW w:w="90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(0.43)</w:t>
            </w:r>
          </w:p>
        </w:tc>
        <w:tc>
          <w:tcPr>
            <w:tcW w:w="38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(0.14)</w:t>
            </w:r>
          </w:p>
        </w:tc>
        <w:tc>
          <w:tcPr>
            <w:tcW w:w="700" w:type="dxa"/>
            <w:vAlign w:val="bottom"/>
            <w:gridSpan w:val="2"/>
            <w:shd w:val="clear" w:color="auto" w:fill="CFF0FC"/>
          </w:tcPr>
          <w:p>
            <w:pPr>
              <w:jc w:val="right"/>
              <w:ind w:right="43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193"/>
        </w:trPr>
        <w:tc>
          <w:tcPr>
            <w:tcW w:w="4300" w:type="dxa"/>
            <w:vAlign w:val="bottom"/>
          </w:tcPr>
          <w:p>
            <w:pPr>
              <w:spacing w:after="0" w:line="194" w:lineRule="exact"/>
              <w:rPr>
                <w:sz w:val="20"/>
                <w:szCs w:val="20"/>
                <w:color w:val="auto"/>
              </w:rPr>
            </w:pPr>
            <w:r>
              <w:rPr>
                <w:rFonts w:ascii="Arial" w:cs="Arial" w:eastAsia="Arial" w:hAnsi="Arial"/>
                <w:sz w:val="18"/>
                <w:szCs w:val="18"/>
                <w:color w:val="auto"/>
              </w:rPr>
              <w:t>Diluted net income (loss) per share attributable</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4300" w:type="dxa"/>
            <w:vAlign w:val="bottom"/>
          </w:tcPr>
          <w:p>
            <w:pPr>
              <w:ind w:left="160"/>
              <w:spacing w:after="0"/>
              <w:rPr>
                <w:sz w:val="20"/>
                <w:szCs w:val="20"/>
                <w:color w:val="auto"/>
              </w:rPr>
            </w:pPr>
            <w:r>
              <w:rPr>
                <w:rFonts w:ascii="Arial" w:cs="Arial" w:eastAsia="Arial" w:hAnsi="Arial"/>
                <w:sz w:val="18"/>
                <w:szCs w:val="18"/>
                <w:color w:val="auto"/>
              </w:rPr>
              <w:t>to Viasat, Inc. common stockholders</w:t>
            </w:r>
          </w:p>
        </w:tc>
        <w:tc>
          <w:tcPr>
            <w:tcW w:w="9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(0.43)</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70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193"/>
        </w:trPr>
        <w:tc>
          <w:tcPr>
            <w:tcW w:w="43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Shares used in computing basic net income</w:t>
            </w:r>
          </w:p>
        </w:tc>
        <w:tc>
          <w:tcPr>
            <w:tcW w:w="4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(loss) per share</w:t>
            </w: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59,470</w:t>
            </w:r>
          </w:p>
        </w:tc>
        <w:tc>
          <w:tcPr>
            <w:tcW w:w="100" w:type="dxa"/>
            <w:vAlign w:val="bottom"/>
            <w:shd w:val="clear" w:color="auto" w:fill="CFF0FC"/>
          </w:tcPr>
          <w:p>
            <w:pPr>
              <w:spacing w:after="0"/>
              <w:rPr>
                <w:sz w:val="19"/>
                <w:szCs w:val="19"/>
                <w:color w:val="auto"/>
              </w:rPr>
            </w:pPr>
          </w:p>
        </w:tc>
      </w:tr>
      <w:tr>
        <w:trPr>
          <w:trHeight w:val="193"/>
        </w:trPr>
        <w:tc>
          <w:tcPr>
            <w:tcW w:w="4300" w:type="dxa"/>
            <w:vAlign w:val="bottom"/>
          </w:tcPr>
          <w:p>
            <w:pPr>
              <w:spacing w:after="0" w:line="194" w:lineRule="exact"/>
              <w:rPr>
                <w:sz w:val="20"/>
                <w:szCs w:val="20"/>
                <w:color w:val="auto"/>
              </w:rPr>
            </w:pPr>
            <w:r>
              <w:rPr>
                <w:rFonts w:ascii="Arial" w:cs="Arial" w:eastAsia="Arial" w:hAnsi="Arial"/>
                <w:sz w:val="18"/>
                <w:szCs w:val="18"/>
                <w:color w:val="auto"/>
              </w:rPr>
              <w:t>Shares used in computing diluted net income</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4300" w:type="dxa"/>
            <w:vAlign w:val="bottom"/>
          </w:tcPr>
          <w:p>
            <w:pPr>
              <w:ind w:left="160"/>
              <w:spacing w:after="0"/>
              <w:rPr>
                <w:sz w:val="20"/>
                <w:szCs w:val="20"/>
                <w:color w:val="auto"/>
              </w:rPr>
            </w:pPr>
            <w:r>
              <w:rPr>
                <w:rFonts w:ascii="Arial" w:cs="Arial" w:eastAsia="Arial" w:hAnsi="Arial"/>
                <w:sz w:val="18"/>
                <w:szCs w:val="18"/>
                <w:color w:val="auto"/>
              </w:rPr>
              <w:t>(loss) per share</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59,734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59,470</w:t>
            </w:r>
          </w:p>
        </w:tc>
        <w:tc>
          <w:tcPr>
            <w:tcW w:w="100" w:type="dxa"/>
            <w:vAlign w:val="bottom"/>
          </w:tcPr>
          <w:p>
            <w:pPr>
              <w:spacing w:after="0"/>
              <w:rPr>
                <w:sz w:val="19"/>
                <w:szCs w:val="19"/>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8,062</w:t>
            </w:r>
          </w:p>
        </w:tc>
        <w:tc>
          <w:tcPr>
            <w:tcW w:w="14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(25,598)</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(1,675)</w:t>
            </w:r>
          </w:p>
        </w:tc>
        <w:tc>
          <w:tcPr>
            <w:tcW w:w="70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(61,095)</w:t>
            </w: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Unrealized gain (loss) on hedging, net of tax</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r>
      <w:tr>
        <w:trPr>
          <w:trHeight w:val="193"/>
        </w:trPr>
        <w:tc>
          <w:tcPr>
            <w:tcW w:w="4300" w:type="dxa"/>
            <w:vAlign w:val="bottom"/>
            <w:shd w:val="clear" w:color="auto" w:fill="CFF0FC"/>
          </w:tcPr>
          <w:p>
            <w:pPr>
              <w:ind w:left="260"/>
              <w:spacing w:after="0" w:line="194" w:lineRule="exact"/>
              <w:rPr>
                <w:sz w:val="20"/>
                <w:szCs w:val="20"/>
                <w:color w:val="auto"/>
              </w:rPr>
            </w:pPr>
            <w:r>
              <w:rPr>
                <w:rFonts w:ascii="Arial" w:cs="Arial" w:eastAsia="Arial" w:hAnsi="Arial"/>
                <w:sz w:val="18"/>
                <w:szCs w:val="18"/>
                <w:color w:val="auto"/>
              </w:rPr>
              <w:t>Foreign currency translation adjustments, net</w:t>
            </w:r>
          </w:p>
        </w:tc>
        <w:tc>
          <w:tcPr>
            <w:tcW w:w="4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3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of tax</w:t>
            </w:r>
          </w:p>
        </w:tc>
        <w:tc>
          <w:tcPr>
            <w:tcW w:w="4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(7,104)</w:t>
            </w:r>
          </w:p>
        </w:tc>
        <w:tc>
          <w:tcPr>
            <w:tcW w:w="3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(3,720)</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(6,901)</w:t>
            </w:r>
          </w:p>
        </w:tc>
      </w:tr>
      <w:tr>
        <w:trPr>
          <w:trHeight w:val="21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 net of tax</w:t>
            </w:r>
          </w:p>
        </w:tc>
        <w:tc>
          <w:tcPr>
            <w:tcW w:w="460" w:type="dxa"/>
            <w:vAlign w:val="bottom"/>
            <w:tcBorders>
              <w:bottom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24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Borders>
              <w:bottom w:val="single" w:sz="8" w:color="CFF0FC"/>
            </w:tcBorders>
          </w:tcPr>
          <w:p>
            <w:pPr>
              <w:spacing w:after="0"/>
              <w:rPr>
                <w:sz w:val="18"/>
                <w:szCs w:val="18"/>
                <w:color w:val="auto"/>
              </w:rPr>
            </w:pPr>
          </w:p>
        </w:tc>
      </w:tr>
      <w:tr>
        <w:trPr>
          <w:trHeight w:val="21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(68,284)</w:t>
            </w:r>
          </w:p>
        </w:tc>
        <w:tc>
          <w:tcPr>
            <w:tcW w:w="100" w:type="dxa"/>
            <w:vAlign w:val="bottom"/>
            <w:shd w:val="clear" w:color="auto" w:fill="CFF0FC"/>
          </w:tcPr>
          <w:p>
            <w:pPr>
              <w:spacing w:after="0"/>
              <w:rPr>
                <w:sz w:val="18"/>
                <w:szCs w:val="18"/>
                <w:color w:val="auto"/>
              </w:rPr>
            </w:pPr>
          </w:p>
        </w:tc>
      </w:tr>
      <w:tr>
        <w:trPr>
          <w:trHeight w:val="193"/>
        </w:trPr>
        <w:tc>
          <w:tcPr>
            <w:tcW w:w="4300" w:type="dxa"/>
            <w:vAlign w:val="bottom"/>
          </w:tcPr>
          <w:p>
            <w:pPr>
              <w:spacing w:after="0" w:line="194" w:lineRule="exact"/>
              <w:rPr>
                <w:sz w:val="20"/>
                <w:szCs w:val="20"/>
                <w:color w:val="auto"/>
              </w:rPr>
            </w:pPr>
            <w:r>
              <w:rPr>
                <w:rFonts w:ascii="Arial" w:cs="Arial" w:eastAsia="Arial" w:hAnsi="Arial"/>
                <w:sz w:val="18"/>
                <w:szCs w:val="18"/>
                <w:color w:val="auto"/>
              </w:rPr>
              <w:t>Less: comprehensive income (loss) attributable</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4300" w:type="dxa"/>
            <w:vAlign w:val="bottom"/>
          </w:tcPr>
          <w:p>
            <w:pPr>
              <w:ind w:left="160"/>
              <w:spacing w:after="0"/>
              <w:rPr>
                <w:sz w:val="20"/>
                <w:szCs w:val="20"/>
                <w:color w:val="auto"/>
              </w:rPr>
            </w:pPr>
            <w:r>
              <w:rPr>
                <w:rFonts w:ascii="Arial" w:cs="Arial" w:eastAsia="Arial" w:hAnsi="Arial"/>
                <w:sz w:val="18"/>
                <w:szCs w:val="18"/>
                <w:color w:val="auto"/>
              </w:rPr>
              <w:t>to noncontrolling interests, net of tax</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r>
      <w:tr>
        <w:trPr>
          <w:trHeight w:val="187"/>
        </w:trPr>
        <w:tc>
          <w:tcPr>
            <w:tcW w:w="430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Comprehensive income (loss) attributable to</w:t>
            </w:r>
          </w:p>
        </w:tc>
        <w:tc>
          <w:tcPr>
            <w:tcW w:w="460" w:type="dxa"/>
            <w:vAlign w:val="bottom"/>
            <w:tcBorders>
              <w:top w:val="single" w:sz="8" w:color="CFF0FC"/>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5"/>
        </w:trPr>
        <w:tc>
          <w:tcPr>
            <w:tcW w:w="43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Viasat, Inc.</w:t>
            </w:r>
          </w:p>
        </w:tc>
        <w:tc>
          <w:tcPr>
            <w:tcW w:w="90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(32,790)</w:t>
            </w:r>
          </w:p>
        </w:tc>
        <w:tc>
          <w:tcPr>
            <w:tcW w:w="38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(11,946)</w:t>
            </w:r>
          </w:p>
        </w:tc>
        <w:tc>
          <w:tcPr>
            <w:tcW w:w="700" w:type="dxa"/>
            <w:vAlign w:val="bottom"/>
            <w:gridSpan w:val="2"/>
            <w:shd w:val="clear" w:color="auto" w:fill="CFF0FC"/>
          </w:tcPr>
          <w:p>
            <w:pPr>
              <w:jc w:val="right"/>
              <w:ind w:right="43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(66,923)</w:t>
            </w: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gridSpan w:val="6"/>
          </w:tcPr>
          <w:p>
            <w:pPr>
              <w:jc w:val="right"/>
              <w:ind w:right="1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88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80" w:type="dxa"/>
            <w:vAlign w:val="bottom"/>
            <w:gridSpan w:val="5"/>
          </w:tcPr>
          <w:p>
            <w:pPr>
              <w:jc w:val="right"/>
              <w:ind w:right="1451"/>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(1,675)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(61,095)</w:t>
            </w:r>
          </w:p>
        </w:tc>
        <w:tc>
          <w:tcPr>
            <w:tcW w:w="0" w:type="dxa"/>
            <w:vAlign w:val="bottom"/>
          </w:tcPr>
          <w:p>
            <w:pPr>
              <w:spacing w:after="0"/>
              <w:rPr>
                <w:sz w:val="1"/>
                <w:szCs w:val="1"/>
                <w:color w:val="auto"/>
              </w:rPr>
            </w:pPr>
          </w:p>
        </w:tc>
      </w:tr>
      <w:tr>
        <w:trPr>
          <w:trHeight w:val="191"/>
        </w:trPr>
        <w:tc>
          <w:tcPr>
            <w:tcW w:w="658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Adjustments to reconcile net loss to net cash provided by operating</w:t>
            </w: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58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activities:</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135,144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128,990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42,328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disposition of fixed assets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500"/>
              <w:spacing w:after="0"/>
              <w:rPr>
                <w:sz w:val="20"/>
                <w:szCs w:val="20"/>
                <w:color w:val="auto"/>
              </w:rPr>
            </w:pPr>
            <w:r>
              <w:rPr>
                <w:rFonts w:ascii="Arial" w:cs="Arial" w:eastAsia="Arial" w:hAnsi="Arial"/>
                <w:sz w:val="18"/>
                <w:szCs w:val="18"/>
                <w:color w:val="auto"/>
              </w:rPr>
              <w:t>Other non-cash adjustments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(32,753)</w:t>
            </w:r>
          </w:p>
        </w:tc>
        <w:tc>
          <w:tcPr>
            <w:tcW w:w="0" w:type="dxa"/>
            <w:vAlign w:val="bottom"/>
          </w:tcPr>
          <w:p>
            <w:pPr>
              <w:spacing w:after="0"/>
              <w:rPr>
                <w:sz w:val="1"/>
                <w:szCs w:val="1"/>
                <w:color w:val="auto"/>
              </w:rPr>
            </w:pPr>
          </w:p>
        </w:tc>
      </w:tr>
      <w:tr>
        <w:trPr>
          <w:trHeight w:val="193"/>
        </w:trPr>
        <w:tc>
          <w:tcPr>
            <w:tcW w:w="6580" w:type="dxa"/>
            <w:vAlign w:val="bottom"/>
            <w:shd w:val="clear" w:color="auto" w:fill="CFF0FC"/>
          </w:tcPr>
          <w:p>
            <w:pPr>
              <w:ind w:left="260"/>
              <w:spacing w:after="0" w:line="194" w:lineRule="exact"/>
              <w:rPr>
                <w:sz w:val="20"/>
                <w:szCs w:val="20"/>
                <w:color w:val="auto"/>
              </w:rPr>
            </w:pPr>
            <w:r>
              <w:rPr>
                <w:rFonts w:ascii="Arial" w:cs="Arial" w:eastAsia="Arial" w:hAnsi="Arial"/>
                <w:sz w:val="18"/>
                <w:szCs w:val="18"/>
                <w:color w:val="auto"/>
              </w:rPr>
              <w:t>Increase (decrease) in cash resulting from changes in operating assets</w:t>
            </w: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and liabilities, net of effect of acquisition:</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(10,595)</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(34,091)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(34,173)</w:t>
            </w:r>
          </w:p>
        </w:tc>
        <w:tc>
          <w:tcPr>
            <w:tcW w:w="0" w:type="dxa"/>
            <w:vAlign w:val="bottom"/>
          </w:tcPr>
          <w:p>
            <w:pPr>
              <w:spacing w:after="0"/>
              <w:rPr>
                <w:sz w:val="1"/>
                <w:szCs w:val="1"/>
                <w:color w:val="auto"/>
              </w:rPr>
            </w:pPr>
          </w:p>
        </w:tc>
      </w:tr>
      <w:tr>
        <w:trPr>
          <w:trHeight w:val="216"/>
        </w:trPr>
        <w:tc>
          <w:tcPr>
            <w:tcW w:w="658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(6,943)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60"/>
              <w:spacing w:after="0"/>
              <w:rPr>
                <w:sz w:val="20"/>
                <w:szCs w:val="20"/>
                <w:color w:val="auto"/>
              </w:rPr>
            </w:pPr>
            <w:r>
              <w:rPr>
                <w:rFonts w:ascii="Arial" w:cs="Arial" w:eastAsia="Arial" w:hAnsi="Arial"/>
                <w:sz w:val="18"/>
                <w:szCs w:val="18"/>
                <w:color w:val="auto"/>
              </w:rPr>
              <w:t>Purchase of property, equipment and satellites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(329,558)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(333,466)</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patents, licenses and other assets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(35,445)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(21,692)</w:t>
            </w:r>
          </w:p>
        </w:tc>
        <w:tc>
          <w:tcPr>
            <w:tcW w:w="0" w:type="dxa"/>
            <w:vAlign w:val="bottom"/>
          </w:tcPr>
          <w:p>
            <w:pPr>
              <w:spacing w:after="0"/>
              <w:rPr>
                <w:sz w:val="1"/>
                <w:szCs w:val="1"/>
                <w:color w:val="auto"/>
              </w:rPr>
            </w:pPr>
          </w:p>
        </w:tc>
      </w:tr>
      <w:tr>
        <w:trPr>
          <w:trHeight w:val="216"/>
        </w:trPr>
        <w:tc>
          <w:tcPr>
            <w:tcW w:w="6580" w:type="dxa"/>
            <w:vAlign w:val="bottom"/>
          </w:tcPr>
          <w:p>
            <w:pPr>
              <w:ind w:left="260"/>
              <w:spacing w:after="0"/>
              <w:rPr>
                <w:sz w:val="20"/>
                <w:szCs w:val="20"/>
                <w:color w:val="auto"/>
              </w:rPr>
            </w:pPr>
            <w:r>
              <w:rPr>
                <w:rFonts w:ascii="Arial" w:cs="Arial" w:eastAsia="Arial" w:hAnsi="Arial"/>
                <w:sz w:val="18"/>
                <w:szCs w:val="18"/>
                <w:color w:val="auto"/>
              </w:rPr>
              <w:t>Proceeds from insurance claims on ViaSat-2 satellite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real property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60"/>
              <w:spacing w:after="0"/>
              <w:rPr>
                <w:sz w:val="20"/>
                <w:szCs w:val="20"/>
                <w:color w:val="auto"/>
              </w:rPr>
            </w:pPr>
            <w:r>
              <w:rPr>
                <w:rFonts w:ascii="Arial" w:cs="Arial" w:eastAsia="Arial" w:hAnsi="Arial"/>
                <w:sz w:val="18"/>
                <w:szCs w:val="18"/>
                <w:color w:val="auto"/>
              </w:rPr>
              <w:t>Payments related to acquisition of business, net of cash acquired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(362,726)</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(299,069)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borrowings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60"/>
              <w:spacing w:after="0"/>
              <w:rPr>
                <w:sz w:val="20"/>
                <w:szCs w:val="20"/>
                <w:color w:val="auto"/>
              </w:rPr>
            </w:pPr>
            <w:r>
              <w:rPr>
                <w:rFonts w:ascii="Arial" w:cs="Arial" w:eastAsia="Arial" w:hAnsi="Arial"/>
                <w:sz w:val="18"/>
                <w:szCs w:val="18"/>
                <w:color w:val="auto"/>
              </w:rPr>
              <w:t>Payments of debt borrowings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(14,821)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(186,386)</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under equity plans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27,016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580" w:type="dxa"/>
            <w:vAlign w:val="bottom"/>
            <w:shd w:val="clear" w:color="auto" w:fill="CFF0FC"/>
          </w:tcPr>
          <w:p>
            <w:pPr>
              <w:ind w:left="260"/>
              <w:spacing w:after="0" w:line="194" w:lineRule="exact"/>
              <w:rPr>
                <w:sz w:val="20"/>
                <w:szCs w:val="20"/>
                <w:color w:val="auto"/>
              </w:rPr>
            </w:pPr>
            <w:r>
              <w:rPr>
                <w:rFonts w:ascii="Arial" w:cs="Arial" w:eastAsia="Arial" w:hAnsi="Arial"/>
                <w:sz w:val="18"/>
                <w:szCs w:val="18"/>
                <w:color w:val="auto"/>
              </w:rPr>
              <w:t>Purchase of common stock in treasury (immediately retired) related</w:t>
            </w: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 tax withholdings for stock-based compensation</w:t>
            </w: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16"/>
        </w:trPr>
        <w:tc>
          <w:tcPr>
            <w:tcW w:w="658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5,220</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169,264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6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(174,656)</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6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261,701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6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87,045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580" w:type="dxa"/>
            <w:vAlign w:val="bottom"/>
            <w:shd w:val="clear" w:color="auto" w:fill="CFF0FC"/>
          </w:tcPr>
          <w:p>
            <w:pPr>
              <w:ind w:left="260"/>
              <w:spacing w:after="0" w:line="194" w:lineRule="exact"/>
              <w:rPr>
                <w:sz w:val="20"/>
                <w:szCs w:val="20"/>
                <w:color w:val="auto"/>
              </w:rPr>
            </w:pPr>
            <w:r>
              <w:rPr>
                <w:rFonts w:ascii="Arial" w:cs="Arial" w:eastAsia="Arial" w:hAnsi="Arial"/>
                <w:sz w:val="18"/>
                <w:szCs w:val="18"/>
                <w:color w:val="auto"/>
              </w:rPr>
              <w:t>Issuance of common stock in satisfaction of certain accrued employee</w:t>
            </w: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5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compensation liabilities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22,829</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60"/>
              <w:spacing w:after="0"/>
              <w:rPr>
                <w:sz w:val="20"/>
                <w:szCs w:val="20"/>
                <w:color w:val="auto"/>
              </w:rPr>
            </w:pPr>
            <w:r>
              <w:rPr>
                <w:rFonts w:ascii="Arial" w:cs="Arial" w:eastAsia="Arial" w:hAnsi="Arial"/>
                <w:sz w:val="18"/>
                <w:szCs w:val="18"/>
                <w:color w:val="auto"/>
              </w:rPr>
              <w:t>Capital expenditures not paid for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4,023</w:t>
            </w:r>
          </w:p>
        </w:tc>
        <w:tc>
          <w:tcPr>
            <w:tcW w:w="180" w:type="dxa"/>
            <w:vAlign w:val="bottom"/>
          </w:tcPr>
          <w:p>
            <w:pPr>
              <w:spacing w:after="0"/>
              <w:rPr>
                <w:sz w:val="21"/>
                <w:szCs w:val="21"/>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6,724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Viasat, Inc. Stockholders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2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3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Interest in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3420" w:type="dxa"/>
            <w:vAlign w:val="bottom"/>
            <w:tcBorders>
              <w:top w:val="single" w:sz="8" w:color="auto"/>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20" w:type="dxa"/>
            <w:vAlign w:val="bottom"/>
            <w:shd w:val="clear" w:color="auto" w:fill="CFF0FC"/>
          </w:tcPr>
          <w:p>
            <w:pPr>
              <w:spacing w:after="0" w:line="185" w:lineRule="exact"/>
              <w:rPr>
                <w:sz w:val="20"/>
                <w:szCs w:val="20"/>
                <w:color w:val="auto"/>
              </w:rPr>
            </w:pPr>
            <w:r>
              <w:rPr>
                <w:rFonts w:ascii="Arial" w:cs="Arial" w:eastAsia="Arial" w:hAnsi="Arial"/>
                <w:sz w:val="18"/>
                <w:szCs w:val="18"/>
                <w:b w:val="1"/>
                <w:bCs w:val="1"/>
                <w:color w:val="auto"/>
              </w:rPr>
              <w:t>For the Three Months Ended</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September 30, 2019</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020" w:type="dxa"/>
            <w:vAlign w:val="bottom"/>
          </w:tcPr>
          <w:p>
            <w:pPr>
              <w:jc w:val="right"/>
              <w:spacing w:after="0"/>
              <w:rPr>
                <w:sz w:val="20"/>
                <w:szCs w:val="20"/>
                <w:color w:val="auto"/>
              </w:rPr>
            </w:pPr>
            <w:r>
              <w:rPr>
                <w:rFonts w:ascii="Arial" w:cs="Arial" w:eastAsia="Arial" w:hAnsi="Arial"/>
                <w:sz w:val="18"/>
                <w:szCs w:val="18"/>
                <w:color w:val="auto"/>
              </w:rPr>
              <w:t>61,276,933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6"/>
              </w:rPr>
              <w:t>$ 1,726,009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$ 234,117</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10,061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4"/>
              </w:rPr>
              <w:t>$ 1,973,292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24,076</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RSU awards vesting, net of</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shares withheld for taxes</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which have been retired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(800)</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Other comprehensive loss, net</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tax</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Arial" w:cs="Arial" w:eastAsia="Arial" w:hAnsi="Arial"/>
                <w:sz w:val="18"/>
                <w:szCs w:val="18"/>
                <w:color w:val="auto"/>
              </w:rPr>
              <w:t>Balance at September 30,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61,352,560</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$ 1,751,924</w:t>
            </w:r>
          </w:p>
        </w:tc>
        <w:tc>
          <w:tcPr>
            <w:tcW w:w="2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$ 237,311</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14,929</w:t>
            </w:r>
          </w:p>
        </w:tc>
        <w:tc>
          <w:tcPr>
            <w:tcW w:w="2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$ 2,005,836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420" w:type="dxa"/>
            <w:vAlign w:val="bottom"/>
          </w:tcPr>
          <w:p>
            <w:pPr>
              <w:spacing w:after="0" w:line="191" w:lineRule="exact"/>
              <w:rPr>
                <w:sz w:val="20"/>
                <w:szCs w:val="20"/>
                <w:color w:val="auto"/>
              </w:rPr>
            </w:pPr>
            <w:r>
              <w:rPr>
                <w:rFonts w:ascii="Arial" w:cs="Arial" w:eastAsia="Arial" w:hAnsi="Arial"/>
                <w:sz w:val="18"/>
                <w:szCs w:val="18"/>
                <w:b w:val="1"/>
                <w:bCs w:val="1"/>
                <w:color w:val="auto"/>
              </w:rPr>
              <w:t>For the Three Months Ended</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September 30, 2018</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59,527,520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$ 1,589,167</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$ 277,831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$ 1,891,947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93,900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3,432</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22,207</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tcPr>
          <w:p>
            <w:pPr>
              <w:spacing w:after="0" w:line="194" w:lineRule="exact"/>
              <w:rPr>
                <w:sz w:val="20"/>
                <w:szCs w:val="20"/>
                <w:color w:val="auto"/>
              </w:rPr>
            </w:pPr>
            <w:r>
              <w:rPr>
                <w:rFonts w:ascii="Arial" w:cs="Arial" w:eastAsia="Arial" w:hAnsi="Arial"/>
                <w:sz w:val="18"/>
                <w:szCs w:val="18"/>
                <w:color w:val="auto"/>
              </w:rPr>
              <w:t>RSU awards vesting, net of shares</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140"/>
              <w:spacing w:after="0" w:line="202" w:lineRule="exact"/>
              <w:rPr>
                <w:sz w:val="20"/>
                <w:szCs w:val="20"/>
                <w:color w:val="auto"/>
              </w:rPr>
            </w:pPr>
            <w:r>
              <w:rPr>
                <w:rFonts w:ascii="Arial" w:cs="Arial" w:eastAsia="Arial" w:hAnsi="Arial"/>
                <w:sz w:val="18"/>
                <w:szCs w:val="18"/>
                <w:color w:val="auto"/>
              </w:rPr>
              <w:t>withheld for taxes which have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been retired</w:t>
            </w:r>
          </w:p>
        </w:tc>
        <w:tc>
          <w:tcPr>
            <w:tcW w:w="1020" w:type="dxa"/>
            <w:vAlign w:val="bottom"/>
          </w:tcPr>
          <w:p>
            <w:pPr>
              <w:jc w:val="right"/>
              <w:spacing w:after="0"/>
              <w:rPr>
                <w:sz w:val="20"/>
                <w:szCs w:val="20"/>
                <w:color w:val="auto"/>
              </w:rPr>
            </w:pPr>
            <w:r>
              <w:rPr>
                <w:rFonts w:ascii="Arial" w:cs="Arial" w:eastAsia="Arial" w:hAnsi="Arial"/>
                <w:sz w:val="18"/>
                <w:szCs w:val="18"/>
                <w:color w:val="auto"/>
              </w:rPr>
              <w:t>28,809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Other noncontrolling interest activity</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(loss)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(25,724)</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(25,598)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Other comprehensive loss, net</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tax</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(7,066)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59,650,229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$ 1,614,224</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$ 252,107</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$ 1,884,337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Viasat, Inc. Stockholders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2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3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Noncontrolling</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Interest in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5"/>
                <w:szCs w:val="15"/>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420" w:type="dxa"/>
            <w:vAlign w:val="bottom"/>
            <w:tcBorders>
              <w:top w:val="single" w:sz="8" w:color="auto"/>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20" w:type="dxa"/>
            <w:vAlign w:val="bottom"/>
            <w:shd w:val="clear" w:color="auto" w:fill="CFF0FC"/>
          </w:tcPr>
          <w:p>
            <w:pPr>
              <w:spacing w:after="0" w:line="185" w:lineRule="exact"/>
              <w:rPr>
                <w:sz w:val="20"/>
                <w:szCs w:val="20"/>
                <w:color w:val="auto"/>
              </w:rPr>
            </w:pPr>
            <w:r>
              <w:rPr>
                <w:rFonts w:ascii="Arial" w:cs="Arial" w:eastAsia="Arial" w:hAnsi="Arial"/>
                <w:sz w:val="18"/>
                <w:szCs w:val="18"/>
                <w:b w:val="1"/>
                <w:bCs w:val="1"/>
                <w:color w:val="auto"/>
              </w:rPr>
              <w:t>For the Six Months Ended</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September 30, 2019</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1020" w:type="dxa"/>
            <w:vAlign w:val="bottom"/>
          </w:tcPr>
          <w:p>
            <w:pPr>
              <w:jc w:val="right"/>
              <w:spacing w:after="0"/>
              <w:rPr>
                <w:sz w:val="20"/>
                <w:szCs w:val="20"/>
                <w:color w:val="auto"/>
              </w:rPr>
            </w:pPr>
            <w:r>
              <w:rPr>
                <w:rFonts w:ascii="Arial" w:cs="Arial" w:eastAsia="Arial" w:hAnsi="Arial"/>
                <w:sz w:val="18"/>
                <w:szCs w:val="18"/>
                <w:color w:val="auto"/>
              </w:rPr>
              <w:t>60,550,093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6"/>
              </w:rPr>
              <w:t>$ 1,656,819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$ 245,585</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5,338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8,330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4"/>
              </w:rPr>
              <w:t>$ 1,916,078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301,731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18,710</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tcPr>
          <w:p>
            <w:pPr>
              <w:spacing w:after="0" w:line="194" w:lineRule="exact"/>
              <w:rPr>
                <w:sz w:val="20"/>
                <w:szCs w:val="20"/>
                <w:color w:val="auto"/>
              </w:rPr>
            </w:pPr>
            <w:r>
              <w:rPr>
                <w:rFonts w:ascii="Arial" w:cs="Arial" w:eastAsia="Arial" w:hAnsi="Arial"/>
                <w:sz w:val="18"/>
                <w:szCs w:val="18"/>
                <w:color w:val="auto"/>
              </w:rPr>
              <w:t>Issuance of stock under Employee</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Stock Purchase Plan</w:t>
            </w:r>
          </w:p>
        </w:tc>
        <w:tc>
          <w:tcPr>
            <w:tcW w:w="1020" w:type="dxa"/>
            <w:vAlign w:val="bottom"/>
          </w:tcPr>
          <w:p>
            <w:pPr>
              <w:jc w:val="right"/>
              <w:spacing w:after="0"/>
              <w:rPr>
                <w:sz w:val="20"/>
                <w:szCs w:val="20"/>
                <w:color w:val="auto"/>
              </w:rPr>
            </w:pPr>
            <w:r>
              <w:rPr>
                <w:rFonts w:ascii="Arial" w:cs="Arial" w:eastAsia="Arial" w:hAnsi="Arial"/>
                <w:sz w:val="18"/>
                <w:szCs w:val="18"/>
                <w:color w:val="auto"/>
              </w:rPr>
              <w:t>165,770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8,306</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48,388</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tcPr>
          <w:p>
            <w:pPr>
              <w:spacing w:after="0" w:line="194" w:lineRule="exact"/>
              <w:rPr>
                <w:sz w:val="20"/>
                <w:szCs w:val="20"/>
                <w:color w:val="auto"/>
              </w:rPr>
            </w:pPr>
            <w:r>
              <w:rPr>
                <w:rFonts w:ascii="Arial" w:cs="Arial" w:eastAsia="Arial" w:hAnsi="Arial"/>
                <w:sz w:val="18"/>
                <w:szCs w:val="18"/>
                <w:color w:val="auto"/>
              </w:rPr>
              <w:t>Shares issued in settlement of</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140"/>
              <w:spacing w:after="0" w:line="202" w:lineRule="exact"/>
              <w:rPr>
                <w:sz w:val="20"/>
                <w:szCs w:val="20"/>
                <w:color w:val="auto"/>
              </w:rPr>
            </w:pPr>
            <w:r>
              <w:rPr>
                <w:rFonts w:ascii="Arial" w:cs="Arial" w:eastAsia="Arial" w:hAnsi="Arial"/>
                <w:sz w:val="18"/>
                <w:szCs w:val="18"/>
                <w:color w:val="auto"/>
              </w:rPr>
              <w:t>certain accrued employee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compensation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255,615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22,829</w:t>
            </w:r>
          </w:p>
        </w:tc>
        <w:tc>
          <w:tcPr>
            <w:tcW w:w="2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22,829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RSU awards vesting, net of shares</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withheld for taxes which have</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been retired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(3,128)</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(loss)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(8,274)</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6,599</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Other comprehensive loss, net of</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Arial" w:cs="Arial" w:eastAsia="Arial" w:hAnsi="Arial"/>
                <w:sz w:val="18"/>
                <w:szCs w:val="18"/>
                <w:color w:val="auto"/>
              </w:rPr>
              <w:t>Balance at September 30,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61,352,560</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$ 1,751,924</w:t>
            </w:r>
          </w:p>
        </w:tc>
        <w:tc>
          <w:tcPr>
            <w:tcW w:w="2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$ 237,311</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14,929</w:t>
            </w:r>
          </w:p>
        </w:tc>
        <w:tc>
          <w:tcPr>
            <w:tcW w:w="2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$ 2,005,836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420" w:type="dxa"/>
            <w:vAlign w:val="bottom"/>
          </w:tcPr>
          <w:p>
            <w:pPr>
              <w:spacing w:after="0" w:line="191" w:lineRule="exact"/>
              <w:rPr>
                <w:sz w:val="20"/>
                <w:szCs w:val="20"/>
                <w:color w:val="auto"/>
              </w:rPr>
            </w:pPr>
            <w:r>
              <w:rPr>
                <w:rFonts w:ascii="Arial" w:cs="Arial" w:eastAsia="Arial" w:hAnsi="Arial"/>
                <w:sz w:val="18"/>
                <w:szCs w:val="18"/>
                <w:b w:val="1"/>
                <w:bCs w:val="1"/>
                <w:color w:val="auto"/>
              </w:rPr>
              <w:t>For the Six Months Ended</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September 30, 2018</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58,905,274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$ 1,535,635</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$ 285,960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$ 1,848,007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101,000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3,703</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Issuance of stock under Employee</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Purchase Plan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132,180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43,945</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Shares and fully-vested RSUs</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issued in settlement of certain</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accrued employee compensation</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liabilities, net of shares withheld</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for taxes which have been retired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27,701</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tcPr>
          <w:p>
            <w:pPr>
              <w:spacing w:after="0" w:line="194" w:lineRule="exact"/>
              <w:rPr>
                <w:sz w:val="20"/>
                <w:szCs w:val="20"/>
                <w:color w:val="auto"/>
              </w:rPr>
            </w:pPr>
            <w:r>
              <w:rPr>
                <w:rFonts w:ascii="Arial" w:cs="Arial" w:eastAsia="Arial" w:hAnsi="Arial"/>
                <w:sz w:val="18"/>
                <w:szCs w:val="18"/>
                <w:color w:val="auto"/>
              </w:rPr>
              <w:t>RSU awards vesting, net of shares</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ind w:left="140"/>
              <w:spacing w:after="0" w:line="202" w:lineRule="exact"/>
              <w:rPr>
                <w:sz w:val="20"/>
                <w:szCs w:val="20"/>
                <w:color w:val="auto"/>
              </w:rPr>
            </w:pPr>
            <w:r>
              <w:rPr>
                <w:rFonts w:ascii="Arial" w:cs="Arial" w:eastAsia="Arial" w:hAnsi="Arial"/>
                <w:sz w:val="18"/>
                <w:szCs w:val="18"/>
                <w:color w:val="auto"/>
              </w:rPr>
              <w:t>withheld for taxes which have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been retired</w:t>
            </w:r>
          </w:p>
        </w:tc>
        <w:tc>
          <w:tcPr>
            <w:tcW w:w="1020" w:type="dxa"/>
            <w:vAlign w:val="bottom"/>
          </w:tcPr>
          <w:p>
            <w:pPr>
              <w:jc w:val="right"/>
              <w:spacing w:after="0"/>
              <w:rPr>
                <w:sz w:val="20"/>
                <w:szCs w:val="20"/>
                <w:color w:val="auto"/>
              </w:rPr>
            </w:pPr>
            <w:r>
              <w:rPr>
                <w:rFonts w:ascii="Arial" w:cs="Arial" w:eastAsia="Arial" w:hAnsi="Arial"/>
                <w:sz w:val="18"/>
                <w:szCs w:val="18"/>
                <w:color w:val="auto"/>
              </w:rPr>
              <w:t>73,342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(2,123)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Cumulative effect adjustment upon</w:t>
            </w: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adoption of new revenue</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recognition guidance (ASU 2014-</w:t>
            </w: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09)</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noncontrolling interest activity</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(2,021)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(59,734)</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(1,361)</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(61,095)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tcPr>
          <w:p>
            <w:pPr>
              <w:spacing w:after="0" w:line="194" w:lineRule="exact"/>
              <w:rPr>
                <w:sz w:val="20"/>
                <w:szCs w:val="20"/>
                <w:color w:val="auto"/>
              </w:rPr>
            </w:pPr>
            <w:r>
              <w:rPr>
                <w:rFonts w:ascii="Arial" w:cs="Arial" w:eastAsia="Arial" w:hAnsi="Arial"/>
                <w:sz w:val="18"/>
                <w:szCs w:val="18"/>
                <w:color w:val="auto"/>
              </w:rPr>
              <w:t>Other comprehensive loss, net of</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tax</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59,650,229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$ 1,614,224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$ 252,107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$ 1,884,337</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79"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accompanying condensed consolidated balance sheet at September 30, 2019, the condensed consolidated statements of operations and comprehensive income (loss) for the three and six months ended September 30, 2019 and 2018, the condensed consolidated statements of cash flows for the six months ended September 30, 2019 and 2018 and the condensed consolidated statements of equity for the three and six months ended September 30, 2019 and 2018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2019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2019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During the third quarter of fiscal year 2019, Viasat Europe Sàrl (formerly known as Euro Broadband Retail Sàrl), which was previously a majority-owned subsidiary, became a wholly owned subsidiary when the Company purchased the remaining 49% interest in the company for an insignificant amount.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25" w:lineRule="exact"/>
        <w:rPr>
          <w:sz w:val="20"/>
          <w:szCs w:val="20"/>
          <w:color w:val="auto"/>
        </w:rPr>
      </w:pPr>
    </w:p>
    <w:p>
      <w:pPr>
        <w:ind w:right="120" w:firstLine="518"/>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3"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Effective April 1, 2018, the Company adopted Accounting Standards Update (ASU) 2014-09, Revenue from Contracts with Customers (commonly referred to as Accounting Standards Codification (ASC) 606). This update established ASC 606, Revenue from Contracts with Customers and ASC 340-40, Other Assets and Deferred Costs – Contracts with Customers.</w:t>
      </w:r>
    </w:p>
    <w:p>
      <w:pPr>
        <w:spacing w:after="0" w:line="110" w:lineRule="exact"/>
        <w:rPr>
          <w:sz w:val="20"/>
          <w:szCs w:val="20"/>
          <w:color w:val="auto"/>
        </w:rPr>
      </w:pPr>
    </w:p>
    <w:p>
      <w:pPr>
        <w:ind w:right="140" w:firstLine="518"/>
        <w:spacing w:after="0" w:line="247" w:lineRule="auto"/>
        <w:rPr>
          <w:sz w:val="20"/>
          <w:szCs w:val="20"/>
          <w:color w:val="auto"/>
        </w:rPr>
      </w:pPr>
      <w:r>
        <w:rPr>
          <w:rFonts w:ascii="Arial" w:cs="Arial" w:eastAsia="Arial" w:hAnsi="Arial"/>
          <w:sz w:val="18"/>
          <w:szCs w:val="18"/>
          <w:color w:val="auto"/>
        </w:rPr>
        <w:t>The Company applied the five-step model under ASC 606 to its contracts with its customers to determine the impact of the new standard. Under this model the Company (1) identifies the contract with the customer, (2) identifies its performance obligations in the contract,</w:t>
      </w:r>
    </w:p>
    <w:p>
      <w:pPr>
        <w:spacing w:after="0" w:line="1" w:lineRule="exact"/>
        <w:rPr>
          <w:sz w:val="20"/>
          <w:szCs w:val="20"/>
          <w:color w:val="auto"/>
        </w:rPr>
      </w:pPr>
    </w:p>
    <w:p>
      <w:pPr>
        <w:ind w:right="600" w:firstLine="8"/>
        <w:spacing w:after="0"/>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75"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 842. 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22" w:lineRule="exact"/>
        <w:rPr>
          <w:sz w:val="20"/>
          <w:szCs w:val="20"/>
          <w:color w:val="auto"/>
        </w:rPr>
      </w:pPr>
    </w:p>
    <w:p>
      <w:pPr>
        <w:ind w:right="20" w:firstLine="518"/>
        <w:spacing w:after="0" w:line="241"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2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68"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When estimates of total costs to be incurred on a contract exceed total estimates of revenue to be earned, a provision for the entire loss on the contract is recognized in the period the loss is determined.</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2019. As of September 30, 2019, the DCAA had completed its incurred cost audit for fiscal years 2004 and 2016 and approved the Company’s incurred costs for those fiscal years, as well as approved the Company’s incurred costs for fiscal years 2005 through 2015, 2017 and 2018 without further audit based on a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2019 and March 31, 2019, the Company had $4.9 million in contract-related reserves for its estimate of potential refunds to customers for potential cost adjustments on several multi-year U.S. government cost reimbursable contracts (see Note 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75"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73" w:lineRule="exact"/>
        <w:rPr>
          <w:sz w:val="20"/>
          <w:szCs w:val="20"/>
          <w:color w:val="auto"/>
        </w:rPr>
      </w:pPr>
    </w:p>
    <w:p>
      <w:pPr>
        <w:ind w:right="60" w:firstLine="518"/>
        <w:spacing w:after="0" w:line="243"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75"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September 30, 2019, the aggregate amount of the transaction price allocated to remaining performance obligations was $1.9 billion, of which the Company expects to recognize approximately half over the next twelve months, with the balance recognized thereafter.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75" w:lineRule="exact"/>
        <w:rPr>
          <w:sz w:val="20"/>
          <w:szCs w:val="20"/>
          <w:color w:val="auto"/>
        </w:rPr>
      </w:pPr>
    </w:p>
    <w:p>
      <w:pPr>
        <w:ind w:right="80" w:firstLine="518"/>
        <w:spacing w:after="0" w:line="24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and six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 September 30, 2019</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4"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40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5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77"/>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232,687</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306,830</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205,717</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13,865</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65,844</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285,426</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205,717</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88,008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298,531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Six Months Ended September 30, 2019</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4"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40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5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77"/>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139,044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431,401</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570,445</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402,532</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27,976</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128,340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558,848</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402,532</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167,020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559,741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1,129,293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 September 30, 2018</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4"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40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5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77"/>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104,190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176,245</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280,435</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162,962</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237,039</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162,962</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114,520</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239,992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Six Months Ended September 30, 2018</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4"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400"/>
              <w:spacing w:after="0" w:line="154"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4"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5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77"/>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189,323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309,241</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498,564</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316,523</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20,263</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457,779</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316,523</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209,586</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430,234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956,343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00" w:firstLine="518"/>
        <w:spacing w:after="0" w:line="245" w:lineRule="auto"/>
        <w:rPr>
          <w:sz w:val="20"/>
          <w:szCs w:val="20"/>
          <w:color w:val="auto"/>
        </w:rPr>
      </w:pPr>
      <w:r>
        <w:rPr>
          <w:rFonts w:ascii="Arial" w:cs="Arial" w:eastAsia="Arial" w:hAnsi="Arial"/>
          <w:sz w:val="18"/>
          <w:szCs w:val="18"/>
          <w:color w:val="auto"/>
        </w:rPr>
        <w:t>Revenues from the U.S. government as an individual customer comprised approximately 30% of total revenues for the three and six months ended September 30, 2019, and approximately 29% of total revenues for the three and six months ended September 30, 2018, mainly reported within the government systems segment. Revenues from the Company’s commercial customers, mainly reported within the commercial networks and satellite services segments, comprised approximately 70% of total revenues for the three and six months ended September 30, 2019, and approximately 71% of total revenues for the three and six months ended September 30, 2018.</w:t>
      </w:r>
    </w:p>
    <w:p>
      <w:pPr>
        <w:spacing w:after="0" w:line="159" w:lineRule="exact"/>
        <w:rPr>
          <w:sz w:val="20"/>
          <w:szCs w:val="20"/>
          <w:color w:val="auto"/>
        </w:rPr>
      </w:pPr>
    </w:p>
    <w:p>
      <w:pPr>
        <w:ind w:right="240" w:firstLine="518"/>
        <w:spacing w:after="0" w:line="27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IFC services and worldwide managed network services.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40" w:firstLine="518"/>
        <w:spacing w:after="0" w:line="256" w:lineRule="auto"/>
        <w:rPr>
          <w:sz w:val="20"/>
          <w:szCs w:val="20"/>
          <w:color w:val="auto"/>
        </w:rPr>
      </w:pPr>
      <w:r>
        <w:rPr>
          <w:rFonts w:ascii="Arial" w:cs="Arial" w:eastAsia="Arial" w:hAnsi="Arial"/>
          <w:sz w:val="17"/>
          <w:szCs w:val="17"/>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89% and 88% of the Company’s total revenues for these segments for the three and six months ended September 30, 2019, respectively, and approximately 90% and 89% of the Company’s total revenues for these segments for the three and six months ended September 30, 2018,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49" w:lineRule="exact"/>
        <w:rPr>
          <w:sz w:val="20"/>
          <w:szCs w:val="20"/>
          <w:color w:val="auto"/>
        </w:rPr>
      </w:pPr>
    </w:p>
    <w:p>
      <w:pPr>
        <w:ind w:right="300" w:firstLine="518"/>
        <w:spacing w:after="0" w:line="243"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22% and 23% of its total revenues for the three and six months ended September 30, 2019, respectively, and approximately 17% of its total revenues for the three and six months ended September 30, 2018.</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six months ended September 30, 2019 and 2018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5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5"/>
                <w:szCs w:val="15"/>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September 30, 2019</w:t>
            </w:r>
          </w:p>
        </w:tc>
      </w:tr>
      <w:tr>
        <w:trPr>
          <w:trHeight w:val="169"/>
        </w:trPr>
        <w:tc>
          <w:tcPr>
            <w:tcW w:w="5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180" w:type="dxa"/>
            <w:vAlign w:val="bottom"/>
            <w:tcBorders>
              <w:top w:val="single" w:sz="8" w:color="auto"/>
            </w:tcBorders>
            <w:gridSpan w:val="4"/>
          </w:tcPr>
          <w:p>
            <w:pPr>
              <w:jc w:val="right"/>
              <w:ind w:right="1617"/>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536,284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997,567</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10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55,972</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131,726</w:t>
            </w:r>
          </w:p>
        </w:tc>
        <w:tc>
          <w:tcPr>
            <w:tcW w:w="120" w:type="dxa"/>
            <w:vAlign w:val="bottom"/>
            <w:tcBorders>
              <w:bottom w:val="single" w:sz="8" w:color="CFF0FC"/>
            </w:tcBorders>
          </w:tcPr>
          <w:p>
            <w:pPr>
              <w:spacing w:after="0"/>
              <w:rPr>
                <w:sz w:val="18"/>
                <w:szCs w:val="18"/>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592,256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1,129,293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8"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w:t>
      </w:r>
    </w:p>
    <w:p>
      <w:pPr>
        <w:spacing w:after="0" w:line="31"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September 30, 2018</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Six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 2018</w:t>
      </w:r>
    </w:p>
    <w:p>
      <w:pPr>
        <w:spacing w:after="0" w:line="1" w:lineRule="exact"/>
        <w:rPr>
          <w:sz w:val="20"/>
          <w:szCs w:val="20"/>
          <w:color w:val="auto"/>
        </w:rPr>
      </w:pPr>
    </w:p>
    <w:p>
      <w:pPr>
        <w:sectPr>
          <w:pgSz w:w="11900" w:h="16838" w:orient="portrait"/>
          <w:cols w:equalWidth="0" w:num="2">
            <w:col w:w="8860" w:space="720"/>
            <w:col w:w="1840"/>
          </w:cols>
          <w:pgMar w:left="240" w:top="114"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84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470,220</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848,392</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108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47,254</w:t>
            </w:r>
          </w:p>
        </w:tc>
        <w:tc>
          <w:tcPr>
            <w:tcW w:w="28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107,951</w:t>
            </w:r>
          </w:p>
        </w:tc>
        <w:tc>
          <w:tcPr>
            <w:tcW w:w="120" w:type="dxa"/>
            <w:vAlign w:val="bottom"/>
            <w:tcBorders>
              <w:bottom w:val="single" w:sz="8" w:color="CFF0FC"/>
            </w:tcBorders>
          </w:tcPr>
          <w:p>
            <w:pPr>
              <w:spacing w:after="0"/>
              <w:rPr>
                <w:sz w:val="18"/>
                <w:szCs w:val="18"/>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517,474</w:t>
            </w:r>
          </w:p>
        </w:tc>
        <w:tc>
          <w:tcPr>
            <w:tcW w:w="2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956,343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75" w:lineRule="exact"/>
        <w:rPr>
          <w:sz w:val="20"/>
          <w:szCs w:val="20"/>
          <w:color w:val="auto"/>
        </w:rPr>
      </w:pPr>
    </w:p>
    <w:p>
      <w:pPr>
        <w:ind w:right="160" w:firstLine="518"/>
        <w:spacing w:after="0" w:line="245"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59"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September 30, 2019 and March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right"/>
              <w:ind w:right="779"/>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As of</w:t>
            </w:r>
          </w:p>
        </w:tc>
      </w:tr>
      <w:tr>
        <w:trPr>
          <w:trHeight w:val="177"/>
        </w:trPr>
        <w:tc>
          <w:tcPr>
            <w:tcW w:w="50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jc w:val="right"/>
              <w:ind w:right="299"/>
              <w:spacing w:after="0"/>
              <w:rPr>
                <w:sz w:val="20"/>
                <w:szCs w:val="20"/>
                <w:color w:val="auto"/>
              </w:rPr>
            </w:pPr>
            <w:r>
              <w:rPr>
                <w:rFonts w:ascii="Arial" w:cs="Arial" w:eastAsia="Arial" w:hAnsi="Arial"/>
                <w:sz w:val="14"/>
                <w:szCs w:val="14"/>
                <w:b w:val="1"/>
                <w:bCs w:val="1"/>
                <w:color w:val="auto"/>
              </w:rPr>
              <w:t>September 30, 2019</w:t>
            </w:r>
          </w:p>
        </w:tc>
        <w:tc>
          <w:tcPr>
            <w:tcW w:w="500" w:type="dxa"/>
            <w:vAlign w:val="bottom"/>
          </w:tcPr>
          <w:p>
            <w:pPr>
              <w:spacing w:after="0"/>
              <w:rPr>
                <w:sz w:val="15"/>
                <w:szCs w:val="15"/>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5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2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97,645</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83,743</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8"/>
                <w:szCs w:val="18"/>
                <w:color w:val="auto"/>
              </w:rPr>
              <w:t>107,817</w:t>
            </w:r>
          </w:p>
        </w:tc>
        <w:tc>
          <w:tcPr>
            <w:tcW w:w="5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125,540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2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86,054</w:t>
            </w:r>
          </w:p>
        </w:tc>
        <w:tc>
          <w:tcPr>
            <w:tcW w:w="5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71,230</w:t>
            </w:r>
          </w:p>
        </w:tc>
        <w:tc>
          <w:tcPr>
            <w:tcW w:w="100" w:type="dxa"/>
            <w:vAlign w:val="bottom"/>
            <w:shd w:val="clear" w:color="auto" w:fill="CFF0FC"/>
          </w:tcPr>
          <w:p>
            <w:pPr>
              <w:spacing w:after="0"/>
              <w:rPr>
                <w:sz w:val="18"/>
                <w:szCs w:val="18"/>
                <w:color w:val="auto"/>
              </w:rPr>
            </w:pPr>
          </w:p>
        </w:tc>
      </w:tr>
      <w:tr>
        <w:trPr>
          <w:trHeight w:val="639"/>
        </w:trPr>
        <w:tc>
          <w:tcPr>
            <w:tcW w:w="5080" w:type="dxa"/>
            <w:vAlign w:val="bottom"/>
          </w:tcPr>
          <w:p>
            <w:pPr>
              <w:spacing w:after="0"/>
              <w:rPr>
                <w:sz w:val="24"/>
                <w:szCs w:val="24"/>
                <w:color w:val="auto"/>
              </w:rPr>
            </w:pPr>
          </w:p>
        </w:tc>
        <w:tc>
          <w:tcPr>
            <w:tcW w:w="2360" w:type="dxa"/>
            <w:vAlign w:val="bottom"/>
          </w:tcPr>
          <w:p>
            <w:pPr>
              <w:jc w:val="right"/>
              <w:ind w:right="15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508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460" w:firstLine="518"/>
        <w:spacing w:after="0" w:line="276" w:lineRule="auto"/>
        <w:rPr>
          <w:sz w:val="20"/>
          <w:szCs w:val="20"/>
          <w:color w:val="auto"/>
        </w:rPr>
      </w:pPr>
      <w:r>
        <w:rPr>
          <w:rFonts w:ascii="Arial" w:cs="Arial" w:eastAsia="Arial" w:hAnsi="Arial"/>
          <w:sz w:val="18"/>
          <w:szCs w:val="18"/>
          <w:color w:val="auto"/>
        </w:rPr>
        <w:t>Unbilled accounts receivable increased $13.9 million during the six months ended September 30, 2019, primarily driven by revenue recognized in the Company’s government systems segment in excess of billings.</w:t>
      </w:r>
    </w:p>
    <w:p>
      <w:pPr>
        <w:spacing w:after="0" w:line="91" w:lineRule="exact"/>
        <w:rPr>
          <w:sz w:val="20"/>
          <w:szCs w:val="20"/>
          <w:color w:val="auto"/>
        </w:rPr>
      </w:pPr>
    </w:p>
    <w:p>
      <w:pPr>
        <w:ind w:right="360" w:firstLine="518"/>
        <w:spacing w:after="0" w:line="255" w:lineRule="auto"/>
        <w:rPr>
          <w:sz w:val="20"/>
          <w:szCs w:val="20"/>
          <w:color w:val="auto"/>
        </w:rPr>
      </w:pPr>
      <w:r>
        <w:rPr>
          <w:rFonts w:ascii="Arial" w:cs="Arial" w:eastAsia="Arial" w:hAnsi="Arial"/>
          <w:sz w:val="18"/>
          <w:szCs w:val="18"/>
          <w:color w:val="auto"/>
        </w:rPr>
        <w:t>Collections in excess of revenues and deferred revenues decreased $17.7 million during the six months ended September 30, 2019, primarily driven by revenue recognized in excess of advances on goods or services received in the Company’s government systems and satellite services segments.</w:t>
      </w:r>
    </w:p>
    <w:p>
      <w:pPr>
        <w:spacing w:after="0" w:line="110"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During the three and six months ended September 30, 2019, the Company recognized revenue of $18.6 million and $71.2 million, respectively, that was previously included in the Company’s collections in excess of revenues and deferred revenues at March 31, 2019. During the three and six months ended September 30, 2018, the Company recognized revenue of $31.5 million and $82.1 million, respectively, that was previously included in the Company’s collections in excess of revenues and deferred revenues at April 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7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17 years. Leasehold improvements are capitalized and amortized using the straight-line method over the shorter of the lease term or the life of the improvement.</w:t>
      </w:r>
    </w:p>
    <w:p>
      <w:pPr>
        <w:spacing w:after="0" w:line="133" w:lineRule="exact"/>
        <w:rPr>
          <w:sz w:val="20"/>
          <w:szCs w:val="20"/>
          <w:color w:val="auto"/>
        </w:rPr>
      </w:pPr>
    </w:p>
    <w:p>
      <w:pPr>
        <w:ind w:right="360" w:firstLine="518"/>
        <w:spacing w:after="0" w:line="255" w:lineRule="auto"/>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consolidated balance sheet.</w:t>
      </w:r>
    </w:p>
    <w:p>
      <w:pPr>
        <w:spacing w:after="0" w:line="110" w:lineRule="exact"/>
        <w:rPr>
          <w:sz w:val="20"/>
          <w:szCs w:val="20"/>
          <w:color w:val="auto"/>
        </w:rPr>
      </w:pPr>
    </w:p>
    <w:p>
      <w:pPr>
        <w:ind w:firstLine="518"/>
        <w:spacing w:after="0" w:line="243"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$13.0 million and $24.3 million of interest expense for the three and six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respectively, and $7.5 million and $13.7 million for the three and six months ended September 30, 2018, respectively.</w:t>
      </w:r>
    </w:p>
    <w:p>
      <w:pPr>
        <w:spacing w:after="0" w:line="136"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Company owns three satellites in service (ViaSat-2 (its second-generation high-capacity Ka-band spot-beam satellite, which was placed into service in the fourth quarter of fiscal year 2018), ViaSat-1 (its first-generation high-capacity Ka-band spot-beam satellite, which was placed into service in January 2012) and WildBlue-1 (which was placed into service in March 2007)) and has lifetime leases of Ka-band capacity on two satellites. The Company also has two third-generation ViaSat-3 class satellites that have entered the phase of full construction. In July 2019, the Company entered into an agreement with The Boeing Company (Boeing) for the construction and purchase of a third ViaSat-3 class satellite and the integration of Viasat’s payload technologies into the satellite.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September 30, 2019 were $383.9 million and $154.5 million, respectively. The total cost and accumulated depreciation of CPE units included in property, equipment and satellites, net, as of March 31, 2019 were $373.4 million and $142.6 million,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the first three months of fiscal year 2020, the Company received the remaining insurance proceeds of $2.3 million, which were in addition to the $185.7 million of insurance proceeds received in fiscal year 2019 related to the ViaSat-2 satellite. The ViaSat-2 satellite was primarily financed by the Company’s direct loan facility with the Export-Import Bank of the United States for ViaSat-2 (the Ex-Im Credit Facility) (see Note 7 — Senior Notes and Other Long-Term Debt for more information). Pursuant to the terms of the Ex-Im Credit Facility, insurance proceeds received from such claims were used to pay down outstanding borrowings under the Ex-Im Credit Facility.</w:t>
      </w:r>
    </w:p>
    <w:p>
      <w:pPr>
        <w:spacing w:after="0" w:line="130"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For additional information see Note 1 — Basis of Presentation – Leases and Note 6 – Leases.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77" w:lineRule="exact"/>
        <w:rPr>
          <w:sz w:val="20"/>
          <w:szCs w:val="20"/>
          <w:color w:val="auto"/>
        </w:rPr>
      </w:pPr>
    </w:p>
    <w:p>
      <w:pPr>
        <w:ind w:right="20" w:firstLine="518"/>
        <w:spacing w:after="0" w:line="241" w:lineRule="auto"/>
        <w:rPr>
          <w:sz w:val="20"/>
          <w:szCs w:val="20"/>
          <w:color w:val="auto"/>
        </w:rPr>
      </w:pPr>
      <w:r>
        <w:rPr>
          <w:rFonts w:ascii="Arial" w:cs="Arial" w:eastAsia="Arial" w:hAnsi="Arial"/>
          <w:sz w:val="18"/>
          <w:szCs w:val="18"/>
          <w:color w:val="auto"/>
        </w:rPr>
        <w:t>The Company adopted ASU 2016-02, Leases, as amended, commonly referred to as ASC 842, on April 1, 2019 using the optional transition method. Under the optional transition method, the Company applied the new guidance to all leases that commenced before and were existing as of April 1, 2019. Accordingly, the Company did not adjust comparative periods or make the new required lease disclosures for periods before the adoption date of April 1, 2019. The primary impact of ASC 842 on the Company’s consolidated financial statements is the recognition of right-of-use assets and related liabilities on its consolidated balance sheet for operating leases where the Company is the lessee. The Company’s adoption of ASC 842 did not have a material impact on its results of operations for the three and six months ended September 30, 2019, or on its cash flow for the six months ended September 30, 2019.</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elected certain practical expedients under its transition method, including the practical expedient package to not reassess</w:t>
      </w:r>
    </w:p>
    <w:p>
      <w:pPr>
        <w:spacing w:after="0" w:line="18" w:lineRule="exact"/>
        <w:rPr>
          <w:sz w:val="20"/>
          <w:szCs w:val="20"/>
          <w:color w:val="auto"/>
        </w:rPr>
      </w:pPr>
    </w:p>
    <w:p>
      <w:pPr>
        <w:ind w:right="80" w:firstLine="8"/>
        <w:spacing w:after="0" w:line="239"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 (ii) the classification of existing leases, and (iii) initial direct costs for any existing leases. The Company also has elected the land easement transition practical expedient, and did not reassess whether an existing or expired land easement is a lease or contains a lease if it has not historically been accounted for as a lease. In addition, for real estate leases, the Company has elected not to separate non-lease components from lease components and instead will account for each separate lease and non-lease component as a single lease component.</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summary of the impact of adopting the new standard: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080" w:type="dxa"/>
            <w:vAlign w:val="bottom"/>
          </w:tcPr>
          <w:p>
            <w:pPr>
              <w:jc w:val="center"/>
              <w:ind w:right="234"/>
              <w:spacing w:after="0"/>
              <w:rPr>
                <w:sz w:val="20"/>
                <w:szCs w:val="20"/>
                <w:color w:val="auto"/>
              </w:rPr>
            </w:pPr>
            <w:r>
              <w:rPr>
                <w:rFonts w:ascii="Arial" w:cs="Arial" w:eastAsia="Arial" w:hAnsi="Arial"/>
                <w:sz w:val="14"/>
                <w:szCs w:val="14"/>
                <w:b w:val="1"/>
                <w:bCs w:val="1"/>
                <w:color w:val="auto"/>
              </w:rPr>
              <w:t>Impact of</w:t>
            </w:r>
          </w:p>
        </w:tc>
        <w:tc>
          <w:tcPr>
            <w:tcW w:w="1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spacing w:after="0"/>
              <w:rPr>
                <w:sz w:val="14"/>
                <w:szCs w:val="14"/>
                <w:color w:val="auto"/>
              </w:rPr>
            </w:pPr>
          </w:p>
        </w:tc>
      </w:tr>
      <w:tr>
        <w:trPr>
          <w:trHeight w:val="177"/>
        </w:trPr>
        <w:tc>
          <w:tcPr>
            <w:tcW w:w="5100" w:type="dxa"/>
            <w:vAlign w:val="bottom"/>
            <w:gridSpan w:val="2"/>
          </w:tcPr>
          <w:p>
            <w:pPr>
              <w:ind w:left="1140"/>
              <w:spacing w:after="0"/>
              <w:rPr>
                <w:sz w:val="20"/>
                <w:szCs w:val="20"/>
                <w:color w:val="auto"/>
              </w:rPr>
            </w:pPr>
            <w:r>
              <w:rPr>
                <w:rFonts w:ascii="Arial" w:cs="Arial" w:eastAsia="Arial" w:hAnsi="Arial"/>
                <w:sz w:val="14"/>
                <w:szCs w:val="14"/>
                <w:b w:val="1"/>
                <w:bCs w:val="1"/>
                <w:color w:val="auto"/>
              </w:rPr>
              <w:t>Condensed Consolidated Balance Sheets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5"/>
                <w:szCs w:val="15"/>
                <w:color w:val="auto"/>
              </w:rPr>
            </w:pPr>
          </w:p>
        </w:tc>
        <w:tc>
          <w:tcPr>
            <w:tcW w:w="1080" w:type="dxa"/>
            <w:vAlign w:val="bottom"/>
          </w:tcPr>
          <w:p>
            <w:pPr>
              <w:jc w:val="center"/>
              <w:ind w:right="214"/>
              <w:spacing w:after="0"/>
              <w:rPr>
                <w:sz w:val="20"/>
                <w:szCs w:val="20"/>
                <w:color w:val="auto"/>
              </w:rPr>
            </w:pPr>
            <w:r>
              <w:rPr>
                <w:rFonts w:ascii="Arial" w:cs="Arial" w:eastAsia="Arial" w:hAnsi="Arial"/>
                <w:sz w:val="14"/>
                <w:szCs w:val="14"/>
                <w:b w:val="1"/>
                <w:bCs w:val="1"/>
                <w:color w:val="auto"/>
              </w:rPr>
              <w:t>ASC 842</w:t>
            </w:r>
          </w:p>
        </w:tc>
        <w:tc>
          <w:tcPr>
            <w:tcW w:w="1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April 1, 2019</w:t>
            </w:r>
          </w:p>
        </w:tc>
        <w:tc>
          <w:tcPr>
            <w:tcW w:w="114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39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90,646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90,179</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327,329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327,329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3,915,287</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326,862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4,242,149</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308,268</w:t>
            </w:r>
          </w:p>
        </w:tc>
        <w:tc>
          <w:tcPr>
            <w:tcW w:w="26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38,406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346,674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305,167</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305,167</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120,826</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1,999,209</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326,862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2,326,071</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116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3,915,287</w:t>
            </w:r>
          </w:p>
        </w:tc>
        <w:tc>
          <w:tcPr>
            <w:tcW w:w="26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326,862</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4,242,149</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612"/>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8"/>
        </w:trPr>
        <w:tc>
          <w:tcPr>
            <w:tcW w:w="116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7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(i) the contract involves the use of a distinct identified asset, (ii) the Company obtains the right to substantially all economic benefits from use of the asset, and (iii) the Company has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27"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25" w:lineRule="exact"/>
        <w:rPr>
          <w:sz w:val="20"/>
          <w:szCs w:val="20"/>
          <w:color w:val="auto"/>
        </w:rPr>
      </w:pPr>
    </w:p>
    <w:p>
      <w:pPr>
        <w:ind w:right="40" w:firstLine="518"/>
        <w:spacing w:after="0" w:line="245" w:lineRule="auto"/>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18" w:lineRule="exact"/>
        <w:rPr>
          <w:sz w:val="20"/>
          <w:szCs w:val="20"/>
          <w:color w:val="auto"/>
        </w:rPr>
      </w:pPr>
    </w:p>
    <w:p>
      <w:pPr>
        <w:ind w:firstLine="518"/>
        <w:spacing w:after="0" w:line="24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61" w:lineRule="exact"/>
        <w:rPr>
          <w:sz w:val="20"/>
          <w:szCs w:val="20"/>
          <w:color w:val="auto"/>
        </w:rPr>
      </w:pPr>
    </w:p>
    <w:p>
      <w:pPr>
        <w:ind w:right="40" w:firstLine="518"/>
        <w:spacing w:after="0" w:line="245" w:lineRule="auto"/>
        <w:rPr>
          <w:sz w:val="20"/>
          <w:szCs w:val="20"/>
          <w:color w:val="auto"/>
        </w:rPr>
      </w:pPr>
      <w:r>
        <w:rPr>
          <w:rFonts w:ascii="Arial" w:cs="Arial" w:eastAsia="Arial" w:hAnsi="Arial"/>
          <w:sz w:val="18"/>
          <w:szCs w:val="18"/>
          <w:color w:val="auto"/>
        </w:rPr>
        <w:t>For broadband equipment leased to consumer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63"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$3.3 million and $3.2 million related to patents were included in other assets as of September 30, 2019 and March 31, 2019, respectively. The Company capitalized costs of $34.5 million and $22.9 million related to acquiring and obtaining orbital slots and other licenses included in other assets as of September 30, 2019 and March 31, 2019, respectively. Accumulated amortization related to these assets was $3.4 million and $3.0 million as of September 30, 2019 and March 31, 2019, respectively. Amortization expense related to these assets was an insignificant amount for the three and six months ended September 30, 2019 and 2018. If a patent, orbital slot or orbital license is rejected, abandoned or otherwise invalidated, the unamortized cost is expensed in that period. During the three and six months ended September 30, 2019 and 2018, the Company did not write off any significant costs due to abandonment or impairment.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7"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six months ended September 30, 2019 and 2018, no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the Company’s 5.625% Senior Secured Notes due 2027 (the 2027 Notes) and the Ex-Im Credit Facility are recorded as a direct deduction from the carrying amount of the related debt, consistent with debt discounts, in accordance with the authoritative guidance for imputation of interest (ASC 835-30).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6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Costs of developing software for sale are charged to independent research and development (IR&amp;D)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$242.3 million and $244.4 million related to software developed for resale were included in other assets as of September 30, 2019 and March 31, 2019, respectively. The Company capitalized $13.9 million and $23.6 million of costs related to software developed for resale for the three and six months ended September 30, 2019, respectively. The Company capitalized $9.6 million and $21.0 million of costs related to software developed for resale for the three and six months ended September 30, 2018, respectively. Amortization expense for capitalized software development costs was $13.7 million and $25.7 million for the three and six months ended September 30, 2019, respectively, and $11.7 million and $23.1 million for the three and six months ended September 30, 2018,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63"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$5.6 million and $5.4 million in accrued and other liabilities in the condensed consolidated balance sheets as of September 30, 2019 and March 31, 2019,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77"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2019 and March 31, 2019, no such amounts were accrued related to the aforementioned provisions.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20" w:firstLine="518"/>
        <w:spacing w:after="0" w:line="24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63"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2019 and March 31, 2019, the Company had no shares of common stock held in treasury.</w:t>
      </w:r>
    </w:p>
    <w:p>
      <w:pPr>
        <w:spacing w:after="0" w:line="158"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During the three months ended September 30, 2019 and 2018, the Company issued 43,290 and 37,946 shares of common stock, respectively, based on the vesting terms of certain restricted stock unit agreements. During the six months ended September 30, 2019 and 2018, the Company issued 115,483 and 308,731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September 30, 2019 and 2018, the Company repurchased 10,269 and 9,137 shares of common stock, respectively, at cost and with an insignificant total value. During the six months ended September 30, 2019 and 2018, the Company repurchased 36,132 and 103,337 shares of common stock, respectively, at cost and with a total value of $3.1 million and $6.6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00" w:firstLine="518"/>
        <w:spacing w:after="0" w:line="243"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20"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During the three and six months ended September 30, 2019 and 2018, the Company settled certain foreign exchange contracts and in connection therewith for each period recognized an insignificant gain or loss recorded in cost of revenues based on the nature of the underlying transactions. The fair value of the Company’s foreign currency forward contracts was an insignificant amount recorded as an accrued liability as of September 30, 2019 and March 31, 2019. The notional value of foreign currency forward contracts outstanding was $3.5 million as of September 30, 2019 and $9.9 million as of March 31, 2019.</w:t>
      </w:r>
    </w:p>
    <w:p>
      <w:pPr>
        <w:spacing w:after="0" w:line="118" w:lineRule="exact"/>
        <w:rPr>
          <w:sz w:val="20"/>
          <w:szCs w:val="20"/>
          <w:color w:val="auto"/>
        </w:rPr>
      </w:pPr>
    </w:p>
    <w:p>
      <w:pPr>
        <w:ind w:right="40" w:firstLine="518"/>
        <w:spacing w:after="0" w:line="248" w:lineRule="auto"/>
        <w:rPr>
          <w:sz w:val="20"/>
          <w:szCs w:val="20"/>
          <w:color w:val="auto"/>
        </w:rPr>
      </w:pPr>
      <w:r>
        <w:rPr>
          <w:rFonts w:ascii="Arial" w:cs="Arial" w:eastAsia="Arial" w:hAnsi="Arial"/>
          <w:sz w:val="18"/>
          <w:szCs w:val="18"/>
          <w:color w:val="auto"/>
        </w:rPr>
        <w:t>As of September 30, 2019, the estimated net amount of unrealized gains or losses related to foreign currency forward contracts that was expected to be reclassified to earnings within the next 12 months was insignificant. The Company’s foreign currency forward contracts outstanding as of September 30, 2019 will mature within approximately 21 months from their inception. There were no gains or losses from ineffectiveness of these derivative instruments recorded for the three and six months ended September 30, 2019 and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forfeitures as they occur. The Company recognized $21.1 million and $42.3 million of stock-based compensation expense for the three and six months ended September 30, 2019, respectively. The Company recognized $19.4 million and $38.5 million of stock-based compensation expense for the three and six months ended September 30,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63"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27"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research and development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six months ended September 30, 2019, by applying the actual effective tax rate to the quarter-to-date and year-to-date income (loss) for the three-month and six-month periods.</w:t>
      </w:r>
    </w:p>
    <w:p>
      <w:pPr>
        <w:spacing w:after="0" w:line="122"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6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February 2016, the Financial Accounting Standards Board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In July 2018, the FASB issued ASU 2018-10, Codification Improvements to ASC 842, Leases, which was issued to provide more detailed guidance and additional clarification for implementing ASU 2016-02. In July 2018, the FASB issued ASU 2018 -11, Leases (ASC 842): Targeted Improvements, which provides an additional (and optional) transition method whereby the new lease standard is applied at the adoption date and recognized as an adjustment to retained earnings. In December 2018, the FASB issued ASU 2018-20, Leases (ASC 842): Narrow-Scope Improvements for Lessors, and in March 2019, the FASB issued ASU 2019-01 (ASC 842): Codification Improvements, both of which provide certain amendments that affect narrow aspects of the guidance issued in ASU 2016-02. The new guidance became effective for the Company beginning in the first quarter of fiscal year 2020. The Company adopted the new guidance using the optional transition method in the first quarter of fiscal year 2020. Therefore, the periods prior to the effective date of adoption continue to be reported under the current authoritative guidance for leases (ASC 840). The adoption of this guidance materially impacted the Company’s consolidated balance sheet upon adoption due to the recognition of lease liabilities and right-of-use assets. The new guidance did not have a material impact on the Company’s condensed consolidated statements of operations and comprehensive income (loss) or condensed consolidated statements of cash flows. For additional information see Note 1 — Basis of Presentation – Leases and Note 6 — Leases.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In November 2018, the FASB issued ASU 2018-19, Codification Improvements to Topic 326, Financial Instruments – Credit Losses (ASC 326), which clarifies that impairment of receivables arising from operating leases should be accounted for in accordance with ASC 842, Leases. In April 2019 the FASB issued ASU 2019-04, Codification Improvements to Topic 326, Financial Instruments – Credit Losses, and in May 2019, the FASB issued ASU 2019-05, Financial Instruments — Credit Losses (ASC 326) Targeted Relief. These recently issued ASUs do not change the core principle of the guidance in ASU 2016-13 but rather are intended to clarify and improve operability of certain topics included within ASU 2016-13. ASU 2018-19, ASU 2019-04 and 2019-05 have the same effective date and transition requirements as ASU 2016-13.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27" w:lineRule="exact"/>
        <w:rPr>
          <w:sz w:val="20"/>
          <w:szCs w:val="20"/>
          <w:color w:val="auto"/>
        </w:rPr>
      </w:pPr>
    </w:p>
    <w:p>
      <w:pPr>
        <w:ind w:right="120" w:firstLine="518"/>
        <w:spacing w:after="0" w:line="248"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17" w:lineRule="exact"/>
        <w:rPr>
          <w:sz w:val="20"/>
          <w:szCs w:val="20"/>
          <w:color w:val="auto"/>
        </w:rPr>
      </w:pPr>
    </w:p>
    <w:p>
      <w:pPr>
        <w:ind w:right="40" w:firstLine="518"/>
        <w:spacing w:after="0" w:line="245"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became effective for the Company beginning in fiscal year 2020. The Company adopted this guidance beginning in the first quarter of fiscal year 2020 and the guidance did not have a material impact on the Company’s consolidated financial statements and disclosures.</w:t>
      </w:r>
    </w:p>
    <w:p>
      <w:pPr>
        <w:spacing w:after="0" w:line="118"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In August 2017, the FASB issued ASU 2017-12, Derivatives and Hedging (ASC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In October 2018, the FASB issued ASU 2018-16, Derivatives and Hedging (ASC 815): Inclusion of the Secured Overnight Financing Rate (SOFR) Overnight Index SWAP (OIS) Rate as a Benchmark Interest Rate for Hedge Accounting Purposes, which permits use of the OIS rate based on SOFR as a U.S. benchmark interest rate for hedge accounting purposes and has the same effective date as ASU 2017-12. In April 2019, the FASB issued ASU 2019-04, Codification Improvements to Topic 815, Derivatives and Hedging, which clarifies certain aspects of ASC 815 and has the same effective date as ASU 2017-12. The Company adopted this guidance beginning in the first quarter of fiscal year 2020 and the guidance did not have a material impact on the Company’s consolidated financial statements and disclosures.</w:t>
      </w:r>
    </w:p>
    <w:p>
      <w:pPr>
        <w:spacing w:after="0" w:line="130" w:lineRule="exact"/>
        <w:rPr>
          <w:sz w:val="20"/>
          <w:szCs w:val="20"/>
          <w:color w:val="auto"/>
        </w:rPr>
      </w:pPr>
    </w:p>
    <w:p>
      <w:pPr>
        <w:ind w:right="60" w:firstLine="518"/>
        <w:spacing w:after="0" w:line="241" w:lineRule="auto"/>
        <w:rPr>
          <w:sz w:val="20"/>
          <w:szCs w:val="20"/>
          <w:color w:val="auto"/>
        </w:rPr>
      </w:pPr>
      <w:r>
        <w:rPr>
          <w:rFonts w:ascii="Arial" w:cs="Arial" w:eastAsia="Arial" w:hAnsi="Arial"/>
          <w:sz w:val="18"/>
          <w:szCs w:val="18"/>
          <w:color w:val="auto"/>
        </w:rPr>
        <w:t>In July 2018, the FASB issued ASU 2018-09, Codification Improvements, which is related to a project by the FASB to facilitate codification updates for technical corrections, clarifications and other minor improvements. The new standard contains amendments that affect a wide variety of topics in the ASC. The effective date of the standard is dependent on the facts and circumstances of each amendment. Some amendments do not require transition guidance and were effective upon the issuance of this standard. A majority of the amendments in</w:t>
      </w:r>
    </w:p>
    <w:p>
      <w:pPr>
        <w:spacing w:after="0" w:line="1" w:lineRule="exact"/>
        <w:rPr>
          <w:sz w:val="20"/>
          <w:szCs w:val="20"/>
          <w:color w:val="auto"/>
        </w:rPr>
      </w:pPr>
    </w:p>
    <w:p>
      <w:pPr>
        <w:jc w:val="both"/>
        <w:ind w:right="300"/>
        <w:spacing w:after="0" w:line="242" w:lineRule="auto"/>
        <w:rPr>
          <w:sz w:val="20"/>
          <w:szCs w:val="20"/>
          <w:color w:val="auto"/>
        </w:rPr>
      </w:pPr>
      <w:r>
        <w:rPr>
          <w:rFonts w:ascii="Arial" w:cs="Arial" w:eastAsia="Arial" w:hAnsi="Arial"/>
          <w:sz w:val="18"/>
          <w:szCs w:val="18"/>
          <w:color w:val="auto"/>
        </w:rPr>
        <w:t>ASU 2018-09 became effective for the Company beginning in fiscal year 2020. The Company adopted the remainder of the amendments of this guidance in the first quarter of fiscal year 2020 and the guidance did not have a material impact on its consolidated financial statements and disclosures.</w:t>
      </w:r>
    </w:p>
    <w:p>
      <w:pPr>
        <w:spacing w:after="0" w:line="122" w:lineRule="exact"/>
        <w:rPr>
          <w:sz w:val="20"/>
          <w:szCs w:val="20"/>
          <w:color w:val="auto"/>
        </w:rPr>
      </w:pPr>
    </w:p>
    <w:p>
      <w:pPr>
        <w:ind w:right="180" w:firstLine="518"/>
        <w:spacing w:after="0" w:line="248"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new standard will become effective for the Company beginning in fiscal year 2021, with early adoption permitted. The Company is currently evaluating the impact of this standard on its consolidated financial statements and disclosures.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In July 2019, the FASB issued ASU 2019-07, Codification Updates to SEC Sections. ASU 2019-07 modifies the disclosure and presentation requirements of a variety of codification topics by aligning them with the Securities and Exchange Commission’s regulations to eliminate redundancies and simplify the application of the codification. The Company adopted this guidance in the second quarter of fiscal year 2020 and the guidance did not have a material impact on the Company’s consolidated financial statements and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As of</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4"/>
              </w:rPr>
              <w:t>As of</w:t>
            </w:r>
          </w:p>
        </w:tc>
        <w:tc>
          <w:tcPr>
            <w:tcW w:w="0" w:type="dxa"/>
            <w:vAlign w:val="bottom"/>
          </w:tcPr>
          <w:p>
            <w:pPr>
              <w:spacing w:after="0"/>
              <w:rPr>
                <w:sz w:val="1"/>
                <w:szCs w:val="1"/>
                <w:color w:val="auto"/>
              </w:rPr>
            </w:pPr>
          </w:p>
        </w:tc>
      </w:tr>
      <w:tr>
        <w:trPr>
          <w:trHeight w:val="122"/>
        </w:trPr>
        <w:tc>
          <w:tcPr>
            <w:tcW w:w="6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center"/>
              <w:ind w:right="400"/>
              <w:spacing w:after="0" w:line="122" w:lineRule="exact"/>
              <w:rPr>
                <w:sz w:val="20"/>
                <w:szCs w:val="20"/>
                <w:color w:val="auto"/>
              </w:rPr>
            </w:pPr>
            <w:r>
              <w:rPr>
                <w:rFonts w:ascii="Arial" w:cs="Arial" w:eastAsia="Arial" w:hAnsi="Arial"/>
                <w:sz w:val="11"/>
                <w:szCs w:val="11"/>
                <w:b w:val="1"/>
                <w:bCs w:val="1"/>
                <w:color w:val="auto"/>
                <w:w w:val="98"/>
              </w:rPr>
              <w:t>September 30,</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gridSpan w:val="2"/>
          </w:tcPr>
          <w:p>
            <w:pPr>
              <w:jc w:val="center"/>
              <w:ind w:right="500"/>
              <w:spacing w:after="0" w:line="122" w:lineRule="exact"/>
              <w:rPr>
                <w:sz w:val="20"/>
                <w:szCs w:val="20"/>
                <w:color w:val="auto"/>
              </w:rPr>
            </w:pPr>
            <w:r>
              <w:rPr>
                <w:rFonts w:ascii="Arial" w:cs="Arial" w:eastAsia="Arial" w:hAnsi="Arial"/>
                <w:sz w:val="11"/>
                <w:szCs w:val="11"/>
                <w:b w:val="1"/>
                <w:bCs w:val="1"/>
                <w:color w:val="auto"/>
                <w:w w:val="98"/>
              </w:rPr>
              <w:t>March 31,</w:t>
            </w:r>
          </w:p>
        </w:tc>
        <w:tc>
          <w:tcPr>
            <w:tcW w:w="0" w:type="dxa"/>
            <w:vAlign w:val="bottom"/>
          </w:tcPr>
          <w:p>
            <w:pPr>
              <w:spacing w:after="0"/>
              <w:rPr>
                <w:sz w:val="1"/>
                <w:szCs w:val="1"/>
                <w:color w:val="auto"/>
              </w:rPr>
            </w:pPr>
          </w:p>
        </w:tc>
      </w:tr>
      <w:tr>
        <w:trPr>
          <w:trHeight w:val="139"/>
        </w:trPr>
        <w:tc>
          <w:tcPr>
            <w:tcW w:w="6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202"/>
              <w:spacing w:after="0"/>
              <w:rPr>
                <w:sz w:val="20"/>
                <w:szCs w:val="20"/>
                <w:color w:val="auto"/>
              </w:rPr>
            </w:pPr>
            <w:r>
              <w:rPr>
                <w:rFonts w:ascii="Arial" w:cs="Arial" w:eastAsia="Arial" w:hAnsi="Arial"/>
                <w:sz w:val="11"/>
                <w:szCs w:val="11"/>
                <w:b w:val="1"/>
                <w:bCs w:val="1"/>
                <w:color w:val="auto"/>
                <w:w w:val="97"/>
              </w:rPr>
              <w:t>2019</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362"/>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rPr>
              <w:t>(In thousands)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spacing w:after="0"/>
              <w:rPr>
                <w:sz w:val="20"/>
                <w:szCs w:val="20"/>
                <w:color w:val="auto"/>
              </w:rPr>
            </w:pPr>
            <w:r>
              <w:rPr>
                <w:rFonts w:ascii="Arial" w:cs="Arial" w:eastAsia="Arial" w:hAnsi="Arial"/>
                <w:sz w:val="12"/>
                <w:szCs w:val="12"/>
                <w:color w:val="auto"/>
              </w:rPr>
              <w:t>Accounts receivable, net:</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Billed</w:t>
            </w: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198,553</w:t>
            </w:r>
          </w:p>
        </w:tc>
        <w:tc>
          <w:tcPr>
            <w:tcW w:w="160" w:type="dxa"/>
            <w:vAlign w:val="bottom"/>
          </w:tcPr>
          <w:p>
            <w:pPr>
              <w:spacing w:after="0"/>
              <w:rPr>
                <w:sz w:val="12"/>
                <w:szCs w:val="1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218,276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Unbilled</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97,645</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83,743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Allowance for doubtful accounts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2"/>
                <w:szCs w:val="12"/>
                <w:color w:val="auto"/>
              </w:rPr>
              <w:t>(2,131)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(1,712)</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294,067</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300,307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Inventories:</w:t>
            </w:r>
          </w:p>
        </w:tc>
        <w:tc>
          <w:tcPr>
            <w:tcW w:w="14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Raw materials</w:t>
            </w:r>
          </w:p>
        </w:tc>
        <w:tc>
          <w:tcPr>
            <w:tcW w:w="1640" w:type="dxa"/>
            <w:vAlign w:val="bottom"/>
            <w:gridSpan w:val="2"/>
            <w:shd w:val="clear" w:color="auto" w:fill="CFF0FC"/>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85,616</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77,834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Work in process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55,493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52,084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Finished goods</w:t>
            </w:r>
          </w:p>
        </w:tc>
        <w:tc>
          <w:tcPr>
            <w:tcW w:w="14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128,408</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269,517</w:t>
            </w:r>
          </w:p>
        </w:tc>
        <w:tc>
          <w:tcPr>
            <w:tcW w:w="1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234,518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Prepaid expenses and other current assets:</w:t>
            </w:r>
          </w:p>
        </w:tc>
        <w:tc>
          <w:tcPr>
            <w:tcW w:w="14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Prepaid expenses</w:t>
            </w: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86,253</w:t>
            </w:r>
          </w:p>
        </w:tc>
        <w:tc>
          <w:tcPr>
            <w:tcW w:w="160" w:type="dxa"/>
            <w:vAlign w:val="bottom"/>
          </w:tcPr>
          <w:p>
            <w:pPr>
              <w:spacing w:after="0"/>
              <w:rPr>
                <w:sz w:val="12"/>
                <w:szCs w:val="1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72,369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4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18,751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18,277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105,004</w:t>
            </w:r>
          </w:p>
        </w:tc>
        <w:tc>
          <w:tcPr>
            <w:tcW w:w="1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90,646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Property, equipment and satellites, net</w:t>
            </w:r>
          </w:p>
        </w:tc>
        <w:tc>
          <w:tcPr>
            <w:tcW w:w="14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Equipment and software (estimated useful life of 3-7 years)</w:t>
            </w: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1,129,678</w:t>
            </w:r>
          </w:p>
        </w:tc>
        <w:tc>
          <w:tcPr>
            <w:tcW w:w="160" w:type="dxa"/>
            <w:vAlign w:val="bottom"/>
          </w:tcPr>
          <w:p>
            <w:pPr>
              <w:spacing w:after="0"/>
              <w:rPr>
                <w:sz w:val="12"/>
                <w:szCs w:val="1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1,027,293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CPE leased equipment (estimated useful life of 4-5 years)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383,858</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373,357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Furniture and fixtures (estimated useful life of 7 years)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51,761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46,678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Leasehold improvements (estimated useful life of 2-17 years)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128,852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126,528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Building (estimated useful life of 12 years)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8,923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Land</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Construction in progress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192,241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167,178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(estimated useful life of 12-17 years)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978,113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978,118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171,801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99,090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under construction</w:t>
            </w:r>
          </w:p>
        </w:tc>
        <w:tc>
          <w:tcPr>
            <w:tcW w:w="14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721,658</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3,769,176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3,419,456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Less: accumulated depreciation and amortization</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(1,405,260)</w:t>
            </w: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(1,294,166)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2,363,916</w:t>
            </w:r>
          </w:p>
        </w:tc>
        <w:tc>
          <w:tcPr>
            <w:tcW w:w="1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2,125,290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acquired intangible assets, net:</w:t>
            </w:r>
          </w:p>
        </w:tc>
        <w:tc>
          <w:tcPr>
            <w:tcW w:w="14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Technology (weighted average useful life of 6 years)</w:t>
            </w: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89,142</w:t>
            </w:r>
          </w:p>
        </w:tc>
        <w:tc>
          <w:tcPr>
            <w:tcW w:w="160" w:type="dxa"/>
            <w:vAlign w:val="bottom"/>
          </w:tcPr>
          <w:p>
            <w:pPr>
              <w:spacing w:after="0"/>
              <w:rPr>
                <w:sz w:val="12"/>
                <w:szCs w:val="1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89,972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Contracts and customer relationships (weighted average useful life of 7 years)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103,101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103,283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8,600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Trade name (weighted average useful life of 3 years)</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 (weighted average useful life of 6 years)</w:t>
            </w:r>
          </w:p>
        </w:tc>
        <w:tc>
          <w:tcPr>
            <w:tcW w:w="14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9,953</w:t>
            </w: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9,989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216,736</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217,784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Less: accumulated amortization</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2"/>
                <w:szCs w:val="12"/>
                <w:color w:val="auto"/>
              </w:rPr>
              <w:t>(198,769)</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2"/>
                <w:szCs w:val="12"/>
                <w:color w:val="auto"/>
              </w:rPr>
              <w:t>(195,483)</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17,967</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Other assets:</w:t>
            </w:r>
          </w:p>
        </w:tc>
        <w:tc>
          <w:tcPr>
            <w:tcW w:w="14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 in unconsolidated affiliate</w:t>
            </w:r>
          </w:p>
        </w:tc>
        <w:tc>
          <w:tcPr>
            <w:tcW w:w="1640" w:type="dxa"/>
            <w:vAlign w:val="bottom"/>
            <w:gridSpan w:val="2"/>
            <w:shd w:val="clear" w:color="auto" w:fill="CFF0FC"/>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162,096</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160,711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267,790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258,834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Capitalized software costs, net</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242,273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244,368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Patents, orbital slots and other licenses, net</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34,412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23,059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4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82,043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71,833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788,614</w:t>
            </w:r>
          </w:p>
        </w:tc>
        <w:tc>
          <w:tcPr>
            <w:tcW w:w="1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758,805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Accrued and other liabilities:</w:t>
            </w:r>
          </w:p>
        </w:tc>
        <w:tc>
          <w:tcPr>
            <w:tcW w:w="14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Collections in excess of revenues and deferred revenues</w:t>
            </w: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107,817</w:t>
            </w:r>
          </w:p>
        </w:tc>
        <w:tc>
          <w:tcPr>
            <w:tcW w:w="160" w:type="dxa"/>
            <w:vAlign w:val="bottom"/>
          </w:tcPr>
          <w:p>
            <w:pPr>
              <w:spacing w:after="0"/>
              <w:rPr>
                <w:sz w:val="12"/>
                <w:szCs w:val="1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125,540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Accrued employee compensation</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35,452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56,454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Accrued vacation</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44,984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43,077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current portion</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6,569</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41,934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4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93,255</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77,320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330,011</w:t>
            </w:r>
          </w:p>
        </w:tc>
        <w:tc>
          <w:tcPr>
            <w:tcW w:w="160" w:type="dxa"/>
            <w:vAlign w:val="bottom"/>
          </w:tcPr>
          <w:p>
            <w:pPr>
              <w:spacing w:after="0"/>
              <w:rPr>
                <w:sz w:val="15"/>
                <w:szCs w:val="15"/>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308,268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liabilities:</w:t>
            </w:r>
          </w:p>
        </w:tc>
        <w:tc>
          <w:tcPr>
            <w:tcW w:w="14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Deferred revenues, long-term portion</w:t>
            </w:r>
          </w:p>
        </w:tc>
        <w:tc>
          <w:tcPr>
            <w:tcW w:w="1640" w:type="dxa"/>
            <w:vAlign w:val="bottom"/>
            <w:gridSpan w:val="2"/>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86,054</w:t>
            </w:r>
          </w:p>
        </w:tc>
        <w:tc>
          <w:tcPr>
            <w:tcW w:w="160" w:type="dxa"/>
            <w:vAlign w:val="bottom"/>
          </w:tcPr>
          <w:p>
            <w:pPr>
              <w:spacing w:after="0"/>
              <w:rPr>
                <w:sz w:val="12"/>
                <w:szCs w:val="12"/>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71,230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Deferred rent, long-term portion</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Warranty reserve, long-term portion</w:t>
            </w: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3,148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1,707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 performance incentive obligations, long-term portion</w:t>
            </w:r>
          </w:p>
        </w:tc>
        <w:tc>
          <w:tcPr>
            <w:tcW w:w="1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24,881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25,324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w:t>
            </w:r>
          </w:p>
        </w:tc>
        <w:tc>
          <w:tcPr>
            <w:tcW w:w="14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4,741</w:t>
            </w: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133"/>
              <w:spacing w:after="0"/>
              <w:rPr>
                <w:sz w:val="20"/>
                <w:szCs w:val="20"/>
                <w:color w:val="auto"/>
              </w:rPr>
            </w:pPr>
            <w:r>
              <w:rPr>
                <w:rFonts w:ascii="Arial" w:cs="Arial" w:eastAsia="Arial" w:hAnsi="Arial"/>
                <w:sz w:val="12"/>
                <w:szCs w:val="1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118,824</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120,826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65" w:lineRule="exact"/>
        <w:rPr>
          <w:sz w:val="20"/>
          <w:szCs w:val="20"/>
          <w:color w:val="auto"/>
        </w:rPr>
      </w:pPr>
    </w:p>
    <w:p>
      <w:pPr>
        <w:ind w:right="40" w:firstLine="518"/>
        <w:spacing w:after="0" w:line="24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63"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040" w:hanging="519"/>
        <w:spacing w:after="0" w:line="25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6" w:lineRule="exact"/>
        <w:rPr>
          <w:rFonts w:ascii="Arial" w:cs="Arial" w:eastAsia="Arial" w:hAnsi="Arial"/>
          <w:sz w:val="18"/>
          <w:szCs w:val="18"/>
          <w:color w:val="auto"/>
        </w:rPr>
      </w:pPr>
    </w:p>
    <w:p>
      <w:pPr>
        <w:ind w:left="1040" w:hanging="519"/>
        <w:spacing w:after="0" w:line="276"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91" w:lineRule="exact"/>
        <w:rPr>
          <w:sz w:val="20"/>
          <w:szCs w:val="20"/>
          <w:color w:val="auto"/>
        </w:rPr>
      </w:pPr>
    </w:p>
    <w:p>
      <w:pPr>
        <w:ind w:right="140" w:firstLine="518"/>
        <w:spacing w:after="0" w:line="276" w:lineRule="auto"/>
        <w:rPr>
          <w:sz w:val="20"/>
          <w:szCs w:val="20"/>
          <w:color w:val="auto"/>
        </w:rPr>
      </w:pPr>
      <w:r>
        <w:rPr>
          <w:rFonts w:ascii="Arial" w:cs="Arial" w:eastAsia="Arial" w:hAnsi="Arial"/>
          <w:sz w:val="18"/>
          <w:szCs w:val="18"/>
          <w:color w:val="auto"/>
        </w:rPr>
        <w:t>The Company had no assets and an insignificant amount of foreign currency forward contract liabilities (Level 2) measured at fair value on a recurring basis as of September 30, 2019 and March 31, 2019.</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58" w:lineRule="exact"/>
        <w:rPr>
          <w:sz w:val="20"/>
          <w:szCs w:val="20"/>
          <w:color w:val="auto"/>
        </w:rPr>
      </w:pPr>
    </w:p>
    <w:p>
      <w:pPr>
        <w:ind w:right="380" w:firstLine="518"/>
        <w:spacing w:after="0" w:line="276"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91" w:lineRule="exact"/>
        <w:rPr>
          <w:sz w:val="20"/>
          <w:szCs w:val="20"/>
          <w:color w:val="auto"/>
        </w:rPr>
      </w:pPr>
    </w:p>
    <w:p>
      <w:pPr>
        <w:ind w:right="80" w:firstLine="518"/>
        <w:spacing w:after="0"/>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27"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finance lease obligations reported at the present value of future minimum lease payments with current accrued interest, as well as $700.0 million in aggregate principal amount of 2025 Notes and $600.0 million in aggregate principal amount of 2027 Notes. Long-term debt related to the Revolving Credit Facility is reported at the outstanding principal amount of borrowings, while long-term debt related to the Ex-Im Credit Facility, 2025 Notes and 2027 Notes, is reported at amortized cost. However, for disclosure purposes, the Company is required to measure the fair value of outstanding debt on a recurring basis. As of September 30, 2019 and March 31, 2019, the estimated fair value of the Company’s outstanding long-term debt related to the 2025 Notes was determined based on actual or estimated bids and offers for the 2025 Notes in an over-the-counter market (Level 2) and was $705.1 million and $ 670.3 million, respectively. As of September 30, 2019, the estimated fair value of the Company’s outstanding long-term debt related to the 2027 Notes was determined based on actual or estimated bids and offers for the 2027 Notes in an over-the-counter market (Level 2) and was $630.8 million. The fair value of the Company’s outstanding long-term debt as of March 31, 2019 related to the 2027 Notes approximated its carrying amount due to the proximity of the closing of the 2027 Notes compared to the reporting date. The fair value of the Company’s long-term debt related to the Revolving Credit Facility approximates its carrying amount due to its variable interest rate, which approximates a market interest rate. As of September 30, 2019 and March 31, 2019, the fair value of the Company’s long-term debt related to the Ex-Im Credit Facility was determined based on a discounted cash flow analysis using observable market interest rates for instruments with similar terms (Level 2) and was approximately $127.3 million and $134.9 million, respectively</w:t>
      </w:r>
      <w:r>
        <w:rPr>
          <w:rFonts w:ascii="Arial" w:cs="Arial" w:eastAsia="Arial" w:hAnsi="Arial"/>
          <w:sz w:val="18"/>
          <w:szCs w:val="18"/>
          <w:i w:val="1"/>
          <w:iCs w:val="1"/>
          <w:color w:val="auto"/>
        </w:rPr>
        <w:t>. The fair value of the Company’s finance lease obligations is estimated at their carrying value based on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rates (Level 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120" w:firstLine="518"/>
        <w:spacing w:after="0"/>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approximately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September 30, 2019 and March 31, 2019, the Company’s estimated satellite performance incentive obligations relating to the ViaSat-1 and ViaSat-2 satellites, including accrued interest, were $27.9 million and $28.2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3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20" w:type="dxa"/>
            <w:vAlign w:val="bottom"/>
            <w:gridSpan w:val="3"/>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3000" w:type="dxa"/>
            <w:vAlign w:val="bottom"/>
            <w:gridSpan w:val="4"/>
          </w:tcPr>
          <w:p>
            <w:pPr>
              <w:ind w:left="800"/>
              <w:spacing w:after="0"/>
              <w:rPr>
                <w:sz w:val="20"/>
                <w:szCs w:val="20"/>
                <w:color w:val="auto"/>
              </w:rPr>
            </w:pPr>
            <w:r>
              <w:rPr>
                <w:rFonts w:ascii="Arial" w:cs="Arial" w:eastAsia="Arial" w:hAnsi="Arial"/>
                <w:sz w:val="14"/>
                <w:szCs w:val="14"/>
                <w:b w:val="1"/>
                <w:bCs w:val="1"/>
                <w:color w:val="auto"/>
              </w:rPr>
              <w:t>Six Months Ended</w:t>
            </w:r>
          </w:p>
        </w:tc>
      </w:tr>
      <w:tr>
        <w:trPr>
          <w:trHeight w:val="169"/>
        </w:trPr>
        <w:tc>
          <w:tcPr>
            <w:tcW w:w="3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4"/>
                <w:szCs w:val="14"/>
                <w:color w:val="auto"/>
              </w:rPr>
            </w:pPr>
          </w:p>
        </w:tc>
      </w:tr>
      <w:tr>
        <w:trPr>
          <w:trHeight w:val="169"/>
        </w:trPr>
        <w:tc>
          <w:tcPr>
            <w:tcW w:w="3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3"/>
          </w:tcPr>
          <w:p>
            <w:pPr>
              <w:jc w:val="right"/>
              <w:ind w:right="876"/>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3"/>
        </w:trPr>
        <w:tc>
          <w:tcPr>
            <w:tcW w:w="3660" w:type="dxa"/>
            <w:vAlign w:val="bottom"/>
          </w:tcPr>
          <w:p>
            <w:pPr>
              <w:spacing w:after="0" w:line="194" w:lineRule="exact"/>
              <w:rPr>
                <w:sz w:val="20"/>
                <w:szCs w:val="20"/>
                <w:color w:val="auto"/>
              </w:rPr>
            </w:pPr>
            <w:r>
              <w:rPr>
                <w:rFonts w:ascii="Arial" w:cs="Arial" w:eastAsia="Arial" w:hAnsi="Arial"/>
                <w:sz w:val="18"/>
                <w:szCs w:val="18"/>
                <w:color w:val="auto"/>
              </w:rPr>
              <w:t>Common shares outstanding used in</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calculating basic net income (loss)</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per share attributable to Viasat, Inc.</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660" w:type="dxa"/>
            <w:vAlign w:val="bottom"/>
          </w:tcPr>
          <w:p>
            <w:pPr>
              <w:ind w:left="160"/>
              <w:spacing w:after="0"/>
              <w:rPr>
                <w:sz w:val="20"/>
                <w:szCs w:val="20"/>
                <w:color w:val="auto"/>
              </w:rPr>
            </w:pPr>
            <w:r>
              <w:rPr>
                <w:rFonts w:ascii="Arial" w:cs="Arial" w:eastAsia="Arial" w:hAnsi="Arial"/>
                <w:sz w:val="18"/>
                <w:szCs w:val="18"/>
                <w:color w:val="auto"/>
              </w:rPr>
              <w:t>common stockholders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61,480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59,734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61,200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59,470</w:t>
            </w:r>
          </w:p>
        </w:tc>
        <w:tc>
          <w:tcPr>
            <w:tcW w:w="100" w:type="dxa"/>
            <w:vAlign w:val="bottom"/>
          </w:tcPr>
          <w:p>
            <w:pPr>
              <w:spacing w:after="0"/>
              <w:rPr>
                <w:sz w:val="19"/>
                <w:szCs w:val="19"/>
                <w:color w:val="auto"/>
              </w:rPr>
            </w:pPr>
          </w:p>
        </w:tc>
      </w:tr>
      <w:tr>
        <w:trPr>
          <w:trHeight w:val="193"/>
        </w:trPr>
        <w:tc>
          <w:tcPr>
            <w:tcW w:w="366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Options to purchase common stock as</w:t>
            </w:r>
          </w:p>
        </w:tc>
        <w:tc>
          <w:tcPr>
            <w:tcW w:w="5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36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determined by application of the</w:t>
            </w: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5"/>
        </w:trPr>
        <w:tc>
          <w:tcPr>
            <w:tcW w:w="3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treasury stock method</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3"/>
        </w:trPr>
        <w:tc>
          <w:tcPr>
            <w:tcW w:w="3660" w:type="dxa"/>
            <w:vAlign w:val="bottom"/>
          </w:tcPr>
          <w:p>
            <w:pPr>
              <w:spacing w:after="0" w:line="194" w:lineRule="exact"/>
              <w:rPr>
                <w:sz w:val="20"/>
                <w:szCs w:val="20"/>
                <w:color w:val="auto"/>
              </w:rPr>
            </w:pPr>
            <w:r>
              <w:rPr>
                <w:rFonts w:ascii="Arial" w:cs="Arial" w:eastAsia="Arial" w:hAnsi="Arial"/>
                <w:sz w:val="18"/>
                <w:szCs w:val="18"/>
                <w:color w:val="auto"/>
              </w:rPr>
              <w:t>TSR performance stock options to</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purchase common stock as</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determined by application of the</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660" w:type="dxa"/>
            <w:vAlign w:val="bottom"/>
          </w:tcPr>
          <w:p>
            <w:pPr>
              <w:ind w:left="160"/>
              <w:spacing w:after="0"/>
              <w:rPr>
                <w:sz w:val="20"/>
                <w:szCs w:val="20"/>
                <w:color w:val="auto"/>
              </w:rPr>
            </w:pPr>
            <w:r>
              <w:rPr>
                <w:rFonts w:ascii="Arial" w:cs="Arial" w:eastAsia="Arial" w:hAnsi="Arial"/>
                <w:sz w:val="18"/>
                <w:szCs w:val="18"/>
                <w:color w:val="auto"/>
              </w:rPr>
              <w:t>treasury stock method</w:t>
            </w:r>
          </w:p>
        </w:tc>
        <w:tc>
          <w:tcPr>
            <w:tcW w:w="5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3"/>
        </w:trPr>
        <w:tc>
          <w:tcPr>
            <w:tcW w:w="366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Restricted stock units to acquire</w:t>
            </w:r>
          </w:p>
        </w:tc>
        <w:tc>
          <w:tcPr>
            <w:tcW w:w="5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36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common stock as determined by</w:t>
            </w: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6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application of the treasury stock</w:t>
            </w: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5"/>
        </w:trPr>
        <w:tc>
          <w:tcPr>
            <w:tcW w:w="3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method</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3"/>
        </w:trPr>
        <w:tc>
          <w:tcPr>
            <w:tcW w:w="3660" w:type="dxa"/>
            <w:vAlign w:val="bottom"/>
          </w:tcPr>
          <w:p>
            <w:pPr>
              <w:spacing w:after="0" w:line="194" w:lineRule="exact"/>
              <w:rPr>
                <w:sz w:val="20"/>
                <w:szCs w:val="20"/>
                <w:color w:val="auto"/>
              </w:rPr>
            </w:pPr>
            <w:r>
              <w:rPr>
                <w:rFonts w:ascii="Arial" w:cs="Arial" w:eastAsia="Arial" w:hAnsi="Arial"/>
                <w:sz w:val="18"/>
                <w:szCs w:val="18"/>
                <w:color w:val="auto"/>
              </w:rPr>
              <w:t>Potentially issuable shares in</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connection with certain terms of the</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ind w:left="160"/>
              <w:spacing w:after="0" w:line="202" w:lineRule="exact"/>
              <w:rPr>
                <w:sz w:val="20"/>
                <w:szCs w:val="20"/>
                <w:color w:val="auto"/>
              </w:rPr>
            </w:pPr>
            <w:r>
              <w:rPr>
                <w:rFonts w:ascii="Arial" w:cs="Arial" w:eastAsia="Arial" w:hAnsi="Arial"/>
                <w:sz w:val="18"/>
                <w:szCs w:val="18"/>
                <w:color w:val="auto"/>
              </w:rPr>
              <w:t>ViaSat 401(k) Profit Sharing Plan and</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660" w:type="dxa"/>
            <w:vAlign w:val="bottom"/>
          </w:tcPr>
          <w:p>
            <w:pPr>
              <w:ind w:left="160"/>
              <w:spacing w:after="0"/>
              <w:rPr>
                <w:sz w:val="20"/>
                <w:szCs w:val="20"/>
                <w:color w:val="auto"/>
              </w:rPr>
            </w:pPr>
            <w:r>
              <w:rPr>
                <w:rFonts w:ascii="Arial" w:cs="Arial" w:eastAsia="Arial" w:hAnsi="Arial"/>
                <w:sz w:val="18"/>
                <w:szCs w:val="18"/>
                <w:color w:val="auto"/>
              </w:rPr>
              <w:t>Employee Stock Purchase Plan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7"/>
        </w:trPr>
        <w:tc>
          <w:tcPr>
            <w:tcW w:w="366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Shares used in computing diluted net</w:t>
            </w:r>
          </w:p>
        </w:tc>
        <w:tc>
          <w:tcPr>
            <w:tcW w:w="500" w:type="dxa"/>
            <w:vAlign w:val="bottom"/>
            <w:tcBorders>
              <w:top w:val="single" w:sz="8" w:color="CFF0FC"/>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03"/>
        </w:trPr>
        <w:tc>
          <w:tcPr>
            <w:tcW w:w="36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income (loss) per share attributable to</w:t>
            </w: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5"/>
        </w:trPr>
        <w:tc>
          <w:tcPr>
            <w:tcW w:w="3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Viasat, Inc. common stockholders</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62,761</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59,734</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61,200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59,470</w:t>
            </w:r>
          </w:p>
        </w:tc>
        <w:tc>
          <w:tcPr>
            <w:tcW w:w="100" w:type="dxa"/>
            <w:vAlign w:val="bottom"/>
            <w:shd w:val="clear" w:color="auto" w:fill="CFF0FC"/>
          </w:tcPr>
          <w:p>
            <w:pPr>
              <w:spacing w:after="0"/>
              <w:rPr>
                <w:sz w:val="19"/>
                <w:szCs w:val="19"/>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8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Antidilutive shares excluded from the calculation consisted of 28,554 shares related to stock options (other than TSR performance stock options), 1,215,219 shares related to TSR performance stock options and 15,180 shares related to restricted stock units for the three months ended September 30, 2019.</w:t>
      </w:r>
    </w:p>
    <w:p>
      <w:pPr>
        <w:spacing w:after="0" w:line="151"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six months ended September 30, 2019, and the three and six months ended September 30, 2018, as the Company incurred a net loss attributable to Viasat, Inc. common stockholders for such periods and inclusion of potentially dilutive weighted average shares of common stock would be antidilutive. Potentially dilutive weighted average shares of common stock excluded from the calculation for the six months ended September 30, 2019 comprised 251,961 shares relating to stock options (other than TSR performance stock options), 653,725 shares relating to TSR performance stock options, 990,984 shares relating to restricted stock units, and 209,765 shares relating to certain terms of the ViaSat 401(k) Profit Sharing Plan and Employee Stock Purchase Plan. Potentially dilutive weighted average shares of common stock excluded from the calculation for the three and six months ended September 30, 2018 were 1,313,881 and 1,309,180 shares relating to stock options (other than TSR performance stock options), respectively, 630,254 and 480,518 shares relating to restricted stock units, respectively, and 138,478 and 205,030 shares relating to certain terms of the ViaSat 401(k) Profit Sharing Plan and Employee Stock Purchase Plan, respectively. No shares relating to the TSR performance stock options were excluded from the calculation for the three and six months ended September 30, 2018.</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79" w:lineRule="exact"/>
        <w:rPr>
          <w:sz w:val="20"/>
          <w:szCs w:val="20"/>
          <w:color w:val="auto"/>
        </w:rPr>
      </w:pPr>
    </w:p>
    <w:p>
      <w:pPr>
        <w:ind w:right="140" w:firstLine="518"/>
        <w:spacing w:after="0" w:line="248" w:lineRule="auto"/>
        <w:rPr>
          <w:sz w:val="20"/>
          <w:szCs w:val="20"/>
          <w:color w:val="auto"/>
        </w:rPr>
      </w:pPr>
      <w:r>
        <w:rPr>
          <w:rFonts w:ascii="Arial" w:cs="Arial" w:eastAsia="Arial" w:hAnsi="Arial"/>
          <w:sz w:val="18"/>
          <w:szCs w:val="18"/>
          <w:color w:val="auto"/>
        </w:rPr>
        <w:t>During the six months ended September 30, 2019, the decrease in the Company’s goodwill related to the effects of foreign currency translation recorded within all three of the Company’s segments. During the six months ended September 30, 2018, the increase in the Company’s goodwill related to an insignificant acquisition, partially offset by the effects of foreign currency translation recorded within all three of the Company’s segments.</w:t>
      </w:r>
    </w:p>
    <w:p>
      <w:pPr>
        <w:spacing w:after="0" w:line="117" w:lineRule="exact"/>
        <w:rPr>
          <w:sz w:val="20"/>
          <w:szCs w:val="20"/>
          <w:color w:val="auto"/>
        </w:rPr>
      </w:pPr>
    </w:p>
    <w:p>
      <w:pPr>
        <w:ind w:right="580" w:firstLine="518"/>
        <w:spacing w:after="0" w:line="248"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$2.0 million and $2.4 million for the three months ended September 30, 2019 and 2018, respectively, and $4.1 million and $4.9 million for the six months ended September 30, 2019 and 2018, respectively.</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253" w:lineRule="exact"/>
        <w:rPr>
          <w:sz w:val="20"/>
          <w:szCs w:val="20"/>
          <w:color w:val="auto"/>
        </w:rPr>
      </w:pPr>
    </w:p>
    <w:tbl>
      <w:tblPr>
        <w:tblLayout w:type="fixed"/>
        <w:tblInd w:w="23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65"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ten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(see Note 1).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127"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The Company’s finance leases consist primarily of satellite lifetime Ka-band capacity leases and have remaining terms from one to seven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lease costs, weighted average lease terms and discount rates are presented in the tables below:</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6"/>
          </w:tcPr>
          <w:p>
            <w:pPr>
              <w:jc w:val="right"/>
              <w:ind w:right="128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lease cost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15,037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30,380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Depreciation of assets obtained under finance leases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1080"/>
              <w:spacing w:after="0"/>
              <w:rPr>
                <w:sz w:val="20"/>
                <w:szCs w:val="20"/>
                <w:color w:val="auto"/>
              </w:rPr>
            </w:pPr>
            <w:r>
              <w:rPr>
                <w:rFonts w:ascii="Arial" w:cs="Arial" w:eastAsia="Arial" w:hAnsi="Arial"/>
                <w:sz w:val="18"/>
                <w:szCs w:val="18"/>
                <w:color w:val="auto"/>
                <w:w w:val="97"/>
              </w:rPr>
              <w:t>4,017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on lease liabilities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Short-term lease cost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1080"/>
              <w:spacing w:after="0"/>
              <w:rPr>
                <w:sz w:val="20"/>
                <w:szCs w:val="20"/>
                <w:color w:val="auto"/>
              </w:rPr>
            </w:pPr>
            <w:r>
              <w:rPr>
                <w:rFonts w:ascii="Arial" w:cs="Arial" w:eastAsia="Arial" w:hAnsi="Arial"/>
                <w:sz w:val="18"/>
                <w:szCs w:val="18"/>
                <w:color w:val="auto"/>
                <w:w w:val="97"/>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5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2,043</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2"/>
            <w:shd w:val="clear" w:color="auto" w:fill="CFF0FC"/>
          </w:tcPr>
          <w:p>
            <w:pPr>
              <w:ind w:left="1080"/>
              <w:spacing w:after="0"/>
              <w:rPr>
                <w:sz w:val="20"/>
                <w:szCs w:val="20"/>
                <w:color w:val="auto"/>
              </w:rPr>
            </w:pPr>
            <w:r>
              <w:rPr>
                <w:rFonts w:ascii="Arial" w:cs="Arial" w:eastAsia="Arial" w:hAnsi="Arial"/>
                <w:sz w:val="18"/>
                <w:szCs w:val="18"/>
                <w:color w:val="auto"/>
                <w:w w:val="97"/>
              </w:rPr>
              <w:t>3,722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Net lease cost</w:t>
            </w:r>
          </w:p>
        </w:tc>
        <w:tc>
          <w:tcPr>
            <w:tcW w:w="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20,369</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ind w:left="2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Lease term and discount rate:</w:t>
            </w: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ind w:left="1080"/>
              <w:spacing w:after="0"/>
              <w:rPr>
                <w:sz w:val="20"/>
                <w:szCs w:val="20"/>
                <w:color w:val="auto"/>
              </w:rPr>
            </w:pPr>
            <w:r>
              <w:rPr>
                <w:rFonts w:ascii="Arial" w:cs="Arial" w:eastAsia="Arial" w:hAnsi="Arial"/>
                <w:sz w:val="18"/>
                <w:szCs w:val="18"/>
                <w:color w:val="auto"/>
                <w:w w:val="96"/>
              </w:rPr>
              <w:t>7.39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ind w:left="1080"/>
              <w:spacing w:after="0"/>
              <w:rPr>
                <w:sz w:val="20"/>
                <w:szCs w:val="20"/>
                <w:color w:val="auto"/>
              </w:rPr>
            </w:pPr>
            <w:r>
              <w:rPr>
                <w:rFonts w:ascii="Arial" w:cs="Arial" w:eastAsia="Arial" w:hAnsi="Arial"/>
                <w:sz w:val="18"/>
                <w:szCs w:val="18"/>
                <w:color w:val="auto"/>
                <w:w w:val="96"/>
              </w:rPr>
              <w:t>6.78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ind w:left="108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3"/>
          </w:tcPr>
          <w:p>
            <w:pPr>
              <w:ind w:left="108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components of the condensed consolidated statements of cash flows for operating and finance leases: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760" w:type="dxa"/>
            <w:vAlign w:val="bottom"/>
            <w:tcBorders>
              <w:top w:val="single" w:sz="8" w:color="auto"/>
            </w:tcBorders>
            <w:shd w:val="clear" w:color="auto" w:fill="CFF0FC"/>
          </w:tcPr>
          <w:p>
            <w:pPr>
              <w:spacing w:after="0" w:line="185" w:lineRule="exact"/>
              <w:rPr>
                <w:sz w:val="20"/>
                <w:szCs w:val="20"/>
                <w:color w:val="auto"/>
              </w:rPr>
            </w:pPr>
            <w:r>
              <w:rPr>
                <w:rFonts w:ascii="Arial" w:cs="Arial" w:eastAsia="Arial" w:hAnsi="Arial"/>
                <w:sz w:val="18"/>
                <w:szCs w:val="18"/>
                <w:b w:val="1"/>
                <w:bCs w:val="1"/>
                <w:color w:val="auto"/>
              </w:rPr>
              <w:t>Cash paid for amounts included in the measurement</w:t>
            </w: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8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of lease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29,629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72,711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the Company’s lease liabilities as of September 30,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213"/>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Finance Leases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540" w:type="dxa"/>
            <w:vAlign w:val="bottom"/>
            <w:tcBorders>
              <w:top w:val="single" w:sz="8" w:color="auto"/>
            </w:tcBorders>
            <w:gridSpan w:val="4"/>
          </w:tcPr>
          <w:p>
            <w:pPr>
              <w:jc w:val="right"/>
              <w:ind w:right="1292"/>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28,081</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59,805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13,350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51,822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51,724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164,668</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 required</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413,482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83,250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13,209</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338,640</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70,041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CFF0FC"/>
            </w:tcBorders>
            <w:vMerge w:val="restart"/>
          </w:tcPr>
          <w:p>
            <w:pPr>
              <w:jc w:val="right"/>
              <w:ind w:right="570"/>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16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240" w:firstLine="518"/>
        <w:spacing w:after="0" w:line="276" w:lineRule="auto"/>
        <w:rPr>
          <w:sz w:val="20"/>
          <w:szCs w:val="20"/>
          <w:color w:val="auto"/>
        </w:rPr>
      </w:pPr>
      <w:r>
        <w:rPr>
          <w:rFonts w:ascii="Arial" w:cs="Arial" w:eastAsia="Arial" w:hAnsi="Arial"/>
          <w:sz w:val="18"/>
          <w:szCs w:val="18"/>
          <w:color w:val="auto"/>
        </w:rPr>
        <w:t>As of September 30, 2019, the Company had $ 91.8 million of additional lease commitments that will commence in the future between fiscal years 2020 and 2021 with lease terms of two to 12 years.</w:t>
      </w:r>
    </w:p>
    <w:p>
      <w:pPr>
        <w:spacing w:after="0" w:line="9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As discussed in Note 1, the Company has adopted ASC 842 using the optional transition method presenting prior period amounts and disclosures under ASC 840. The following table presents the Company's future minimum lease payments for operating leases under ASC 840 at March 31, 2019:</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Operating Leases</w:t>
            </w:r>
          </w:p>
        </w:tc>
      </w:tr>
      <w:tr>
        <w:trPr>
          <w:trHeight w:val="177"/>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2020</w:t>
            </w:r>
          </w:p>
        </w:tc>
        <w:tc>
          <w:tcPr>
            <w:tcW w:w="2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59,452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50,933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183,077</w:t>
            </w:r>
          </w:p>
        </w:tc>
        <w:tc>
          <w:tcPr>
            <w:tcW w:w="80" w:type="dxa"/>
            <w:vAlign w:val="bottom"/>
            <w:tcBorders>
              <w:bottom w:val="single" w:sz="8" w:color="CFF0FC"/>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payments required</w:t>
            </w:r>
          </w:p>
        </w:tc>
        <w:tc>
          <w:tcPr>
            <w:tcW w:w="20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461,126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$53.5 million for the fiscal year ended March 31, 2019.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Notes and Other Long-Term Debt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September 30, 2019 and March 31, 2019:</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r>
      <w:tr>
        <w:trPr>
          <w:trHeight w:val="177"/>
        </w:trPr>
        <w:tc>
          <w:tcPr>
            <w:tcW w:w="4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2019</w:t>
            </w:r>
          </w:p>
        </w:tc>
        <w:tc>
          <w:tcPr>
            <w:tcW w:w="8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4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2027 Notes</w:t>
            </w: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2025 Notes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Ex-Im Credit Facility</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139,560</w:t>
            </w:r>
          </w:p>
        </w:tc>
        <w:tc>
          <w:tcPr>
            <w:tcW w:w="8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obligations (see Note 6)</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Total debt</w:t>
            </w:r>
          </w:p>
        </w:tc>
        <w:tc>
          <w:tcPr>
            <w:tcW w:w="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1,497,780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1,439,560</w:t>
            </w:r>
          </w:p>
        </w:tc>
        <w:tc>
          <w:tcPr>
            <w:tcW w:w="8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(23,853)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(26,720)</w:t>
            </w:r>
          </w:p>
        </w:tc>
      </w:tr>
      <w:tr>
        <w:trPr>
          <w:trHeight w:val="216"/>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7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80" w:type="dxa"/>
            <w:vAlign w:val="bottom"/>
            <w:tcBorders>
              <w:bottom w:val="single" w:sz="8" w:color="CFF0FC"/>
            </w:tcBorders>
          </w:tcPr>
          <w:p>
            <w:pPr>
              <w:spacing w:after="0"/>
              <w:rPr>
                <w:sz w:val="18"/>
                <w:szCs w:val="18"/>
                <w:color w:val="auto"/>
              </w:rPr>
            </w:pPr>
          </w:p>
        </w:tc>
      </w:tr>
      <w:tr>
        <w:trPr>
          <w:trHeight w:val="210"/>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7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1,443,965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1,392,903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63"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As of September 30, 2019, the Revolving Credit Facility provided a $ 700.0 million revolving line of credit (including up to $150.0 million of letters of credit), with a maturity date of January 18, 2024. At September 30, 2019, the Company had no outstanding borrowings under the Revolving Credit Facility and $18.9 million outstanding under standby letters of credit, leaving borrowing availability under the Revolving Credit Facility as of September 30, 2019 of $681.1 million.</w:t>
      </w:r>
    </w:p>
    <w:p>
      <w:pPr>
        <w:spacing w:after="0" w:line="117"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September 30, 2019, none of the Company’s subsidiaries guaranteed the Revolving Credit Facility.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September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4"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As of September 30, 2019, the Company had $127.7 million in principal amount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borrowings under the Ex-Im Credit Facility.</w:t>
      </w:r>
    </w:p>
    <w:p>
      <w:pPr>
        <w:spacing w:after="0" w:line="136"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the first three months of fiscal year 2020, the Company received the remaining insurance proceeds of $ 2.3 million, which were in addition to the $185.7 million of insurance proceeds received in fiscal year 2019 related to the ViaSat-2 satellite, all of which were used to pay down outstanding borrowings under the Ex-Im Credit Facility upon receipt (see Note 1 — Basis of Presentation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27"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September 30, 2019.</w:t>
      </w:r>
    </w:p>
    <w:p>
      <w:pPr>
        <w:spacing w:after="0" w:line="117" w:lineRule="exact"/>
        <w:rPr>
          <w:sz w:val="20"/>
          <w:szCs w:val="20"/>
          <w:color w:val="auto"/>
        </w:rPr>
      </w:pPr>
    </w:p>
    <w:p>
      <w:pPr>
        <w:ind w:right="180" w:firstLine="518"/>
        <w:spacing w:after="0" w:line="245"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 -term debt, net of unamortized discount and debt issuance costs, in the Company’s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is amortized to interest expense on an effective interest rate basis over the weighted average term of the Ex-Im Credit Facility and in accordance with the related payment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75"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18" w:lineRule="exact"/>
        <w:rPr>
          <w:sz w:val="20"/>
          <w:szCs w:val="20"/>
          <w:color w:val="auto"/>
        </w:rPr>
      </w:pPr>
    </w:p>
    <w:p>
      <w:pPr>
        <w:ind w:firstLine="518"/>
        <w:spacing w:after="0" w:line="24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September 30, 2019, none of the Company’s subsidiaries guaranteed the 2027 Notes. The 2027 Notes are secured, equally and ratably with the Revolving Credit Facility and any future parity lien debt, by liens on substantially all of the Company’s assets.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80" w:firstLine="518"/>
        <w:spacing w:after="0" w:line="241"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25" w:lineRule="exact"/>
        <w:rPr>
          <w:sz w:val="20"/>
          <w:szCs w:val="20"/>
          <w:color w:val="auto"/>
        </w:rPr>
      </w:pPr>
    </w:p>
    <w:p>
      <w:pPr>
        <w:ind w:right="120" w:firstLine="518"/>
        <w:spacing w:after="0" w:line="245"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1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30"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61" w:lineRule="exact"/>
        <w:rPr>
          <w:sz w:val="20"/>
          <w:szCs w:val="20"/>
          <w:color w:val="auto"/>
        </w:rPr>
      </w:pPr>
    </w:p>
    <w:p>
      <w:pPr>
        <w:ind w:right="20" w:firstLine="518"/>
        <w:spacing w:after="0" w:line="243"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20" w:lineRule="exact"/>
        <w:rPr>
          <w:sz w:val="20"/>
          <w:szCs w:val="20"/>
          <w:color w:val="auto"/>
        </w:rPr>
      </w:pPr>
    </w:p>
    <w:p>
      <w:pPr>
        <w:ind w:right="120" w:firstLine="518"/>
        <w:spacing w:after="0" w:line="241"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September 30, 2019,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25" w:lineRule="exact"/>
        <w:rPr>
          <w:sz w:val="20"/>
          <w:szCs w:val="20"/>
          <w:color w:val="auto"/>
        </w:rPr>
      </w:pPr>
    </w:p>
    <w:p>
      <w:pPr>
        <w:ind w:right="120" w:firstLine="518"/>
        <w:spacing w:after="0" w:line="245"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30" w:lineRule="exact"/>
        <w:rPr>
          <w:sz w:val="20"/>
          <w:szCs w:val="20"/>
          <w:color w:val="auto"/>
        </w:rPr>
      </w:pPr>
    </w:p>
    <w:p>
      <w:pPr>
        <w:ind w:firstLine="518"/>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65"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30, 2019 and 2018:</w:t>
      </w:r>
    </w:p>
    <w:p>
      <w:pPr>
        <w:spacing w:after="0" w:line="265" w:lineRule="exact"/>
        <w:rPr>
          <w:sz w:val="20"/>
          <w:szCs w:val="20"/>
          <w:color w:val="auto"/>
        </w:rPr>
      </w:pPr>
    </w:p>
    <w:tbl>
      <w:tblPr>
        <w:tblLayout w:type="fixed"/>
        <w:tblInd w:w="1720" w:type="dxa"/>
        <w:tblCellMar>
          <w:top w:w="0" w:type="dxa"/>
          <w:left w:w="0" w:type="dxa"/>
          <w:bottom w:w="0" w:type="dxa"/>
          <w:right w:w="0" w:type="dxa"/>
        </w:tblCellMar>
      </w:tblPr>
      <w:tr>
        <w:trPr>
          <w:trHeight w:val="177"/>
        </w:trPr>
        <w:tc>
          <w:tcPr>
            <w:tcW w:w="4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Six Months Ended</w:t>
            </w:r>
          </w:p>
        </w:tc>
      </w:tr>
      <w:tr>
        <w:trPr>
          <w:trHeight w:val="154"/>
        </w:trPr>
        <w:tc>
          <w:tcPr>
            <w:tcW w:w="4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ind w:right="400"/>
              <w:spacing w:after="0" w:line="154"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16"/>
              <w:spacing w:after="0" w:line="154"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r>
      <w:tr>
        <w:trPr>
          <w:trHeight w:val="177"/>
        </w:trPr>
        <w:tc>
          <w:tcPr>
            <w:tcW w:w="4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169"/>
        </w:trPr>
        <w:tc>
          <w:tcPr>
            <w:tcW w:w="4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80" w:type="dxa"/>
            <w:vAlign w:val="bottom"/>
            <w:shd w:val="clear" w:color="auto" w:fill="CFF0FC"/>
          </w:tcPr>
          <w:p>
            <w:pPr>
              <w:spacing w:after="0"/>
              <w:rPr>
                <w:sz w:val="18"/>
                <w:szCs w:val="18"/>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1,724</w:t>
            </w:r>
          </w:p>
        </w:tc>
        <w:tc>
          <w:tcPr>
            <w:tcW w:w="80" w:type="dxa"/>
            <w:vAlign w:val="bottom"/>
          </w:tcPr>
          <w:p>
            <w:pPr>
              <w:spacing w:after="0"/>
              <w:rPr>
                <w:sz w:val="18"/>
                <w:szCs w:val="18"/>
                <w:color w:val="auto"/>
              </w:rPr>
            </w:pPr>
          </w:p>
        </w:tc>
      </w:tr>
      <w:tr>
        <w:trPr>
          <w:trHeight w:val="193"/>
        </w:trPr>
        <w:tc>
          <w:tcPr>
            <w:tcW w:w="4520" w:type="dxa"/>
            <w:vAlign w:val="bottom"/>
            <w:shd w:val="clear" w:color="auto" w:fill="CFF0FC"/>
          </w:tcPr>
          <w:p>
            <w:pPr>
              <w:ind w:left="240"/>
              <w:spacing w:after="0" w:line="194" w:lineRule="exact"/>
              <w:rPr>
                <w:sz w:val="20"/>
                <w:szCs w:val="20"/>
                <w:color w:val="auto"/>
              </w:rPr>
            </w:pPr>
            <w:r>
              <w:rPr>
                <w:rFonts w:ascii="Arial" w:cs="Arial" w:eastAsia="Arial" w:hAnsi="Arial"/>
                <w:sz w:val="18"/>
                <w:szCs w:val="18"/>
                <w:color w:val="auto"/>
              </w:rPr>
              <w:t>Settlements made (in cash or in kind) during the</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25"/>
        </w:trPr>
        <w:tc>
          <w:tcPr>
            <w:tcW w:w="45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period</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(2,455)</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(1,730)</w:t>
            </w: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Balance, end of period</w:t>
            </w: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w:t>
            </w:r>
          </w:p>
        </w:tc>
        <w:tc>
          <w:tcPr>
            <w:tcW w:w="8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6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July 2019, the Company entered into an agreement with Boeing for the construction and purchase of a third ViaSat-3 class satellite and the integration of Viasat’s payload technologies into the satellite. This satellite is expected to provide broadband services over the Asia and Pacific (APAC) region.</w:t>
      </w:r>
    </w:p>
    <w:p>
      <w:pPr>
        <w:spacing w:after="0" w:line="151"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2019. As of September 30, 2019,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2019 and March 31, 2019, the Company had $ 4.9 million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6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six months ended</w:t>
      </w:r>
    </w:p>
    <w:p>
      <w:pPr>
        <w:spacing w:after="0" w:line="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September 30, 2019 by applying the actual effective tax rate to the quarter-to-date and year-to-date income (loss) for the three-month and six-month periods.</w:t>
      </w:r>
    </w:p>
    <w:p>
      <w:pPr>
        <w:spacing w:after="0" w:line="11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For the three and six months ended September 30, 2019, the Company recorded an income tax expense of $2.4 million and an income tax benefit $ 4.8 million, respectively, resulting in an effective tax rate of 26% and effective tax benefit rate of 53%, respectively. The effective tax rates for the periods differed from the U.S. statutory rate due primarily to the benefit of R&amp;D tax credits.</w:t>
      </w:r>
    </w:p>
    <w:p>
      <w:pPr>
        <w:spacing w:after="0" w:line="11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For the three and six months ended September 30, 2018, the Company recorded an income tax benefit of $9.7 million and $38.9 million, respectively, resulting in an effective tax benefit rate of 27% and 38%, respectively. The effective tax benefit rates for the periods differed from the U.S. statutory rate due primarily to the benefit of R&amp;D tax credits.</w:t>
      </w:r>
    </w:p>
    <w:p>
      <w:pPr>
        <w:spacing w:after="0" w:line="110" w:lineRule="exact"/>
        <w:rPr>
          <w:sz w:val="20"/>
          <w:szCs w:val="20"/>
          <w:color w:val="auto"/>
        </w:rPr>
      </w:pPr>
    </w:p>
    <w:p>
      <w:pPr>
        <w:ind w:right="40" w:firstLine="518"/>
        <w:spacing w:after="0" w:line="248"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For the three and six months ended September 30, 2019, the Company’s gross unrecognized tax benefits increased by $3.2 million and $6.4 million, respectively. In the next 12 months it is reasonably possible that the amount of unrecognized tax benefits will not change significantly.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p>
      <w:pPr>
        <w:ind w:right="5420"/>
        <w:spacing w:after="0" w:line="322" w:lineRule="auto"/>
        <w:rPr>
          <w:sz w:val="20"/>
          <w:szCs w:val="20"/>
          <w:color w:val="auto"/>
        </w:rPr>
      </w:pPr>
      <w:r>
        <w:rPr>
          <w:rFonts w:ascii="Arial" w:cs="Arial" w:eastAsia="Arial" w:hAnsi="Arial"/>
          <w:sz w:val="18"/>
          <w:szCs w:val="18"/>
          <w:b w:val="1"/>
          <w:bCs w:val="1"/>
          <w:color w:val="auto"/>
        </w:rPr>
        <w:t xml:space="preserve">Note 11 — Equity Method Investments and Related-Party Transactions </w:t>
      </w:r>
      <w:r>
        <w:rPr>
          <w:rFonts w:ascii="Arial" w:cs="Arial" w:eastAsia="Arial" w:hAnsi="Arial"/>
          <w:sz w:val="18"/>
          <w:szCs w:val="18"/>
          <w:b w:val="1"/>
          <w:bCs w:val="1"/>
          <w:i w:val="1"/>
          <w:iCs w:val="1"/>
          <w:color w:val="auto"/>
        </w:rPr>
        <w:t>Eutelsat strategic partnering arrangement</w:t>
      </w:r>
    </w:p>
    <w:p>
      <w:pPr>
        <w:ind w:right="40" w:firstLine="518"/>
        <w:spacing w:after="0" w:line="237"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a foreign currency translation gain, net of tax, of approximately $1.7 million and a loss of an insignificant amount for the three and six months ended September 30, 2019, respectively, in accumulated other comprehensive income (loss). The Company recorded a foreign currency translation loss, net of tax, of approximately $7.0 million and $3.5 million for the three and six months ended September 30, 2018,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for the three and six months ended June 30, 2019 in its condensed consolidated financial statements for the three and six months ended September 30, 2019, respectively, and the Company included its share of the results of Euro Infrastructure Co. for the three and six months ended June 30, 2018 in its condensed consolidated financial statements for the three and six months ended September 30, 2018, respectively.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29" w:lineRule="exact"/>
        <w:rPr>
          <w:sz w:val="20"/>
          <w:szCs w:val="20"/>
          <w:color w:val="auto"/>
        </w:rPr>
      </w:pPr>
    </w:p>
    <w:p>
      <w:pPr>
        <w:ind w:right="200" w:firstLine="518"/>
        <w:spacing w:after="0" w:line="27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September 30, 2019 and March 31, 2019 is summarized as follows:</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4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gridSpan w:val="5"/>
          </w:tcPr>
          <w:p>
            <w:pPr>
              <w:jc w:val="right"/>
              <w:ind w:right="877"/>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76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162,096</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160,711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560" w:type="dxa"/>
            <w:vAlign w:val="bottom"/>
          </w:tcPr>
          <w:p>
            <w:pPr>
              <w:spacing w:after="0" w:line="175" w:lineRule="exact"/>
              <w:rPr>
                <w:sz w:val="20"/>
                <w:szCs w:val="20"/>
                <w:color w:val="auto"/>
              </w:rPr>
            </w:pPr>
            <w:r>
              <w:rPr>
                <w:rFonts w:ascii="Arial" w:cs="Arial" w:eastAsia="Arial" w:hAnsi="Arial"/>
                <w:sz w:val="17"/>
                <w:szCs w:val="17"/>
                <w:color w:val="auto"/>
              </w:rPr>
              <w:t>Less: proportionate share of net assets of Euro</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6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4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146,400</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145,016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560" w:type="dxa"/>
            <w:vAlign w:val="bottom"/>
            <w:shd w:val="clear" w:color="auto" w:fill="CFF0FC"/>
          </w:tcPr>
          <w:p>
            <w:pPr>
              <w:ind w:left="240"/>
              <w:spacing w:after="0" w:line="168" w:lineRule="exact"/>
              <w:rPr>
                <w:sz w:val="20"/>
                <w:szCs w:val="20"/>
                <w:color w:val="auto"/>
              </w:rPr>
            </w:pPr>
            <w:r>
              <w:rPr>
                <w:rFonts w:ascii="Arial" w:cs="Arial" w:eastAsia="Arial" w:hAnsi="Arial"/>
                <w:sz w:val="17"/>
                <w:szCs w:val="17"/>
                <w:color w:val="auto"/>
              </w:rPr>
              <w:t>Excess carrying value of investment over</w:t>
            </w:r>
          </w:p>
        </w:tc>
        <w:tc>
          <w:tcPr>
            <w:tcW w:w="4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FF0FC"/>
          </w:tcPr>
          <w:p>
            <w:pPr>
              <w:ind w:left="400"/>
              <w:spacing w:after="0"/>
              <w:rPr>
                <w:sz w:val="20"/>
                <w:szCs w:val="20"/>
                <w:color w:val="auto"/>
              </w:rPr>
            </w:pPr>
            <w:r>
              <w:rPr>
                <w:rFonts w:ascii="Arial" w:cs="Arial" w:eastAsia="Arial" w:hAnsi="Arial"/>
                <w:sz w:val="17"/>
                <w:szCs w:val="17"/>
                <w:color w:val="auto"/>
              </w:rPr>
              <w:t>proportionate share of net assets</w:t>
            </w:r>
          </w:p>
        </w:tc>
        <w:tc>
          <w:tcPr>
            <w:tcW w:w="76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15,696</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The excess carrying value has been primarily</w:t>
            </w:r>
          </w:p>
        </w:tc>
        <w:tc>
          <w:tcPr>
            <w:tcW w:w="4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140"/>
              <w:spacing w:after="0"/>
              <w:rPr>
                <w:sz w:val="20"/>
                <w:szCs w:val="20"/>
                <w:color w:val="auto"/>
              </w:rPr>
            </w:pPr>
            <w:r>
              <w:rPr>
                <w:rFonts w:ascii="Arial" w:cs="Arial" w:eastAsia="Arial" w:hAnsi="Arial"/>
                <w:sz w:val="17"/>
                <w:szCs w:val="17"/>
                <w:color w:val="auto"/>
              </w:rPr>
              <w:t>assigned to:</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76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22,309</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9,806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(17,463)</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(18,522)</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4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15,696</w:t>
            </w:r>
          </w:p>
        </w:tc>
        <w:tc>
          <w:tcPr>
            <w:tcW w:w="1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15,695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180" w:firstLine="518"/>
        <w:spacing w:after="0" w:line="255" w:lineRule="auto"/>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10" w:lineRule="exact"/>
        <w:rPr>
          <w:sz w:val="20"/>
          <w:szCs w:val="20"/>
          <w:color w:val="auto"/>
        </w:rPr>
      </w:pPr>
    </w:p>
    <w:p>
      <w:pPr>
        <w:jc w:val="both"/>
        <w:ind w:firstLine="518"/>
        <w:spacing w:after="0" w:line="248" w:lineRule="auto"/>
        <w:rPr>
          <w:sz w:val="20"/>
          <w:szCs w:val="20"/>
          <w:color w:val="auto"/>
        </w:rPr>
      </w:pPr>
      <w:r>
        <w:rPr>
          <w:rFonts w:ascii="Arial" w:cs="Arial" w:eastAsia="Arial" w:hAnsi="Arial"/>
          <w:sz w:val="18"/>
          <w:szCs w:val="18"/>
          <w:color w:val="auto"/>
        </w:rPr>
        <w:t>The Company’s share of income on its investment in Euro Infrastructure Co. was income of $1.2 million and $2.5 million for the three and six months ended September 30, 2019, respectively, and income of an insignificant amount and $1.4 million for the three and six months ended September 30, 2018, respectively, consisting of the Company’s share of equity in Euro Infrastructure Co.’s income, including amortization of the difference in the historical basis of the Company’s contribution.</w:t>
      </w:r>
    </w:p>
    <w:p>
      <w:pPr>
        <w:spacing w:after="0" w:line="117" w:lineRule="exact"/>
        <w:rPr>
          <w:sz w:val="20"/>
          <w:szCs w:val="20"/>
          <w:color w:val="auto"/>
        </w:rPr>
      </w:pPr>
    </w:p>
    <w:p>
      <w:pPr>
        <w:ind w:right="580" w:firstLine="518"/>
        <w:spacing w:after="0" w:line="276" w:lineRule="auto"/>
        <w:rPr>
          <w:sz w:val="20"/>
          <w:szCs w:val="20"/>
          <w:color w:val="auto"/>
        </w:rPr>
      </w:pPr>
      <w:r>
        <w:rPr>
          <w:rFonts w:ascii="Arial" w:cs="Arial" w:eastAsia="Arial" w:hAnsi="Arial"/>
          <w:sz w:val="18"/>
          <w:szCs w:val="18"/>
          <w:color w:val="auto"/>
        </w:rPr>
        <w:t>Since acquiring its interest in Euro Infrastructure Co., the Company has recorded $9.0 million in retained earnings of undistributed cumulative earnings in equity interests, net of tax, as of September 30, 2019.</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77" w:lineRule="exact"/>
        <w:rPr>
          <w:sz w:val="20"/>
          <w:szCs w:val="20"/>
          <w:color w:val="auto"/>
        </w:rPr>
      </w:pPr>
    </w:p>
    <w:p>
      <w:pPr>
        <w:ind w:right="580" w:firstLine="518"/>
        <w:spacing w:after="0" w:line="255" w:lineRule="auto"/>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4"/>
                <w:szCs w:val="14"/>
                <w:color w:val="auto"/>
              </w:rPr>
            </w:pPr>
          </w:p>
        </w:tc>
      </w:tr>
      <w:tr>
        <w:trPr>
          <w:trHeight w:val="169"/>
        </w:trPr>
        <w:tc>
          <w:tcPr>
            <w:tcW w:w="3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9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4,599</w:t>
            </w:r>
          </w:p>
        </w:tc>
        <w:tc>
          <w:tcPr>
            <w:tcW w:w="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8,352</w:t>
            </w:r>
          </w:p>
        </w:tc>
        <w:tc>
          <w:tcPr>
            <w:tcW w:w="82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Expense – Euro Infrastructure Co.</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5,708</w:t>
            </w: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8,905</w:t>
            </w: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8"/>
                <w:szCs w:val="18"/>
                <w:color w:val="auto"/>
              </w:rPr>
            </w:pPr>
          </w:p>
        </w:tc>
      </w:tr>
      <w:tr>
        <w:trPr>
          <w:trHeight w:val="216"/>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1,490</w:t>
            </w:r>
          </w:p>
        </w:tc>
        <w:tc>
          <w:tcPr>
            <w:tcW w:w="8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2,352</w:t>
            </w:r>
          </w:p>
        </w:tc>
        <w:tc>
          <w:tcPr>
            <w:tcW w:w="8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w:t>
            </w:r>
          </w:p>
        </w:tc>
        <w:tc>
          <w:tcPr>
            <w:tcW w:w="100" w:type="dxa"/>
            <w:vAlign w:val="bottom"/>
            <w:shd w:val="clear" w:color="auto" w:fill="CFF0FC"/>
          </w:tcPr>
          <w:p>
            <w:pPr>
              <w:spacing w:after="0"/>
              <w:rPr>
                <w:sz w:val="18"/>
                <w:szCs w:val="18"/>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Cash paid – Euro Infrastructure Co.</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4,462</w:t>
            </w:r>
          </w:p>
        </w:tc>
        <w:tc>
          <w:tcPr>
            <w:tcW w:w="8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7,456</w:t>
            </w:r>
          </w:p>
        </w:tc>
        <w:tc>
          <w:tcPr>
            <w:tcW w:w="8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1"/>
                <w:szCs w:val="2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rPr>
              <w:t>As of</w:t>
            </w:r>
          </w:p>
        </w:tc>
        <w:tc>
          <w:tcPr>
            <w:tcW w:w="4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r>
      <w:tr>
        <w:trPr>
          <w:trHeight w:val="177"/>
        </w:trPr>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 Euro Infrastructure Co.</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4,520</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r>
      <w:tr>
        <w:trPr>
          <w:trHeight w:val="193"/>
        </w:trPr>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20" w:type="dxa"/>
            <w:vAlign w:val="bottom"/>
          </w:tcPr>
          <w:p>
            <w:pPr>
              <w:spacing w:after="0" w:line="194" w:lineRule="exact"/>
              <w:rPr>
                <w:sz w:val="20"/>
                <w:szCs w:val="20"/>
                <w:color w:val="auto"/>
              </w:rPr>
            </w:pPr>
            <w:r>
              <w:rPr>
                <w:rFonts w:ascii="Arial" w:cs="Arial" w:eastAsia="Arial" w:hAnsi="Arial"/>
                <w:sz w:val="18"/>
                <w:szCs w:val="18"/>
                <w:color w:val="auto"/>
              </w:rPr>
              <w:t>Collections in excess of revenues and deferred</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5"/>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revenues – Euro Infrastructure Co.</w:t>
            </w:r>
          </w:p>
        </w:tc>
        <w:tc>
          <w:tcPr>
            <w:tcW w:w="320" w:type="dxa"/>
            <w:vAlign w:val="bottom"/>
          </w:tcPr>
          <w:p>
            <w:pPr>
              <w:spacing w:after="0"/>
              <w:rPr>
                <w:sz w:val="19"/>
                <w:szCs w:val="19"/>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1,397</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4,703</w:t>
            </w:r>
          </w:p>
        </w:tc>
        <w:tc>
          <w:tcPr>
            <w:tcW w:w="6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 Euro Infrastructure Co.</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2,234</w:t>
            </w: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r>
      <w:tr>
        <w:trPr>
          <w:trHeight w:val="95"/>
        </w:trPr>
        <w:tc>
          <w:tcPr>
            <w:tcW w:w="4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54"/>
        </w:trPr>
        <w:tc>
          <w:tcPr>
            <w:tcW w:w="400" w:type="dxa"/>
            <w:vAlign w:val="bottom"/>
          </w:tcPr>
          <w:p>
            <w:pPr>
              <w:jc w:val="right"/>
              <w:ind w:right="230"/>
              <w:spacing w:after="0"/>
              <w:rPr>
                <w:sz w:val="20"/>
                <w:szCs w:val="20"/>
                <w:color w:val="auto"/>
              </w:rPr>
            </w:pPr>
            <w:r>
              <w:rPr>
                <w:rFonts w:ascii="Arial" w:cs="Arial" w:eastAsia="Arial" w:hAnsi="Arial"/>
                <w:sz w:val="18"/>
                <w:szCs w:val="18"/>
                <w:color w:val="auto"/>
                <w:w w:val="84"/>
              </w:rPr>
              <w:t>*</w:t>
            </w:r>
          </w:p>
        </w:tc>
        <w:tc>
          <w:tcPr>
            <w:tcW w:w="6540" w:type="dxa"/>
            <w:vAlign w:val="bottom"/>
            <w:gridSpan w:val="3"/>
          </w:tcPr>
          <w:p>
            <w:pPr>
              <w:ind w:left="320"/>
              <w:spacing w:after="0"/>
              <w:rPr>
                <w:sz w:val="20"/>
                <w:szCs w:val="20"/>
                <w:color w:val="auto"/>
              </w:rPr>
            </w:pPr>
            <w:r>
              <w:rPr>
                <w:rFonts w:ascii="Arial" w:cs="Arial" w:eastAsia="Arial" w:hAnsi="Arial"/>
                <w:sz w:val="18"/>
                <w:szCs w:val="18"/>
                <w:color w:val="auto"/>
              </w:rPr>
              <w:t>Amount was insignificant.</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6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customers accessing our services via our Community and Urban Wi-Fi hotspot distribution channels,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six months ended September 30, 2019 and 2018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September 30, 2019</w:t>
            </w: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September 30, 2019</w:t>
            </w: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Satellite services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Product</w:t>
            </w:r>
          </w:p>
        </w:tc>
        <w:tc>
          <w:tcPr>
            <w:tcW w:w="880" w:type="dxa"/>
            <w:vAlign w:val="bottom"/>
            <w:gridSpan w:val="2"/>
            <w:shd w:val="clear" w:color="auto" w:fill="CFF0FC"/>
          </w:tcPr>
          <w:p>
            <w:pPr>
              <w:jc w:val="right"/>
              <w:ind w:right="28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9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316"/>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5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205,717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162,962</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402,532</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316,523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205,717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162,962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402,532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Commercial networks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Product</w:t>
            </w: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104,190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139,044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13,865</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88,008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114,520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167,020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Government systems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Product</w:t>
            </w: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232,687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176,245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65,844</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128,340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298,531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239,992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559,741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80" w:type="dxa"/>
            <w:vAlign w:val="bottom"/>
          </w:tcPr>
          <w:p>
            <w:pPr>
              <w:ind w:left="220"/>
              <w:spacing w:after="0" w:line="194" w:lineRule="exact"/>
              <w:rPr>
                <w:sz w:val="20"/>
                <w:szCs w:val="20"/>
                <w:color w:val="auto"/>
              </w:rPr>
            </w:pPr>
            <w:r>
              <w:rPr>
                <w:rFonts w:ascii="Arial" w:cs="Arial" w:eastAsia="Arial" w:hAnsi="Arial"/>
                <w:sz w:val="18"/>
                <w:szCs w:val="18"/>
                <w:color w:val="auto"/>
              </w:rPr>
              <w:t>Elimination of intersegment</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tcPr>
          <w:p>
            <w:pPr>
              <w:ind w:left="380"/>
              <w:spacing w:after="0"/>
              <w:rPr>
                <w:sz w:val="20"/>
                <w:szCs w:val="20"/>
                <w:color w:val="auto"/>
              </w:rPr>
            </w:pPr>
            <w:r>
              <w:rPr>
                <w:rFonts w:ascii="Arial" w:cs="Arial" w:eastAsia="Arial" w:hAnsi="Arial"/>
                <w:sz w:val="18"/>
                <w:szCs w:val="18"/>
                <w:color w:val="auto"/>
              </w:rPr>
              <w:t>revenues</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592,256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517,474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1,129,293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956,343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Satellite services</w:t>
            </w:r>
          </w:p>
        </w:tc>
        <w:tc>
          <w:tcPr>
            <w:tcW w:w="880" w:type="dxa"/>
            <w:vAlign w:val="bottom"/>
            <w:gridSpan w:val="2"/>
          </w:tcPr>
          <w:p>
            <w:pPr>
              <w:jc w:val="right"/>
              <w:ind w:right="28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5,118</w:t>
            </w:r>
          </w:p>
        </w:tc>
        <w:tc>
          <w:tcPr>
            <w:tcW w:w="120" w:type="dxa"/>
            <w:vAlign w:val="bottom"/>
          </w:tcPr>
          <w:p>
            <w:pPr>
              <w:spacing w:after="0"/>
              <w:rPr>
                <w:sz w:val="18"/>
                <w:szCs w:val="18"/>
                <w:color w:val="auto"/>
              </w:rPr>
            </w:pPr>
          </w:p>
        </w:tc>
        <w:tc>
          <w:tcPr>
            <w:tcW w:w="760" w:type="dxa"/>
            <w:vAlign w:val="bottom"/>
            <w:gridSpan w:val="2"/>
          </w:tcPr>
          <w:p>
            <w:pPr>
              <w:jc w:val="right"/>
              <w:ind w:right="49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(24,839)</w:t>
            </w:r>
          </w:p>
        </w:tc>
        <w:tc>
          <w:tcPr>
            <w:tcW w:w="580" w:type="dxa"/>
            <w:vAlign w:val="bottom"/>
            <w:gridSpan w:val="2"/>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Pr>
          <w:p>
            <w:pPr>
              <w:spacing w:after="0"/>
              <w:rPr>
                <w:sz w:val="18"/>
                <w:szCs w:val="18"/>
                <w:color w:val="auto"/>
              </w:rPr>
            </w:pPr>
          </w:p>
        </w:tc>
        <w:tc>
          <w:tcPr>
            <w:tcW w:w="720" w:type="dxa"/>
            <w:vAlign w:val="bottom"/>
            <w:gridSpan w:val="2"/>
          </w:tcPr>
          <w:p>
            <w:pPr>
              <w:jc w:val="right"/>
              <w:ind w:right="456"/>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networks</w:t>
            </w: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(46,781)</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(39,197)</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(96,642)</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Government systems</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80" w:type="dxa"/>
            <w:vAlign w:val="bottom"/>
            <w:shd w:val="clear" w:color="auto" w:fill="CFF0FC"/>
          </w:tcPr>
          <w:p>
            <w:pPr>
              <w:ind w:left="220"/>
              <w:spacing w:after="0" w:line="194" w:lineRule="exact"/>
              <w:rPr>
                <w:sz w:val="20"/>
                <w:szCs w:val="20"/>
                <w:color w:val="auto"/>
              </w:rPr>
            </w:pPr>
            <w:r>
              <w:rPr>
                <w:rFonts w:ascii="Arial" w:cs="Arial" w:eastAsia="Arial" w:hAnsi="Arial"/>
                <w:sz w:val="18"/>
                <w:szCs w:val="18"/>
                <w:color w:val="auto"/>
              </w:rPr>
              <w:t>Elimination of intersegment</w:t>
            </w:r>
          </w:p>
        </w:tc>
        <w:tc>
          <w:tcPr>
            <w:tcW w:w="4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profits</w:t>
            </w: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3300" w:type="dxa"/>
            <w:vAlign w:val="bottom"/>
            <w:gridSpan w:val="2"/>
          </w:tcPr>
          <w:p>
            <w:pPr>
              <w:spacing w:after="0" w:line="187" w:lineRule="exact"/>
              <w:rPr>
                <w:sz w:val="20"/>
                <w:szCs w:val="20"/>
                <w:color w:val="auto"/>
              </w:rPr>
            </w:pPr>
            <w:r>
              <w:rPr>
                <w:rFonts w:ascii="Arial" w:cs="Arial" w:eastAsia="Arial" w:hAnsi="Arial"/>
                <w:sz w:val="18"/>
                <w:szCs w:val="18"/>
                <w:color w:val="auto"/>
              </w:rPr>
              <w:t>Segment operating profit (loss)</w:t>
            </w:r>
          </w:p>
        </w:tc>
        <w:tc>
          <w:tcPr>
            <w:tcW w:w="4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140"/>
              <w:spacing w:after="0" w:line="202" w:lineRule="exact"/>
              <w:rPr>
                <w:sz w:val="20"/>
                <w:szCs w:val="20"/>
                <w:color w:val="auto"/>
              </w:rPr>
            </w:pPr>
            <w:r>
              <w:rPr>
                <w:rFonts w:ascii="Arial" w:cs="Arial" w:eastAsia="Arial" w:hAnsi="Arial"/>
                <w:sz w:val="18"/>
                <w:szCs w:val="18"/>
                <w:color w:val="auto"/>
              </w:rPr>
              <w:t>before corporate and amortization</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tcPr>
          <w:p>
            <w:pPr>
              <w:ind w:left="140"/>
              <w:spacing w:after="0"/>
              <w:rPr>
                <w:sz w:val="20"/>
                <w:szCs w:val="20"/>
                <w:color w:val="auto"/>
              </w:rPr>
            </w:pPr>
            <w:r>
              <w:rPr>
                <w:rFonts w:ascii="Arial" w:cs="Arial" w:eastAsia="Arial" w:hAnsi="Arial"/>
                <w:sz w:val="18"/>
                <w:szCs w:val="18"/>
                <w:color w:val="auto"/>
              </w:rPr>
              <w:t>of acquired intangible assets</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(19,136)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80" w:type="dxa"/>
            <w:vAlign w:val="bottom"/>
          </w:tcPr>
          <w:p>
            <w:pPr>
              <w:ind w:left="220"/>
              <w:spacing w:after="0" w:line="194" w:lineRule="exact"/>
              <w:rPr>
                <w:sz w:val="20"/>
                <w:szCs w:val="20"/>
                <w:color w:val="auto"/>
              </w:rPr>
            </w:pPr>
            <w:r>
              <w:rPr>
                <w:rFonts w:ascii="Arial" w:cs="Arial" w:eastAsia="Arial" w:hAnsi="Arial"/>
                <w:sz w:val="18"/>
                <w:szCs w:val="18"/>
                <w:color w:val="auto"/>
              </w:rPr>
              <w:t>Amortization of acquired</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8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(76,050)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0" w:firstLine="518"/>
        <w:spacing w:after="0" w:line="24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September 30, 2019 and March 31, 2019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17"/>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97"/>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March 31,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80,715</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85,907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2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179,938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183,200</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27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440,154</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408,422</w:t>
            </w:r>
          </w:p>
        </w:tc>
        <w:tc>
          <w:tcPr>
            <w:tcW w:w="80" w:type="dxa"/>
            <w:vAlign w:val="bottom"/>
            <w:tcBorders>
              <w:bottom w:val="single" w:sz="8" w:color="CFF0F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2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700,807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677,529</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27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3,666,244</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3,237,758</w:t>
            </w:r>
          </w:p>
        </w:tc>
        <w:tc>
          <w:tcPr>
            <w:tcW w:w="80" w:type="dxa"/>
            <w:vAlign w:val="bottom"/>
            <w:tcBorders>
              <w:bottom w:val="single" w:sz="8" w:color="CFF0F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7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4,367,051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80" w:type="dxa"/>
            <w:vAlign w:val="bottom"/>
            <w:tcBorders>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780" w:type="dxa"/>
            <w:vAlign w:val="bottom"/>
            <w:vMerge w:val="restart"/>
          </w:tcPr>
          <w:p>
            <w:pPr>
              <w:jc w:val="right"/>
              <w:ind w:right="1250"/>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16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ind w:right="240" w:firstLine="518"/>
        <w:spacing w:after="0" w:line="276" w:lineRule="auto"/>
        <w:rPr>
          <w:sz w:val="20"/>
          <w:szCs w:val="20"/>
          <w:color w:val="auto"/>
        </w:rPr>
      </w:pPr>
      <w:r>
        <w:rPr>
          <w:rFonts w:ascii="Arial" w:cs="Arial" w:eastAsia="Arial" w:hAnsi="Arial"/>
          <w:sz w:val="18"/>
          <w:szCs w:val="18"/>
          <w:color w:val="auto"/>
        </w:rPr>
        <w:t>Other acquired intangible assets, net and goodwill included in segment assets as of September 30, 2019 and March 31, 2019 were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4"/>
          </w:tcPr>
          <w:p>
            <w:pPr>
              <w:jc w:val="right"/>
              <w:ind w:right="618"/>
              <w:spacing w:after="0"/>
              <w:rPr>
                <w:sz w:val="20"/>
                <w:szCs w:val="20"/>
                <w:color w:val="auto"/>
              </w:rPr>
            </w:pPr>
            <w:r>
              <w:rPr>
                <w:rFonts w:ascii="Arial" w:cs="Arial" w:eastAsia="Arial" w:hAnsi="Arial"/>
                <w:sz w:val="14"/>
                <w:szCs w:val="14"/>
                <w:b w:val="1"/>
                <w:bCs w:val="1"/>
                <w:color w:val="auto"/>
              </w:rPr>
              <w:t>Other Acquired Intangible</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1098"/>
              <w:spacing w:after="0"/>
              <w:rPr>
                <w:sz w:val="20"/>
                <w:szCs w:val="20"/>
                <w:color w:val="auto"/>
              </w:rPr>
            </w:pPr>
            <w:r>
              <w:rPr>
                <w:rFonts w:ascii="Arial" w:cs="Arial" w:eastAsia="Arial" w:hAnsi="Arial"/>
                <w:sz w:val="14"/>
                <w:szCs w:val="14"/>
                <w:b w:val="1"/>
                <w:bCs w:val="1"/>
                <w:color w:val="auto"/>
              </w:rPr>
              <w:t>Assets, Net</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Goodwill</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2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478"/>
              <w:spacing w:after="0" w:line="154"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478"/>
              <w:spacing w:after="0" w:line="154"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tcPr>
          <w:p>
            <w:pPr>
              <w:jc w:val="center"/>
              <w:ind w:right="680"/>
              <w:spacing w:after="0" w:line="154" w:lineRule="exact"/>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36"/>
              <w:spacing w:after="0" w:line="154"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3"/>
                <w:szCs w:val="13"/>
                <w:color w:val="auto"/>
              </w:rPr>
            </w:pPr>
          </w:p>
        </w:tc>
      </w:tr>
      <w:tr>
        <w:trPr>
          <w:trHeight w:val="177"/>
        </w:trPr>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158"/>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15"/>
                <w:szCs w:val="15"/>
                <w:color w:val="auto"/>
              </w:rPr>
            </w:pP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3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10,453</w:t>
            </w:r>
          </w:p>
        </w:tc>
        <w:tc>
          <w:tcPr>
            <w:tcW w:w="66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13,535</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13,617</w:t>
            </w:r>
          </w:p>
        </w:tc>
        <w:tc>
          <w:tcPr>
            <w:tcW w:w="100" w:type="dxa"/>
            <w:vAlign w:val="bottom"/>
            <w:shd w:val="clear" w:color="auto" w:fill="CFF0FC"/>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Commercial networks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43,933</w:t>
            </w:r>
          </w:p>
        </w:tc>
        <w:tc>
          <w:tcPr>
            <w:tcW w:w="100" w:type="dxa"/>
            <w:vAlign w:val="bottom"/>
          </w:tcPr>
          <w:p>
            <w:pPr>
              <w:spacing w:after="0"/>
              <w:rPr>
                <w:sz w:val="18"/>
                <w:szCs w:val="18"/>
                <w:color w:val="auto"/>
              </w:rPr>
            </w:pP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0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8,389</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w:t>
            </w:r>
          </w:p>
        </w:tc>
        <w:tc>
          <w:tcPr>
            <w:tcW w:w="20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63,743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shd w:val="clear" w:color="auto" w:fill="CFF0FC"/>
          </w:tcPr>
          <w:p>
            <w:pPr>
              <w:spacing w:after="0"/>
              <w:rPr>
                <w:sz w:val="18"/>
                <w:szCs w:val="18"/>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22,301</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121,223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121,719</w:t>
            </w:r>
          </w:p>
        </w:tc>
        <w:tc>
          <w:tcPr>
            <w:tcW w:w="100" w:type="dxa"/>
            <w:vAlign w:val="bottom"/>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acquired intangible assets by segment for the three and six months ended September 30, 2019 and 2018 was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3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4"/>
                <w:szCs w:val="14"/>
                <w:color w:val="auto"/>
              </w:rPr>
            </w:pPr>
          </w:p>
        </w:tc>
      </w:tr>
      <w:tr>
        <w:trPr>
          <w:trHeight w:val="169"/>
        </w:trPr>
        <w:tc>
          <w:tcPr>
            <w:tcW w:w="3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1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98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86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networks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70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FF0FC"/>
          </w:tcPr>
          <w:p>
            <w:pPr>
              <w:spacing w:after="0"/>
              <w:rPr>
                <w:sz w:val="18"/>
                <w:szCs w:val="18"/>
                <w:color w:val="auto"/>
              </w:rPr>
            </w:pPr>
          </w:p>
        </w:tc>
      </w:tr>
      <w:tr>
        <w:trPr>
          <w:trHeight w:val="187"/>
        </w:trPr>
        <w:tc>
          <w:tcPr>
            <w:tcW w:w="3040" w:type="dxa"/>
            <w:vAlign w:val="bottom"/>
          </w:tcPr>
          <w:p>
            <w:pPr>
              <w:spacing w:after="0" w:line="187" w:lineRule="exact"/>
              <w:rPr>
                <w:sz w:val="20"/>
                <w:szCs w:val="20"/>
                <w:color w:val="auto"/>
              </w:rPr>
            </w:pPr>
            <w:r>
              <w:rPr>
                <w:rFonts w:ascii="Arial" w:cs="Arial" w:eastAsia="Arial" w:hAnsi="Arial"/>
                <w:sz w:val="18"/>
                <w:szCs w:val="18"/>
                <w:color w:val="auto"/>
              </w:rPr>
              <w:t>Total amortization of acquired</w:t>
            </w: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04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2,027</w:t>
            </w:r>
          </w:p>
        </w:tc>
        <w:tc>
          <w:tcPr>
            <w:tcW w:w="98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2,435</w:t>
            </w:r>
          </w:p>
        </w:tc>
        <w:tc>
          <w:tcPr>
            <w:tcW w:w="8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4,064</w:t>
            </w:r>
          </w:p>
        </w:tc>
        <w:tc>
          <w:tcPr>
            <w:tcW w:w="200" w:type="dxa"/>
            <w:vAlign w:val="bottom"/>
          </w:tcPr>
          <w:p>
            <w:pPr>
              <w:spacing w:after="0"/>
              <w:rPr>
                <w:sz w:val="19"/>
                <w:szCs w:val="19"/>
                <w:color w:val="auto"/>
              </w:rPr>
            </w:pP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3" w:name="page34"/>
    <w:bookmarkEnd w:id="33"/>
    <w:p>
      <w:pPr>
        <w:ind w:right="3140"/>
        <w:spacing w:after="0" w:line="32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518"/>
        <w:spacing w:after="0" w:line="236"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the number of in-flight connectivity (IFC) systems expected to be installed under existing contracts with commercial airlines;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2019,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65"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We are an innovator in communications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military tactical data link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Satellite Services</w:t>
      </w:r>
    </w:p>
    <w:p>
      <w:pPr>
        <w:spacing w:after="0" w:line="79" w:lineRule="exact"/>
        <w:rPr>
          <w:sz w:val="20"/>
          <w:szCs w:val="20"/>
          <w:color w:val="auto"/>
        </w:rPr>
      </w:pPr>
    </w:p>
    <w:p>
      <w:pPr>
        <w:ind w:right="20" w:firstLine="518"/>
        <w:spacing w:after="0" w:line="243"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with multiple applications to consumers, enterprises and mobile broadband customers (including commercial airlines and maritime vessels) both in the United States and abroad. Our Viasat Internet and Viasat Business Internet fixed broadband services offer high-speed, high-quality broadband internet access. For commercial aircraft, we offer high-speed internet and other in-flight services, including our wireless in-flight entertainment (W-IFE) platform. Our Community and Urban Wi-Fi hotspot services provide satellite-powered Wi-Fi to rural, suburban and urban areas in a number of countries in the Americas.</w:t>
      </w:r>
    </w:p>
    <w:p>
      <w:pPr>
        <w:spacing w:after="0" w:line="120" w:lineRule="exact"/>
        <w:rPr>
          <w:sz w:val="20"/>
          <w:szCs w:val="20"/>
          <w:color w:val="auto"/>
        </w:rPr>
      </w:pPr>
    </w:p>
    <w:p>
      <w:pPr>
        <w:ind w:firstLine="518"/>
        <w:spacing w:after="0" w:line="243" w:lineRule="auto"/>
        <w:rPr>
          <w:sz w:val="20"/>
          <w:szCs w:val="20"/>
          <w:color w:val="auto"/>
        </w:rPr>
      </w:pPr>
      <w:r>
        <w:rPr>
          <w:rFonts w:ascii="Arial" w:cs="Arial" w:eastAsia="Arial" w:hAnsi="Arial"/>
          <w:sz w:val="18"/>
          <w:szCs w:val="18"/>
          <w:color w:val="auto"/>
        </w:rPr>
        <w:t>Our proprietary Ka-band satellites are at the core of our technology platform. We own three Ka-band satellites in service: ViaSat-2 (our second-generation high-capacity Ka-band spot beam satellite, which was placed into service in the fourth quarter of fiscal year 2018), ViaSat-1 (our first-generation high-capacity Ka-band spot-beam satellite, which was placed into service in January 2012), and WildBlue-1 (which was placed into service in March 2007) and have lifetime leases of Ka-band capacity on two satellites. We also have two third-generation ViaSat-3 class satellites that have entered the phase of full construction. In July 2019, we entered into an agreement with The Boeing Company (Boeing) for the construction and purchase of a third ViaSat-3 class satellite and the integration of Viasat’s payload technologies into the satellite.</w:t>
      </w:r>
    </w:p>
    <w:p>
      <w:pPr>
        <w:spacing w:after="0" w:line="120" w:lineRule="exact"/>
        <w:rPr>
          <w:sz w:val="20"/>
          <w:szCs w:val="20"/>
          <w:color w:val="auto"/>
        </w:rPr>
      </w:pPr>
    </w:p>
    <w:p>
      <w:pPr>
        <w:ind w:right="60" w:firstLine="518"/>
        <w:spacing w:after="0" w:line="241" w:lineRule="auto"/>
        <w:rPr>
          <w:sz w:val="20"/>
          <w:szCs w:val="20"/>
          <w:color w:val="auto"/>
        </w:rPr>
      </w:pPr>
      <w:r>
        <w:rPr>
          <w:rFonts w:ascii="Arial" w:cs="Arial" w:eastAsia="Arial" w:hAnsi="Arial"/>
          <w:sz w:val="18"/>
          <w:szCs w:val="18"/>
          <w:color w:val="auto"/>
        </w:rPr>
        <w:t>In the fourth quarter of fiscal year 2018, shortly before the launch of commercial broadband services on our ViaSat-2 satellite, we reported an antenna deployment issue. We worked with the satellite manufacturer to determine the root cause of the antenna deployment issue, potential correcting measures, and resulting damage. In fiscal year 2019, we filed insurance claims for resulting damages and collected most of the claims. Pursuant to the terms of our direct loan facility with the Export-Import Bank of the United States (the Ex-Im Credit Facility) used to finance the ViaSat-2 satellite, insurance proceeds received from such claims were used to pay down outstanding borrowings under the Ex-Im Credit Facility (see Note 1 — Basis of Presentation – Property, equipment and satellites to our condensed consolidated financial statements for additional information).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04" w:lineRule="exact"/>
        <w:rPr>
          <w:sz w:val="20"/>
          <w:szCs w:val="20"/>
          <w:color w:val="auto"/>
        </w:rPr>
      </w:pPr>
    </w:p>
    <w:p>
      <w:pPr>
        <w:ind w:left="1040" w:right="20" w:hanging="519"/>
        <w:spacing w:after="0" w:line="248"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Fixed broadband services, which provide consumers and businesses with high-speed broadband internet access and Voice over Internet Protocol (VoIP) services. As of September 30, 2019, we provided fixed broadband services to approximately 587,000 U.S. subscribers. In addition, since launch, our satellite-powered Community and Urban Wi-Fi services have reached more than 1.8 million people living and working in thousands of rural, suburban and urban communities in Mexico.</w:t>
      </w:r>
    </w:p>
    <w:p>
      <w:pPr>
        <w:spacing w:after="0" w:line="62" w:lineRule="exact"/>
        <w:rPr>
          <w:rFonts w:ascii="Times New Roman" w:cs="Times New Roman" w:eastAsia="Times New Roman" w:hAnsi="Times New Roman"/>
          <w:sz w:val="18"/>
          <w:szCs w:val="18"/>
          <w:color w:val="auto"/>
        </w:rPr>
      </w:pPr>
    </w:p>
    <w:p>
      <w:pPr>
        <w:ind w:left="1040" w:right="200" w:hanging="519"/>
        <w:spacing w:after="0" w:line="275"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In-flight services including our flagship Viasat in-flight internet, W-IFE and aviation software services. As of September 30, 2019, 1,353 commercial aircraft were in service receiving our in-flight services through our IFC systems.</w:t>
      </w:r>
    </w:p>
    <w:p>
      <w:pPr>
        <w:spacing w:after="0" w:line="37" w:lineRule="exact"/>
        <w:rPr>
          <w:rFonts w:ascii="Times New Roman" w:cs="Times New Roman" w:eastAsia="Times New Roman" w:hAnsi="Times New Roman"/>
          <w:sz w:val="18"/>
          <w:szCs w:val="18"/>
          <w:color w:val="auto"/>
        </w:rPr>
      </w:pPr>
    </w:p>
    <w:p>
      <w:pPr>
        <w:ind w:left="1040" w:right="820" w:hanging="519"/>
        <w:spacing w:after="0" w:line="275"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92" w:lineRule="exact"/>
        <w:rPr>
          <w:sz w:val="20"/>
          <w:szCs w:val="20"/>
          <w:color w:val="auto"/>
        </w:rPr>
      </w:pPr>
    </w:p>
    <w:p>
      <w:pPr>
        <w:ind w:right="220" w:firstLine="518"/>
        <w:spacing w:after="0" w:line="276" w:lineRule="auto"/>
        <w:rPr>
          <w:sz w:val="20"/>
          <w:szCs w:val="20"/>
          <w:color w:val="auto"/>
        </w:rPr>
      </w:pPr>
      <w:r>
        <w:rPr>
          <w:rFonts w:ascii="Arial" w:cs="Arial" w:eastAsia="Arial" w:hAnsi="Arial"/>
          <w:sz w:val="18"/>
          <w:szCs w:val="18"/>
          <w:color w:val="auto"/>
        </w:rPr>
        <w:t>We also offer a variety of other broadband services and capabilities, including live on-line event streaming and oil and natural gas data gathering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65"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Application-Specific Integrated Circuit (ASIC) chip design. Our products, systems and solutions, which are generally developed through a combination of customer and discretionary internal independent research and development (IR&amp;D)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68" w:lineRule="exact"/>
        <w:rPr>
          <w:sz w:val="20"/>
          <w:szCs w:val="20"/>
          <w:color w:val="auto"/>
        </w:rPr>
      </w:pPr>
    </w:p>
    <w:p>
      <w:pPr>
        <w:ind w:left="5620" w:right="2260" w:hanging="5099"/>
        <w:spacing w:after="0" w:line="541"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Mobile broadband satellite communication systems, designed for use in aircraft and seagoing vessels.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5" w:name="page36"/>
    <w:bookmarkEnd w:id="35"/>
    <w:p>
      <w:pPr>
        <w:ind w:left="1040" w:right="660" w:hanging="519"/>
        <w:spacing w:after="0" w:line="275"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37" w:lineRule="exact"/>
        <w:rPr>
          <w:rFonts w:ascii="Times New Roman" w:cs="Times New Roman" w:eastAsia="Times New Roman" w:hAnsi="Times New Roman"/>
          <w:sz w:val="18"/>
          <w:szCs w:val="18"/>
          <w:color w:val="auto"/>
        </w:rPr>
      </w:pPr>
    </w:p>
    <w:p>
      <w:pPr>
        <w:ind w:left="1040" w:right="60" w:hanging="519"/>
        <w:spacing w:after="0" w:line="275"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37" w:lineRule="exact"/>
        <w:rPr>
          <w:rFonts w:ascii="Times New Roman" w:cs="Times New Roman" w:eastAsia="Times New Roman" w:hAnsi="Times New Roman"/>
          <w:sz w:val="18"/>
          <w:szCs w:val="18"/>
          <w:color w:val="auto"/>
        </w:rPr>
      </w:pPr>
    </w:p>
    <w:p>
      <w:pPr>
        <w:ind w:left="1040" w:right="420" w:hanging="519"/>
        <w:spacing w:after="0" w:line="248"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Monolithic Microwave Integrated Circuit (MMIC) chips and network function virtualization, as well as modules and subsystems for various commercial, military and space uses and radio frequency and advanced microwave solutions.</w:t>
      </w:r>
    </w:p>
    <w:p>
      <w:pPr>
        <w:spacing w:after="0" w:line="61" w:lineRule="exact"/>
        <w:rPr>
          <w:rFonts w:ascii="Times New Roman" w:cs="Times New Roman" w:eastAsia="Times New Roman" w:hAnsi="Times New Roman"/>
          <w:sz w:val="18"/>
          <w:szCs w:val="18"/>
          <w:color w:val="auto"/>
        </w:rPr>
      </w:pPr>
    </w:p>
    <w:p>
      <w:pPr>
        <w:ind w:left="1040" w:right="220" w:hanging="519"/>
        <w:spacing w:after="0" w:line="275"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Space systems, including the design and development of high-capacity Ka-band satellites for our own satellite fleet and for third parties, including development and production of the associated satellite payload technologies.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65"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Our government systems products and solutions are designed to enable the collection and dissemination of secure real-time digital information and intelligence between individuals on the tactical edge, in command centers, leveraging strategic communications nodes, and those individuals on the ground, in the air or on a maritime platform. Customers of our government systems segment include the U.S. Department of Defense, those serving the Five Eye (FVEY) intelligence alliance (Australia, Canada, New Zealand, the United Kingdom and the United States), allied foreign governments, allied armed forces, public safety first-responders and remote government employees.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04" w:lineRule="exact"/>
        <w:rPr>
          <w:sz w:val="20"/>
          <w:szCs w:val="20"/>
          <w:color w:val="auto"/>
        </w:rPr>
      </w:pPr>
    </w:p>
    <w:p>
      <w:pPr>
        <w:jc w:val="both"/>
        <w:ind w:left="1040" w:right="260" w:hanging="519"/>
        <w:spacing w:after="0" w:line="255"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w:t>
      </w:r>
    </w:p>
    <w:p>
      <w:pPr>
        <w:spacing w:after="0" w:line="55" w:lineRule="exact"/>
        <w:rPr>
          <w:rFonts w:ascii="Times New Roman" w:cs="Times New Roman" w:eastAsia="Times New Roman" w:hAnsi="Times New Roman"/>
          <w:sz w:val="18"/>
          <w:szCs w:val="18"/>
          <w:color w:val="auto"/>
        </w:rPr>
      </w:pPr>
    </w:p>
    <w:p>
      <w:pPr>
        <w:ind w:left="1040" w:right="360" w:hanging="519"/>
        <w:spacing w:after="0" w:line="245"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and include products designed for manpacks, aircraft, unmanned aerial vehicles (UAVs), seagoing vessels, ground-mobile vehicles and fixed applications.</w:t>
      </w:r>
    </w:p>
    <w:p>
      <w:pPr>
        <w:spacing w:after="0" w:line="63" w:lineRule="exact"/>
        <w:rPr>
          <w:rFonts w:ascii="Times New Roman" w:cs="Times New Roman" w:eastAsia="Times New Roman" w:hAnsi="Times New Roman"/>
          <w:sz w:val="18"/>
          <w:szCs w:val="18"/>
          <w:color w:val="auto"/>
        </w:rPr>
      </w:pPr>
    </w:p>
    <w:p>
      <w:pPr>
        <w:jc w:val="both"/>
        <w:ind w:left="1040" w:right="120" w:hanging="519"/>
        <w:spacing w:after="0" w:line="255"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55" w:lineRule="exact"/>
        <w:rPr>
          <w:rFonts w:ascii="Times New Roman" w:cs="Times New Roman" w:eastAsia="Times New Roman" w:hAnsi="Times New Roman"/>
          <w:sz w:val="18"/>
          <w:szCs w:val="18"/>
          <w:color w:val="auto"/>
        </w:rPr>
      </w:pPr>
    </w:p>
    <w:p>
      <w:pPr>
        <w:ind w:left="1040" w:hanging="519"/>
        <w:spacing w:after="0" w:line="248"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Tactical data links, including our Battlefield Awareness and Targeting System — Dismounted (BATS-D) AN/PRC-161 handheld Link 16 radios, our Small Tactical Terminal (STT) KOR-24A 2-channel radios for manned and unmanned applications, “disposable” defense data links, our Multifunctional Information Distribution System (MIDS) terminals for military fighter jets and their successor, MIDS Joint Tactical Radio System (MIDS-JTRS).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65" w:lineRule="exact"/>
        <w:rPr>
          <w:sz w:val="20"/>
          <w:szCs w:val="20"/>
          <w:color w:val="auto"/>
        </w:rPr>
      </w:pPr>
    </w:p>
    <w:p>
      <w:pPr>
        <w:ind w:right="300" w:firstLine="518"/>
        <w:spacing w:after="0" w:line="27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(including services using our IFC systems and W-IFE platform) and worldwide managed network services.</w:t>
      </w:r>
    </w:p>
    <w:p>
      <w:pPr>
        <w:spacing w:after="0" w:line="91" w:lineRule="exact"/>
        <w:rPr>
          <w:sz w:val="20"/>
          <w:szCs w:val="20"/>
          <w:color w:val="auto"/>
        </w:rPr>
      </w:pPr>
    </w:p>
    <w:p>
      <w:pPr>
        <w:ind w:right="140" w:firstLine="518"/>
        <w:spacing w:after="0" w:line="241"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89% and 90% of our total revenues for these segments for the three months ended September 30, 2019 and 2018, respectively, and approximately 88% and 89% of our total revenues for these segments for the six months ended September 30, 2019 and 2018,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sectPr>
      </w:pPr>
    </w:p>
    <w:bookmarkStart w:id="36" w:name="page37"/>
    <w:bookmarkEnd w:id="36"/>
    <w:p>
      <w:pPr>
        <w:ind w:right="140"/>
        <w:spacing w:after="0" w:line="276" w:lineRule="auto"/>
        <w:rPr>
          <w:sz w:val="20"/>
          <w:szCs w:val="20"/>
          <w:color w:val="auto"/>
        </w:rPr>
      </w:pPr>
      <w:r>
        <w:rPr>
          <w:rFonts w:ascii="Arial" w:cs="Arial" w:eastAsia="Arial" w:hAnsi="Arial"/>
          <w:sz w:val="18"/>
          <w:szCs w:val="18"/>
          <w:color w:val="auto"/>
        </w:rPr>
        <w:t>from time-and-materials contracts (which reimburse us for the number of labor hours expended at an established hourly rate negotiated in the contract, plus the cost of materials utilized in providing such products or services).</w:t>
      </w:r>
    </w:p>
    <w:p>
      <w:pPr>
        <w:spacing w:after="0" w:line="91" w:lineRule="exact"/>
        <w:rPr>
          <w:sz w:val="20"/>
          <w:szCs w:val="20"/>
          <w:color w:val="auto"/>
        </w:rPr>
      </w:pPr>
    </w:p>
    <w:p>
      <w:pPr>
        <w:ind w:firstLine="518"/>
        <w:spacing w:after="0" w:line="24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17" w:lineRule="exact"/>
        <w:rPr>
          <w:sz w:val="20"/>
          <w:szCs w:val="20"/>
          <w:color w:val="auto"/>
        </w:rPr>
      </w:pPr>
    </w:p>
    <w:p>
      <w:pPr>
        <w:ind w:right="100" w:firstLine="518"/>
        <w:spacing w:after="0" w:line="243"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22% and 17% of our total revenues for the three months ended September 30, 2019 and 2018, respectively, and approximately 23% and 17% of our total revenues for the six months ended September 30, 2019 and 2018, respectively.</w:t>
      </w:r>
    </w:p>
    <w:p>
      <w:pPr>
        <w:spacing w:after="0" w:line="120" w:lineRule="exact"/>
        <w:rPr>
          <w:sz w:val="20"/>
          <w:szCs w:val="20"/>
          <w:color w:val="auto"/>
        </w:rPr>
      </w:pPr>
    </w:p>
    <w:p>
      <w:pPr>
        <w:ind w:right="100" w:firstLine="518"/>
        <w:spacing w:after="0" w:line="245"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research and development (R&amp;D) projects. IR&amp;D expenses were approximately 6% of total revenues during the three months ended September 30, 2019 and 2018, and approximately 6% and 7% of total revenues during the six months ended September 30, 2019 and 2018, respectively. As a government contractor, we are able to recover a portion of our IR&amp;D expenses pursuant to our government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79"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3" w:lineRule="exact"/>
        <w:rPr>
          <w:sz w:val="20"/>
          <w:szCs w:val="20"/>
          <w:color w:val="auto"/>
        </w:rPr>
      </w:pPr>
    </w:p>
    <w:p>
      <w:pPr>
        <w:ind w:right="120" w:firstLine="518"/>
        <w:spacing w:after="0" w:line="24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w:t>
      </w:r>
    </w:p>
    <w:p>
      <w:pPr>
        <w:spacing w:after="0" w:line="1" w:lineRule="exact"/>
        <w:rPr>
          <w:sz w:val="20"/>
          <w:szCs w:val="20"/>
          <w:color w:val="auto"/>
        </w:rPr>
      </w:pPr>
    </w:p>
    <w:p>
      <w:pPr>
        <w:ind w:right="300" w:firstLine="8"/>
        <w:spacing w:after="0" w:line="239"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63"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 xml:space="preserve">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Basis of Presentation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our condensed consolidated financial statements, for broadband equipment leased to consumer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37" w:name="page38"/>
    <w:bookmarkEnd w:id="37"/>
    <w:p>
      <w:pPr>
        <w:ind w:firstLine="518"/>
        <w:spacing w:after="0" w:line="241"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6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70"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September 30, 2019 would change our income (loss) before income taxes by an insignificant amount.</w:t>
      </w:r>
    </w:p>
    <w:p>
      <w:pPr>
        <w:spacing w:after="0" w:line="164"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38" w:name="page39"/>
    <w:bookmarkEnd w:id="38"/>
    <w:p>
      <w:pPr>
        <w:ind w:right="180" w:firstLine="518"/>
        <w:spacing w:after="0" w:line="243"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77" w:lineRule="exact"/>
        <w:rPr>
          <w:sz w:val="20"/>
          <w:szCs w:val="20"/>
          <w:color w:val="auto"/>
        </w:rPr>
      </w:pPr>
    </w:p>
    <w:p>
      <w:pPr>
        <w:ind w:right="40" w:firstLine="518"/>
        <w:spacing w:after="0" w:line="241"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3"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22"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and have lifetime leases of Ka-band capacity on two satellites. We also have two third-generation ViaSat-3 class satellites that have entered the phase of full construction. In July 2019, we entered into an agreement with Boeing for the construction and purchase of a third ViaSat-3 class satellite and the integration of Viasat’s payload technologies into the satellite. In addition, we own related earth stations and networking equipment for all of our satellites. Property, equipment and satellites, net also includes the CPE units leased to subscribers under a retail leasing program as part of our satellite services segment.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63"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We assess at contract inception whether the contract is, or contains, a lease. Generally, we determine that a lease exists when (i) the contract involves the use of a distinct identified asset, (ii) we obtain the right to substantially all economic benefits from use of the asset, and (iii) we have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9" w:name="page40"/>
    <w:bookmarkEnd w:id="39"/>
    <w:p>
      <w:pPr>
        <w:ind w:right="40" w:firstLine="518"/>
        <w:spacing w:after="0" w:line="241" w:lineRule="auto"/>
        <w:rPr>
          <w:sz w:val="20"/>
          <w:szCs w:val="20"/>
          <w:color w:val="auto"/>
        </w:rPr>
      </w:pPr>
      <w:r>
        <w:rPr>
          <w:rFonts w:ascii="Arial" w:cs="Arial" w:eastAsia="Arial" w:hAnsi="Arial"/>
          <w:sz w:val="18"/>
          <w:szCs w:val="18"/>
          <w:color w:val="auto"/>
        </w:rPr>
        <w:t>Starting with April 1, 2019, 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25"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18" w:lineRule="exact"/>
        <w:rPr>
          <w:sz w:val="20"/>
          <w:szCs w:val="20"/>
          <w:color w:val="auto"/>
        </w:rPr>
      </w:pPr>
    </w:p>
    <w:p>
      <w:pPr>
        <w:ind w:right="40" w:firstLine="518"/>
        <w:spacing w:after="0" w:line="24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17" w:lineRule="exact"/>
        <w:rPr>
          <w:sz w:val="20"/>
          <w:szCs w:val="20"/>
          <w:color w:val="auto"/>
        </w:rPr>
      </w:pPr>
    </w:p>
    <w:p>
      <w:pPr>
        <w:ind w:right="140" w:firstLine="518"/>
        <w:spacing w:after="0" w:line="245" w:lineRule="auto"/>
        <w:rPr>
          <w:sz w:val="20"/>
          <w:szCs w:val="20"/>
          <w:color w:val="auto"/>
        </w:rPr>
      </w:pPr>
      <w:r>
        <w:rPr>
          <w:rFonts w:ascii="Arial" w:cs="Arial" w:eastAsia="Arial" w:hAnsi="Arial"/>
          <w:sz w:val="18"/>
          <w:szCs w:val="18"/>
          <w:color w:val="auto"/>
        </w:rPr>
        <w:t>For broadband equipment leased to consumer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77"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September 30, 2019 and 2018.</w:t>
      </w:r>
    </w:p>
    <w:p>
      <w:pPr>
        <w:spacing w:after="0" w:line="127"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27"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0" w:name="page41"/>
    <w:bookmarkEnd w:id="40"/>
    <w:p>
      <w:pPr>
        <w:ind w:right="40" w:firstLine="518"/>
        <w:spacing w:after="0" w:line="255" w:lineRule="auto"/>
        <w:rPr>
          <w:sz w:val="20"/>
          <w:szCs w:val="20"/>
          <w:color w:val="auto"/>
        </w:rPr>
      </w:pPr>
      <w:r>
        <w:rPr>
          <w:rFonts w:ascii="Arial" w:cs="Arial" w:eastAsia="Arial" w:hAnsi="Arial"/>
          <w:sz w:val="18"/>
          <w:szCs w:val="18"/>
          <w:color w:val="auto"/>
        </w:rPr>
        <w:t>Based on our qualitative assessment performed during the fourth quarter of fiscal year 2019, we concluded that it was more likely than not that the estimated fair value of our reporting units exceeded their carrying value as of March 31, 2019 and, therefore, determined it was not necessary to perform the two-step goodwill impairment test.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77"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$33.5 million at March 31, 2019 to $38.9 million at September 30, 2019. The valuation allowance relates to state and foreign net operating loss carryforwards, state R&amp;D tax credit carryforwards and foreign tax credit carryforwards.</w:t>
      </w:r>
    </w:p>
    <w:p>
      <w:pPr>
        <w:spacing w:after="0" w:line="127" w:lineRule="exact"/>
        <w:rPr>
          <w:sz w:val="20"/>
          <w:szCs w:val="20"/>
          <w:color w:val="auto"/>
        </w:rPr>
      </w:pPr>
    </w:p>
    <w:p>
      <w:pPr>
        <w:ind w:right="40" w:firstLine="518"/>
        <w:spacing w:after="0" w:line="245"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18"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25" w:lineRule="exact"/>
        <w:rPr>
          <w:sz w:val="20"/>
          <w:szCs w:val="20"/>
          <w:color w:val="auto"/>
        </w:rPr>
      </w:pPr>
    </w:p>
    <w:p>
      <w:pPr>
        <w:ind w:right="60" w:firstLine="518"/>
        <w:spacing w:after="0" w:line="243"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81"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00" w:type="dxa"/>
            <w:vAlign w:val="bottom"/>
          </w:tcPr>
          <w:p>
            <w:pPr>
              <w:spacing w:after="0"/>
              <w:rPr>
                <w:sz w:val="15"/>
                <w:szCs w:val="15"/>
                <w:color w:val="auto"/>
              </w:rPr>
            </w:pPr>
          </w:p>
        </w:tc>
        <w:tc>
          <w:tcPr>
            <w:tcW w:w="26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5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154"/>
        </w:trPr>
        <w:tc>
          <w:tcPr>
            <w:tcW w:w="510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320"/>
              <w:spacing w:after="0" w:line="154"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340"/>
              <w:spacing w:after="0" w:line="154" w:lineRule="exact"/>
              <w:rPr>
                <w:sz w:val="20"/>
                <w:szCs w:val="20"/>
                <w:color w:val="auto"/>
              </w:rPr>
            </w:pPr>
            <w:r>
              <w:rPr>
                <w:rFonts w:ascii="Arial" w:cs="Arial" w:eastAsia="Arial" w:hAnsi="Arial"/>
                <w:sz w:val="14"/>
                <w:szCs w:val="14"/>
                <w:b w:val="1"/>
                <w:bCs w:val="1"/>
                <w:color w:val="auto"/>
              </w:rPr>
              <w:t>September 30,</w:t>
            </w:r>
          </w:p>
        </w:tc>
        <w:tc>
          <w:tcPr>
            <w:tcW w:w="10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r>
      <w:tr>
        <w:trPr>
          <w:trHeight w:val="177"/>
        </w:trPr>
        <w:tc>
          <w:tcPr>
            <w:tcW w:w="5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r>
    </w:tbl>
    <w:p>
      <w:pPr>
        <w:spacing w:after="0" w:line="245" w:lineRule="exact"/>
        <w:rPr>
          <w:sz w:val="20"/>
          <w:szCs w:val="20"/>
          <w:color w:val="auto"/>
        </w:rPr>
      </w:pPr>
    </w:p>
    <w:p>
      <w:pPr>
        <w:ind w:right="4040"/>
        <w:spacing w:after="0" w:line="357" w:lineRule="auto"/>
        <w:rPr>
          <w:sz w:val="20"/>
          <w:szCs w:val="20"/>
          <w:color w:val="auto"/>
        </w:rPr>
      </w:pPr>
      <w:r>
        <w:rPr>
          <w:rFonts w:ascii="Arial" w:cs="Arial" w:eastAsia="Arial" w:hAnsi="Arial"/>
          <w:sz w:val="18"/>
          <w:szCs w:val="18"/>
          <w:b w:val="1"/>
          <w:bCs w:val="1"/>
          <w:color w:val="auto"/>
        </w:rPr>
        <w:t xml:space="preserve">Three Months Ended September 30, 2019 vs. Three Months Ended September 30, 2018 </w:t>
      </w:r>
      <w:r>
        <w:rPr>
          <w:rFonts w:ascii="Arial" w:cs="Arial" w:eastAsia="Arial" w:hAnsi="Arial"/>
          <w:sz w:val="18"/>
          <w:szCs w:val="18"/>
          <w:i w:val="1"/>
          <w:iCs w:val="1"/>
          <w:color w:val="auto"/>
        </w:rPr>
        <w:t>Revenues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20%</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180" w:lineRule="exact"/>
        <w:rPr>
          <w:sz w:val="20"/>
          <w:szCs w:val="20"/>
          <w:color w:val="auto"/>
        </w:rPr>
      </w:pPr>
    </w:p>
    <w:p>
      <w:pPr>
        <w:ind w:right="100" w:firstLine="518"/>
        <w:spacing w:after="0" w:line="245" w:lineRule="auto"/>
        <w:rPr>
          <w:sz w:val="20"/>
          <w:szCs w:val="20"/>
          <w:color w:val="auto"/>
        </w:rPr>
      </w:pPr>
      <w:r>
        <w:rPr>
          <w:rFonts w:ascii="Arial" w:cs="Arial" w:eastAsia="Arial" w:hAnsi="Arial"/>
          <w:sz w:val="18"/>
          <w:szCs w:val="18"/>
          <w:color w:val="auto"/>
        </w:rPr>
        <w:t>Our total revenues grew by $74.8 million as a result of a $48.4 million increase in service revenues and a $26.4 million increase in product revenues. The service revenue increase was due to increases of $42.8 million in our satellite services segment, $3.5 million in our commercial networks segment and $2.1 million in our government systems segment. The product revenue increase was driven primarily by an increase of $56.4 million in our government systems segment, partially offset by a decrease in product revenues of $30.0 million in our commercial networks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bl>
    <w:p>
      <w:pPr>
        <w:spacing w:after="0" w:line="180"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Cost of revenues increased by $18.0 million due to increases of $11.8 million in cost of service revenues and $6.2 million in cost of product revenues. The cost of service revenue increase primarily related to increased revenues, mainly from revenue increases in our satellite services segment, causing a $35.8 million increase in cost of service revenues on a constant margin basis. The increase in cost of service revenues was partially offset by improved margins, primarily driven by our fixed broadband services and in-flight internet services in our satellite services segment. The cost of product revenue increase was primarily due to increased revenues, causing a $20.4 million increase in cost of product revenues on a constant margin basis mainly from our government systems segment, partially offset by decreased revenues in our commercial networks segment. The increase in cost of product revenues was partially offset by improved margins, driven primarily by our tactical satcom radio products and government satellite communications systems in our government systems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180" w:lineRule="exact"/>
        <w:rPr>
          <w:sz w:val="20"/>
          <w:szCs w:val="20"/>
          <w:color w:val="auto"/>
        </w:rPr>
      </w:pPr>
    </w:p>
    <w:p>
      <w:pPr>
        <w:ind w:right="40" w:firstLine="518"/>
        <w:spacing w:after="0" w:line="248" w:lineRule="auto"/>
        <w:rPr>
          <w:sz w:val="20"/>
          <w:szCs w:val="20"/>
          <w:color w:val="auto"/>
        </w:rPr>
      </w:pPr>
      <w:r>
        <w:rPr>
          <w:rFonts w:ascii="Arial" w:cs="Arial" w:eastAsia="Arial" w:hAnsi="Arial"/>
          <w:sz w:val="18"/>
          <w:szCs w:val="18"/>
          <w:color w:val="auto"/>
        </w:rPr>
        <w:t>The $14.3 million increase in selling, general and administrative (SG&amp;A) expenses was primarily due to an increase in support costs of $13.8 million. The increase in support costs was reflected in all three segments. SG&amp;A expenses consisted primarily of personnel costs and expenses for business development, marketing and sales, bid and proposal, facilities, finance, contract administration and general management.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31.4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bl>
    <w:p>
      <w:pPr>
        <w:spacing w:after="0" w:line="180" w:lineRule="exact"/>
        <w:rPr>
          <w:sz w:val="20"/>
          <w:szCs w:val="20"/>
          <w:color w:val="auto"/>
        </w:rPr>
      </w:pPr>
    </w:p>
    <w:p>
      <w:pPr>
        <w:jc w:val="both"/>
        <w:ind w:right="300" w:firstLine="518"/>
        <w:spacing w:after="0" w:line="255" w:lineRule="auto"/>
        <w:rPr>
          <w:sz w:val="20"/>
          <w:szCs w:val="20"/>
          <w:color w:val="auto"/>
        </w:rPr>
      </w:pPr>
      <w:r>
        <w:rPr>
          <w:rFonts w:ascii="Arial" w:cs="Arial" w:eastAsia="Arial" w:hAnsi="Arial"/>
          <w:sz w:val="18"/>
          <w:szCs w:val="18"/>
          <w:color w:val="auto"/>
        </w:rPr>
        <w:t>The $3.0 million increase in IR&amp;D expenses was primarily the result of an increase of $3.8 million in IR&amp;D efforts in our commercial networks segment (primarily related to an increase in IR&amp;D expenses related to next-generation satellite payload technologies and mobile broadband satellite communications systems).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61"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slight decrease in amortization of acquired intangible assets in the second quarter of fiscal year 2020 compared to the prior year period was primarily the result of certain acquired intangibles in our satellite services segment becoming fully amortized during the prior fiscal year. Current and expected amortization expense for acquired intangible assets for each of the following periods is as follows:</w:t>
      </w:r>
    </w:p>
    <w:p>
      <w:pPr>
        <w:spacing w:after="0" w:line="260" w:lineRule="exact"/>
        <w:rPr>
          <w:sz w:val="20"/>
          <w:szCs w:val="20"/>
          <w:color w:val="auto"/>
        </w:rPr>
      </w:pPr>
    </w:p>
    <w:tbl>
      <w:tblPr>
        <w:tblLayout w:type="fixed"/>
        <w:tblInd w:w="23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The slight increase in interest income for the three months ended September 30, 2019 compared to the prior year period was the result of higher average invested cash balances during the second quarter of fiscal year 2020 compared to the prior year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75"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The $4.5 million decrease in interest expense for the three months ended September 30, 2019 compared to the prior year period was primarily due to an increase in the amount of interest capitalized during the second quarter of fiscal year 2020 compared to the prior year period, partially offset by an increase in interest expense attributable to our 5.625% Senior Secured Notes due 2027 (the 2027 Notes), which were issued in March 2019. Capitalized interest expense during the three months ended September 30, 2019 and 2018 related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construction of our ViaSat-3 class satellites, gateway and networking equipment and other assets.</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551"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Income taxes</w:t>
      </w:r>
    </w:p>
    <w:p>
      <w:pPr>
        <w:spacing w:after="0" w:line="75"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For the three months ended September 30, 2019, we recorded an income tax expense of $2.4 million, resulting in an effective tax rate of 26%. For the three months ended September 30, 2018, we recorded an income tax benefit of $9.7 million, resulting in an effective tax benefit rate of 27%. The effective tax rates for the periods differed from the U.S. statutory rate due primarily to the benefit of federal and state R&amp;D tax credits.</w:t>
      </w:r>
    </w:p>
    <w:p>
      <w:pPr>
        <w:spacing w:after="0" w:line="117"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three months ended September 30, 2019 by applying the actual effective tax rate to the year-to-date income for the three-month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2019 vs. Three Months Ended September 30, 2018</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26%</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bl>
    <w:p>
      <w:pPr>
        <w:spacing w:after="0" w:line="180"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Our satellite services segment revenues increased by $42.8 million due to an increase in service revenues. The increase in service revenues was primarily driven by the expansion of our fixed broadband services and in-flight internet services.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Total subscribers at September 30, 2019 were approximately 587,000 compared to 585,000 subscribers at September 30, 2018. The in-flight service revenue increase was driven primarily by the increase in the number of commercial aircraft receiving our in-flight services through our IFC systems, with 1,353 commercial aircraft in service utilizing our IFC systems as of September 30, 2019, compared to 898 commercial aircraft in service as of September 30,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change from satellite services segment operating loss to operating profit was driven primarily by higher earnings contributions of $34.6 million, primarily due to an increase in revenues and improved margins from our fixed broadband services and in-flight internet services as services scaled efficiently, partially offset by higher support costs and our investments in global broadband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r>
      <w:tr>
        <w:trPr>
          <w:trHeight w:val="63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80" w:type="dxa"/>
            <w:vAlign w:val="bottom"/>
            <w:gridSpan w:val="3"/>
          </w:tcPr>
          <w:p>
            <w:pPr>
              <w:jc w:val="right"/>
              <w:ind w:right="96"/>
              <w:spacing w:after="0"/>
              <w:rPr>
                <w:sz w:val="20"/>
                <w:szCs w:val="20"/>
                <w:color w:val="auto"/>
              </w:rPr>
            </w:pPr>
            <w:r>
              <w:rPr>
                <w:rFonts w:ascii="Arial" w:cs="Arial" w:eastAsia="Arial" w:hAnsi="Arial"/>
                <w:sz w:val="18"/>
                <w:szCs w:val="18"/>
                <w:color w:val="auto"/>
              </w:rPr>
              <w:t>44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44" w:name="page45"/>
    <w:bookmarkEnd w:id="44"/>
    <w:p>
      <w:pPr>
        <w:ind w:right="120" w:firstLine="518"/>
        <w:spacing w:after="0" w:line="268" w:lineRule="auto"/>
        <w:rPr>
          <w:sz w:val="20"/>
          <w:szCs w:val="20"/>
          <w:color w:val="auto"/>
        </w:rPr>
      </w:pPr>
      <w:r>
        <w:rPr>
          <w:rFonts w:ascii="Arial" w:cs="Arial" w:eastAsia="Arial" w:hAnsi="Arial"/>
          <w:sz w:val="17"/>
          <w:szCs w:val="17"/>
          <w:color w:val="auto"/>
        </w:rPr>
        <w:t>Our commercial networks segment revenues decreased by $ 26.5 million, primarily due to a $30.0 million decrease in product revenues. The decrease in product revenues was primarily due to a decrease of $41.0 million in mobile broadband satellite communication systems products as IFC terminal deliveries returned to more normalized levels, following accelerated deliveries in the prior year period, partially offset by increases of $4.4 million in antenna systems products and $4.1 million in satellite networking development program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gridSpan w:val="3"/>
          </w:tcPr>
          <w:p>
            <w:pPr>
              <w:jc w:val="center"/>
              <w:ind w:right="320"/>
              <w:spacing w:after="0" w:line="154"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1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15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 $7.6 million increase in our commercial networks segment operating loss was driven primarily by a $4.3 million increase in SG&amp;A costs and a $3.8 million increase in IR&amp;D expenses (primarily related to next-generation satellite payload technologies and mobile broadband satellite communications systems).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government systems segment revenues increased by $58.5 million due to increases of $56.4 million in product revenues and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$2.1 million in service revenues. The product revenue increase was due to an $18.2 million increase in tactical data link products, a $17.6</w:t>
      </w:r>
    </w:p>
    <w:p>
      <w:pPr>
        <w:spacing w:after="0" w:line="234" w:lineRule="auto"/>
        <w:rPr>
          <w:sz w:val="20"/>
          <w:szCs w:val="20"/>
          <w:color w:val="auto"/>
        </w:rPr>
      </w:pPr>
      <w:r>
        <w:rPr>
          <w:rFonts w:ascii="Arial" w:cs="Arial" w:eastAsia="Arial" w:hAnsi="Arial"/>
          <w:sz w:val="18"/>
          <w:szCs w:val="18"/>
          <w:color w:val="auto"/>
        </w:rPr>
        <w:t>million increase in tactical satcom radio products, a $16.8 million increase in government satellite communication systems products and a</w:t>
      </w:r>
    </w:p>
    <w:p>
      <w:pPr>
        <w:spacing w:after="0" w:line="235" w:lineRule="auto"/>
        <w:rPr>
          <w:sz w:val="20"/>
          <w:szCs w:val="20"/>
          <w:color w:val="auto"/>
        </w:rPr>
      </w:pPr>
      <w:r>
        <w:rPr>
          <w:rFonts w:ascii="Arial" w:cs="Arial" w:eastAsia="Arial" w:hAnsi="Arial"/>
          <w:sz w:val="18"/>
          <w:szCs w:val="18"/>
          <w:color w:val="auto"/>
        </w:rPr>
        <w:t>$5.3 million increase in government mobile broadband products. The service revenue increase was primarily due to a $2.4 million increase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government mobile broadband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44.9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$17.2 million increase in our government systems segment operating profit was primarily due to higher earnings contributions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$21.7 million, primarily due to an increase in revenues in our tactical data link products, tactical satcom radio products and government satellite</w:t>
      </w:r>
    </w:p>
    <w:p>
      <w:pPr>
        <w:spacing w:after="0" w:line="234" w:lineRule="auto"/>
        <w:rPr>
          <w:sz w:val="20"/>
          <w:szCs w:val="20"/>
          <w:color w:val="auto"/>
        </w:rPr>
      </w:pPr>
      <w:r>
        <w:rPr>
          <w:rFonts w:ascii="Arial" w:cs="Arial" w:eastAsia="Arial" w:hAnsi="Arial"/>
          <w:sz w:val="18"/>
          <w:szCs w:val="18"/>
          <w:color w:val="auto"/>
        </w:rPr>
        <w:t>communication systems, and improved margins from our tactical satcom radio products and government satellite communication systems.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increase was partially offset by higher SG&amp;A costs of $5.1 million.</w:t>
      </w:r>
    </w:p>
    <w:p>
      <w:pPr>
        <w:spacing w:after="0" w:line="201" w:lineRule="exact"/>
        <w:rPr>
          <w:sz w:val="20"/>
          <w:szCs w:val="20"/>
          <w:color w:val="auto"/>
        </w:rPr>
      </w:pPr>
    </w:p>
    <w:p>
      <w:pPr>
        <w:ind w:right="4480"/>
        <w:spacing w:after="0" w:line="372" w:lineRule="auto"/>
        <w:rPr>
          <w:sz w:val="20"/>
          <w:szCs w:val="20"/>
          <w:color w:val="auto"/>
        </w:rPr>
      </w:pPr>
      <w:r>
        <w:rPr>
          <w:rFonts w:ascii="Arial" w:cs="Arial" w:eastAsia="Arial" w:hAnsi="Arial"/>
          <w:sz w:val="18"/>
          <w:szCs w:val="18"/>
          <w:b w:val="1"/>
          <w:bCs w:val="1"/>
          <w:color w:val="auto"/>
        </w:rPr>
        <w:t xml:space="preserve">Six Months Ended September 30, 2019 vs. Six Months Ended September 30, 2018 </w:t>
      </w:r>
      <w:r>
        <w:rPr>
          <w:rFonts w:ascii="Arial" w:cs="Arial" w:eastAsia="Arial" w:hAnsi="Arial"/>
          <w:sz w:val="18"/>
          <w:szCs w:val="18"/>
          <w:i w:val="1"/>
          <w:iCs w:val="1"/>
          <w:color w:val="auto"/>
        </w:rPr>
        <w:t>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r>
      <w:tr>
        <w:trPr>
          <w:trHeight w:val="63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45" w:name="page46"/>
    <w:bookmarkEnd w:id="45"/>
    <w:p>
      <w:pPr>
        <w:ind w:right="80" w:firstLine="518"/>
        <w:spacing w:after="0" w:line="245" w:lineRule="auto"/>
        <w:rPr>
          <w:sz w:val="20"/>
          <w:szCs w:val="20"/>
          <w:color w:val="auto"/>
        </w:rPr>
      </w:pPr>
      <w:r>
        <w:rPr>
          <w:rFonts w:ascii="Arial" w:cs="Arial" w:eastAsia="Arial" w:hAnsi="Arial"/>
          <w:sz w:val="18"/>
          <w:szCs w:val="18"/>
          <w:color w:val="auto"/>
        </w:rPr>
        <w:t>Our total revenues grew by $173.0 million as a result of a $101.1 million increase in service revenues and a $71.9 million increase in product revenues. The service revenue increase was due to increases of $86.0 million in our satellite services segment, $7.7 million in our commercial networks segment and $7.3 million in our government systems segment. The product revenue increase was driven primarily by an increase of $122.2 million in our government systems segment, partially offset by a decrease in product revenues of $50.3 million in our commercial networks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bl>
    <w:p>
      <w:pPr>
        <w:spacing w:after="0" w:line="180"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Cost of revenues increased by $57.5 million due to increases of $29.7 million in cost of product revenues and $27.9 million in cost of service revenues. The cost of product revenue increase was primarily due to increased revenues, causing a $56.3 million increase in cost of product revenues on a constant margin basis mainly from revenue increases in our government systems segment, partially offset by decreased revenues in our commercial networks segment. The increase in cost of product revenues was partially offset by improved margins, driven primarily by our government satellite communication systems products and tactical satcom radio products in our government systems segment and our satellite networking development program products in our commercial networks segment. The cost of service revenue increase primarily related to increased revenues, mainly from our satellite services segment, causing a $76.5 million increase in cost of service revenues on a constant margin basis. The increase in cost of service revenues was partially offset by improved margins, primarily driven by our fixed broadband services and in-flight internet services in our satellite services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180" w:lineRule="exact"/>
        <w:rPr>
          <w:sz w:val="20"/>
          <w:szCs w:val="20"/>
          <w:color w:val="auto"/>
        </w:rPr>
      </w:pPr>
    </w:p>
    <w:p>
      <w:pPr>
        <w:ind w:right="160" w:firstLine="518"/>
        <w:spacing w:after="0" w:line="248" w:lineRule="auto"/>
        <w:rPr>
          <w:sz w:val="20"/>
          <w:szCs w:val="20"/>
          <w:color w:val="auto"/>
        </w:rPr>
      </w:pPr>
      <w:r>
        <w:rPr>
          <w:rFonts w:ascii="Arial" w:cs="Arial" w:eastAsia="Arial" w:hAnsi="Arial"/>
          <w:sz w:val="18"/>
          <w:szCs w:val="18"/>
          <w:color w:val="auto"/>
        </w:rPr>
        <w:t>The $26.8 million increase in SG&amp;A expenses was primarily due to an increase in support costs of $24.5 million and an increase in selling costs of $ 1.3 million. The increase in support costs was reflected in all three segments. The increase in selling costs was primarily due to an increase in our commercial networks segment. SG&amp;A expenses consisted primarily of personnel costs and expenses for business development, marketing and sales, bid and proposal, facilities, finance, contract administration and general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64.7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bl>
    <w:p>
      <w:pPr>
        <w:spacing w:after="0" w:line="180" w:lineRule="exact"/>
        <w:rPr>
          <w:sz w:val="20"/>
          <w:szCs w:val="20"/>
          <w:color w:val="auto"/>
        </w:rPr>
      </w:pPr>
    </w:p>
    <w:p>
      <w:pPr>
        <w:ind w:right="380" w:firstLine="518"/>
        <w:spacing w:after="0" w:line="255" w:lineRule="auto"/>
        <w:rPr>
          <w:sz w:val="20"/>
          <w:szCs w:val="20"/>
          <w:color w:val="auto"/>
        </w:rPr>
      </w:pPr>
      <w:r>
        <w:rPr>
          <w:rFonts w:ascii="Arial" w:cs="Arial" w:eastAsia="Arial" w:hAnsi="Arial"/>
          <w:sz w:val="18"/>
          <w:szCs w:val="18"/>
          <w:color w:val="auto"/>
        </w:rPr>
        <w:t>The $3.1 million increase in IR&amp;D expenses was primarily due to an increase in IR&amp;D efforts in our commercial networks segment (primarily related to an increase in IR&amp;D expenses related to next-generation satellite payload technologies and mobile broadband satellite communications systems).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75" w:lineRule="exact"/>
        <w:rPr>
          <w:sz w:val="20"/>
          <w:szCs w:val="20"/>
          <w:color w:val="auto"/>
        </w:rPr>
      </w:pPr>
    </w:p>
    <w:p>
      <w:pPr>
        <w:ind w:right="220" w:firstLine="518"/>
        <w:spacing w:after="0" w:line="24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slight decrease in amortization of acquired intangible assets in the first six months of fiscal year 2020 compared to the prior year period was primarily the result of certain acquired intangibles in our satellite services segment becoming fully amortized during the prior fiscal year. Current and expected amortization expense for acquired intangible assets for each of the following periods is as follows:</w:t>
      </w:r>
    </w:p>
    <w:p>
      <w:pPr>
        <w:spacing w:after="0" w:line="260" w:lineRule="exact"/>
        <w:rPr>
          <w:sz w:val="20"/>
          <w:szCs w:val="20"/>
          <w:color w:val="auto"/>
        </w:rPr>
      </w:pPr>
    </w:p>
    <w:tbl>
      <w:tblPr>
        <w:tblLayout w:type="fixed"/>
        <w:tblInd w:w="23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right="340" w:firstLine="518"/>
        <w:spacing w:after="0" w:line="276" w:lineRule="auto"/>
        <w:rPr>
          <w:sz w:val="20"/>
          <w:szCs w:val="20"/>
          <w:color w:val="auto"/>
        </w:rPr>
      </w:pPr>
      <w:r>
        <w:rPr>
          <w:rFonts w:ascii="Arial" w:cs="Arial" w:eastAsia="Arial" w:hAnsi="Arial"/>
          <w:sz w:val="18"/>
          <w:szCs w:val="18"/>
          <w:color w:val="auto"/>
        </w:rPr>
        <w:t>The $1.3 million increase in interest income for the six months ended September 30, 2019 compared to the prior year period was the result of higher average invested cash balances during the first six months of fiscal year 2020 compared to the prior year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75" w:lineRule="exact"/>
        <w:rPr>
          <w:sz w:val="20"/>
          <w:szCs w:val="20"/>
          <w:color w:val="auto"/>
        </w:rPr>
      </w:pPr>
    </w:p>
    <w:p>
      <w:pPr>
        <w:ind w:right="120" w:firstLine="518"/>
        <w:spacing w:after="0" w:line="245" w:lineRule="auto"/>
        <w:rPr>
          <w:sz w:val="20"/>
          <w:szCs w:val="20"/>
          <w:color w:val="auto"/>
        </w:rPr>
      </w:pPr>
      <w:r>
        <w:rPr>
          <w:rFonts w:ascii="Arial" w:cs="Arial" w:eastAsia="Arial" w:hAnsi="Arial"/>
          <w:sz w:val="18"/>
          <w:szCs w:val="18"/>
          <w:color w:val="auto"/>
        </w:rPr>
        <w:t>The $4.7 million decrease in interest expense in the six months ended September 30, 2019 compared to the prior year period was primarily due to an increase in the amount of interest capitalized during the first six months of fiscal year 2020 compared to the prior year period, partially offset by an increase in interest expense attributable to the 2027 Notes, which were issued in March 2019. Capitalized interest expense during the six months ended September 30, 2019 related to the construction of our ViaSat-3 class satellites, gateway and networking equipment and other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61" w:lineRule="exact"/>
        <w:rPr>
          <w:sz w:val="20"/>
          <w:szCs w:val="20"/>
          <w:color w:val="auto"/>
        </w:rPr>
      </w:pPr>
    </w:p>
    <w:p>
      <w:pPr>
        <w:ind w:right="220" w:firstLine="518"/>
        <w:spacing w:after="0" w:line="248" w:lineRule="auto"/>
        <w:rPr>
          <w:sz w:val="20"/>
          <w:szCs w:val="20"/>
          <w:color w:val="auto"/>
        </w:rPr>
      </w:pPr>
      <w:r>
        <w:rPr>
          <w:rFonts w:ascii="Arial" w:cs="Arial" w:eastAsia="Arial" w:hAnsi="Arial"/>
          <w:sz w:val="18"/>
          <w:szCs w:val="18"/>
          <w:color w:val="auto"/>
        </w:rPr>
        <w:t>For the six months ended September 30, 2019, we recorded an income tax benefit of $4.8 million, resulting in an effective tax benefit rate of 53%. For the six months ended September 30, 2018, we recorded an income tax benefit of $38.9 million, resulting in an effective tax benefit rate of 38%. The effective tax rates for the periods differed from the U.S. statutory rate due primarily to the benefit of federal and state R&amp;D tax credits.</w:t>
      </w:r>
    </w:p>
    <w:p>
      <w:pPr>
        <w:spacing w:after="0" w:line="117"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six months ended September 30, 2019 by applying the actual effective tax rate to the year-to-date income (loss) for the six-month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September 30, 2019 vs. Six Months Ended September 30, 2018</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r>
      <w:tr>
        <w:trPr>
          <w:trHeight w:val="63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47" w:name="page48"/>
    <w:bookmarkEnd w:id="47"/>
    <w:p>
      <w:pPr>
        <w:ind w:firstLine="518"/>
        <w:spacing w:after="0"/>
        <w:rPr>
          <w:sz w:val="20"/>
          <w:szCs w:val="20"/>
          <w:color w:val="auto"/>
        </w:rPr>
      </w:pPr>
      <w:r>
        <w:rPr>
          <w:rFonts w:ascii="Arial" w:cs="Arial" w:eastAsia="Arial" w:hAnsi="Arial"/>
          <w:sz w:val="18"/>
          <w:szCs w:val="18"/>
          <w:color w:val="auto"/>
        </w:rPr>
        <w:t>Our satellite services segment revenues increased by $86.0 million due to an increase in service revenues. The increase in service revenues was primarily driven by the expansion of our fixed broadband services and in-flight internet services.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Total subscribers at September 30, 2019 were approximately 587,000 compared to 585,000 subscribers at September 30, 2018. The in-flight service revenue increase was driven primarily by the increase in the number of commercial aircraft receiving our in-flight services through our IFC systems, with 1,353 commercial aircraft in service utilizing our IFC systems as of September 30, 2019, compared to 898 commercial aircraft in service as of September 30,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change in our satellite services segment operating loss to an operating profit was driven primarily by higher earnings contributions of $67.1 million, primarily due to an increase in revenues and improved margins from our fixed broadband services and in-flight internet services as services scaled efficiently, partially offset by higher support costs and our investments in global broadband businesses.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bl>
    <w:p>
      <w:pPr>
        <w:spacing w:after="0" w:line="180" w:lineRule="exact"/>
        <w:rPr>
          <w:sz w:val="20"/>
          <w:szCs w:val="20"/>
          <w:color w:val="auto"/>
        </w:rPr>
      </w:pPr>
    </w:p>
    <w:p>
      <w:pPr>
        <w:ind w:right="120" w:firstLine="518"/>
        <w:spacing w:after="0" w:line="248" w:lineRule="auto"/>
        <w:rPr>
          <w:sz w:val="20"/>
          <w:szCs w:val="20"/>
          <w:color w:val="auto"/>
        </w:rPr>
      </w:pPr>
      <w:r>
        <w:rPr>
          <w:rFonts w:ascii="Arial" w:cs="Arial" w:eastAsia="Arial" w:hAnsi="Arial"/>
          <w:sz w:val="18"/>
          <w:szCs w:val="18"/>
          <w:color w:val="auto"/>
        </w:rPr>
        <w:t>Our commercial networks segment revenues decreased by $ 42.6 million, primarily due to a $50.3 million decrease in product revenues. The decrease in product revenues was primarily due to a decrease of $ 71.1 million in mobile broadband satellite communication systems products as IFC terminal deliveries returned to more normalized levels, following accelerated deliveries in the prior year period, partially offset by an increase of $12.8 million in satellite networking development program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auto"/>
            </w:tcBorders>
            <w:gridSpan w:val="3"/>
          </w:tcPr>
          <w:p>
            <w:pPr>
              <w:jc w:val="center"/>
              <w:ind w:right="320"/>
              <w:spacing w:after="0" w:line="154"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4"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4"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1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153"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 $10.4 million increase in our commercial networks segment operating loss was driven primarily by a $7.0 million increase in SG&amp;A costs and an increase of $4.8 million in IR&amp;D expenses (primarily related to next-generation satellite payload technologies and mobile broadband satellite communications systems).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4"/>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4"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7"/>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r>
      <w:tr>
        <w:trPr>
          <w:trHeight w:val="63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98"/>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48" w:name="page49"/>
    <w:bookmarkEnd w:id="48"/>
    <w:p>
      <w:pPr>
        <w:ind w:right="140" w:firstLine="518"/>
        <w:spacing w:after="0" w:line="245" w:lineRule="auto"/>
        <w:rPr>
          <w:sz w:val="20"/>
          <w:szCs w:val="20"/>
          <w:color w:val="auto"/>
        </w:rPr>
      </w:pPr>
      <w:r>
        <w:rPr>
          <w:rFonts w:ascii="Arial" w:cs="Arial" w:eastAsia="Arial" w:hAnsi="Arial"/>
          <w:sz w:val="18"/>
          <w:szCs w:val="18"/>
          <w:color w:val="auto"/>
        </w:rPr>
        <w:t>Our government systems segment revenues increased by $129.5 million due to increases of $122.2 million in product revenues and $7.3 million in service revenues. The product revenue increase was due to a $38.0 million increase in government satellite communication systems products, a $31.2 million increase in tactical data link products, a $31.0 million increase in tactical satcom radio products and a $17.2 million increase in government mobile broadband products. The service revenue increase was primarily due to a $6.6 million increase in government mobile broadband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4"/>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0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rPr>
              <w:t>Increase</w:t>
            </w:r>
          </w:p>
        </w:tc>
      </w:tr>
      <w:tr>
        <w:trPr>
          <w:trHeight w:val="177"/>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69.8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53" w:lineRule="exact"/>
        <w:rPr>
          <w:sz w:val="20"/>
          <w:szCs w:val="20"/>
          <w:color w:val="auto"/>
        </w:rPr>
      </w:pPr>
    </w:p>
    <w:p>
      <w:pPr>
        <w:ind w:right="280" w:firstLine="518"/>
        <w:spacing w:after="0" w:line="248" w:lineRule="auto"/>
        <w:rPr>
          <w:sz w:val="20"/>
          <w:szCs w:val="20"/>
          <w:color w:val="auto"/>
        </w:rPr>
      </w:pPr>
      <w:r>
        <w:rPr>
          <w:rFonts w:ascii="Arial" w:cs="Arial" w:eastAsia="Arial" w:hAnsi="Arial"/>
          <w:sz w:val="18"/>
          <w:szCs w:val="18"/>
          <w:color w:val="auto"/>
        </w:rPr>
        <w:t>The $38.2 million increase in our government systems segment operating profit was primarily due to higher earnings contributions of $46.9 million, primarily due to an increase in revenues from our government satellite communication systems, tactical data link products and tactical satcom radio products, and improved margins from our government satellite communication systems and tactical satcom radio products. This increase was partially offset by higher SG&amp;A costs of $10.0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65" w:lineRule="exact"/>
        <w:rPr>
          <w:sz w:val="20"/>
          <w:szCs w:val="20"/>
          <w:color w:val="auto"/>
        </w:rPr>
      </w:pPr>
    </w:p>
    <w:p>
      <w:pPr>
        <w:ind w:right="140" w:firstLine="518"/>
        <w:spacing w:after="0" w:line="276" w:lineRule="auto"/>
        <w:rPr>
          <w:sz w:val="20"/>
          <w:szCs w:val="20"/>
          <w:color w:val="auto"/>
        </w:rPr>
      </w:pPr>
      <w:r>
        <w:rPr>
          <w:rFonts w:ascii="Arial" w:cs="Arial" w:eastAsia="Arial" w:hAnsi="Arial"/>
          <w:sz w:val="18"/>
          <w:szCs w:val="18"/>
          <w:color w:val="auto"/>
        </w:rPr>
        <w:t>As reflected in the table below, our overall firm and funded backlog increased during the first six months of fiscal year 2020. The increases in both firm and funded backlog were primarily attributable to increases in our government systems and satellite services segments.</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3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614.9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5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991.6</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1,944.9</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1,866.3</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90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5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979.4</w:t>
            </w:r>
          </w:p>
        </w:tc>
        <w:tc>
          <w:tcPr>
            <w:tcW w:w="1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8"/>
                <w:szCs w:val="18"/>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The firm backlog does not include contract options. Of the $1.9 billion in firm backlog, approximately half is expected to be delivered during the next twelve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in-flight internet service revenues under our agreements with commercial airlines. As of September 30, 2019, we provided in-flight internet services to 1,353 commercial aircraft, with in-flight internet services anticipated to be activated on over 600 additional commercial aircraft under our existing customer agreements with commercial airlines. There can be no assurance that all anticipated purchase orders and requests will be placed or that anticipated in-flight internet services will be activated.</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w:t>
      </w:r>
    </w:p>
    <w:p>
      <w:pPr>
        <w:spacing w:after="0" w:line="1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$692.3 million and $1,198.1 million for the three and six months ended September 30, 2019, respectively, and approximately $738.7 million and $1,308.3 million for the three and six months ended September 30, 2018, respectively.</w:t>
      </w:r>
    </w:p>
    <w:p>
      <w:pPr>
        <w:spacing w:after="0" w:line="112"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49" w:name="page50"/>
    <w:bookmarkEnd w:id="49"/>
    <w:p>
      <w:pPr>
        <w:ind w:right="60" w:firstLine="518"/>
        <w:spacing w:after="0" w:line="243"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63" w:lineRule="exact"/>
        <w:rPr>
          <w:sz w:val="20"/>
          <w:szCs w:val="20"/>
          <w:color w:val="auto"/>
        </w:rPr>
      </w:pPr>
    </w:p>
    <w:p>
      <w:pPr>
        <w:ind w:right="200" w:firstLine="518"/>
        <w:spacing w:after="0" w:line="243"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September 30, 2019, we had $87.0 million in cash and cash equivalents, $253.9 million in working capital, and no outstanding borrowings and borrowing availability of $681.1 million under our revolving credit facility (the Revolving Credit Facility). At March 31, 2019, we had $261.7 million in cash and cash equivalents, $401.7 million in working capital, and no outstanding borrowings and borrowing availability of $680.4 million under the Revolving Credit Facility. We invest our cash in excess of current operating requirements in short-term, highly liquid bank money market accounts.</w:t>
      </w:r>
    </w:p>
    <w:p>
      <w:pPr>
        <w:spacing w:after="0" w:line="120"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17"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30"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jc w:val="both"/>
        <w:ind w:firstLine="518"/>
        <w:spacing w:after="0" w:line="243" w:lineRule="auto"/>
        <w:rPr>
          <w:sz w:val="20"/>
          <w:szCs w:val="20"/>
          <w:color w:val="auto"/>
        </w:rPr>
      </w:pPr>
      <w:r>
        <w:rPr>
          <w:rFonts w:ascii="Arial" w:cs="Arial" w:eastAsia="Arial" w:hAnsi="Arial"/>
          <w:sz w:val="18"/>
          <w:szCs w:val="18"/>
          <w:color w:val="auto"/>
        </w:rPr>
        <w:t>Cash provided by operating activities for the first six months of fiscal year 2020 was $183.3 million compared to $ 111.3 million in the prior year period. This $72.0 million increase was primarily driven by our operating results (net loss adjusted for depreciation, amortization and other non-cash charges) which resulted in $98.6 million of higher cash provided by operating activities year-over-year, partially offset by a</w:t>
      </w:r>
    </w:p>
    <w:p>
      <w:pPr>
        <w:spacing w:after="0" w:line="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$26.6 million year-over-year increase in cash used to fund net operating assets. The increase in cash used to fund net operating assets during the first six months of fiscal year 2020 when compared to the prior year period was primarily due to higher cash payments made in our accounts payable and accrued liabilities due to timing of payments.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50" w:name="page51"/>
    <w:bookmarkEnd w:id="50"/>
    <w:p>
      <w:pPr>
        <w:ind w:right="20" w:firstLine="518"/>
        <w:spacing w:after="0"/>
        <w:rPr>
          <w:sz w:val="20"/>
          <w:szCs w:val="20"/>
          <w:color w:val="auto"/>
        </w:rPr>
      </w:pPr>
      <w:r>
        <w:rPr>
          <w:rFonts w:ascii="Arial" w:cs="Arial" w:eastAsia="Arial" w:hAnsi="Arial"/>
          <w:sz w:val="18"/>
          <w:szCs w:val="18"/>
          <w:color w:val="auto"/>
        </w:rPr>
        <w:t>Cash used in investing activities for the first six months of fiscal year 2020 was $362.7 million compared to $299.1 million in the prior year period. This $ 63.7 million increase in cash used in investing activities year-over-year reflects a decrease of $42.1 million in cash receipts related to ViaSat-2 satellite insurance claim proceeds, cash proceeds from sales of real property during the prior year period of $14.0 million compared to none in the current year period, and an increase of $13.8 million in cash used for patents, licenses and other assets. The increase in cash used in investing activities was partially offset by a decrease in cash used for construction of property, equipment and satellites of $3.9 million, primarily due to a decrease of $20.5 million in capital expenditures used for property and other general purpose equipment and $8.7 million in cash used for the construction of earth stations and network operation systems, partially offset by an increase of $25.3 million in cash used for satellite construction.</w:t>
      </w:r>
    </w:p>
    <w:p>
      <w:pPr>
        <w:spacing w:after="0" w:line="127"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Cash provided by financing activities for the first six months of fiscal year 2020 was $5.2 million compared to $169.3 million for the prior year period. This $164.0 million decrease in cash provided by financing activities year-over-year was primarily related to $355.0 million of proceeds from borrowings under our Revolving Credit Facility in the prior year period compared to none in the current year period, partially offset by a decrease in payments on borrowings of debt of $171.6 million, primarily due to $130.0 million in payments under our Revolving Credit Facility in the first six months of fiscal year 2019 compared to none in the current year period and a $44.6 million decrease in payments on borrowings under the Ex-Im Credit Facility year-over-year. Cash provided by 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77"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On June 1, 2017, our second-generation ViaSat-2 satellite was successfully launched into orbit. Following satellite launch, in fiscal years 2018 and 2019 we incurred additional operating costs as we prepared for and launched commercial services on the satellite. These additional operating costs included depreciation, amortization of capitalized software development, earth station connectivity, marketing and advertising costs, logistics, customer care and various support systems, and contributed to an operating loss for our satellite services segment in fiscal year 2019. However, as the services we provide using the new satellite continue to scale, we expect to expand the revenue base for our fixed broadband and in-flight services and gain operating cost efficiencies, which together we expect will yield incremental segment earnings contributions, partially offset by investments associated with our global business and emerging markets growth. However, there can be no assurance that we will be successful in significantly increasing revenues or achieving operating profit in our satellite services segment. Moreover, we anticipate that we will incur a similar cycle of increased operating costs as we prepare for and launch commercial services on future satellites, including our ViaSat-3 constellation, followed by increases in revenue base and in scale.</w:t>
      </w:r>
    </w:p>
    <w:p>
      <w:pPr>
        <w:spacing w:after="0" w:line="127"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Our first two ViaSat-3 class satellites, which are expected to cover the Americas and the Europe, Middle East and Africa (EMEA) region, respectively, entered the phase of full construction during the second half of fiscal year 2018. In July 2019, we entered into an agreement with Boeing for the construction and purchase of a third ViaSat-3 class satellite and the integration of Viasat’s payload technologies into the satellite. This satellite is expected to provide broadband services over the Asia and Pacific (APAC) region, enabling us, following the launch of commercial service on all three ViaSat-3 class satellites, to deliver affordable connectivity worldwide. We believe we have adequate sources of funding for the ViaSat-3 class satellites, which include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27"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Our IR&amp;D investments are expected to continue through fiscal year 2020 and beyond relating to ViaSat-3 ground infrastructure and support of our growing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 opportunities and our overall operating</w:t>
      </w:r>
    </w:p>
    <w:p>
      <w:pPr>
        <w:spacing w:after="0" w:line="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performance. In fiscal year 2020, capital expenditures are expected to increase when compared to fiscal year 2019, as we have a third ViaSat-3 class satellite under construction, as well as increased ground network investments related to international expansion.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63" w:lineRule="exact"/>
        <w:rPr>
          <w:sz w:val="20"/>
          <w:szCs w:val="20"/>
          <w:color w:val="auto"/>
        </w:rPr>
      </w:pPr>
    </w:p>
    <w:p>
      <w:pPr>
        <w:ind w:right="80" w:firstLine="518"/>
        <w:spacing w:after="0" w:line="248" w:lineRule="auto"/>
        <w:rPr>
          <w:sz w:val="20"/>
          <w:szCs w:val="20"/>
          <w:color w:val="auto"/>
        </w:rPr>
      </w:pPr>
      <w:r>
        <w:rPr>
          <w:rFonts w:ascii="Arial" w:cs="Arial" w:eastAsia="Arial" w:hAnsi="Arial"/>
          <w:sz w:val="18"/>
          <w:szCs w:val="18"/>
          <w:color w:val="auto"/>
        </w:rPr>
        <w:t>As of September 30, 2019, the Revolving Credit Facility provided a $700.0 million revolving line of credit (including up to $150.0 million of letters of credit), with a maturity date of January 18, 2024. As of September 30, 2019, we had no outstanding borrowings under the Revolving Credit Facility and $18.9 million outstanding under standby letters of credit, leaving borrowing availability under the Revolving Credit Facility as of September 30, 2019 of $681.1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51" w:name="page52"/>
    <w:bookmarkEnd w:id="51"/>
    <w:p>
      <w:pPr>
        <w:ind w:right="40" w:firstLine="518"/>
        <w:spacing w:after="0" w:line="245"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September 30, 2019, none of our subsidiaries guaranteed the Revolving Credit Facility.</w:t>
      </w:r>
    </w:p>
    <w:p>
      <w:pPr>
        <w:spacing w:after="0" w:line="11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4"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At September 30, 2019, we had $127.7 million in principal amount of outstanding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Ex-Im Credit Facility.</w:t>
      </w:r>
    </w:p>
    <w:p>
      <w:pPr>
        <w:spacing w:after="0" w:line="136"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the first three months of fiscal year 2020, we received the remaining insurance proceeds of $2.3 million, which were in addition to the $185.7 million of insurance proceeds received during fiscal year 2019 related to the ViaSat-2 satellite, all of which were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2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10" w:lineRule="exact"/>
        <w:rPr>
          <w:sz w:val="20"/>
          <w:szCs w:val="20"/>
          <w:color w:val="auto"/>
        </w:rPr>
      </w:pPr>
    </w:p>
    <w:p>
      <w:pPr>
        <w:ind w:right="160" w:firstLine="518"/>
        <w:spacing w:after="0" w:line="245"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75" w:lineRule="exact"/>
        <w:rPr>
          <w:sz w:val="20"/>
          <w:szCs w:val="20"/>
          <w:color w:val="auto"/>
        </w:rPr>
      </w:pPr>
    </w:p>
    <w:p>
      <w:pPr>
        <w:ind w:right="20" w:firstLine="518"/>
        <w:spacing w:after="0" w:line="245" w:lineRule="auto"/>
        <w:rPr>
          <w:sz w:val="20"/>
          <w:szCs w:val="20"/>
          <w:color w:val="auto"/>
        </w:rPr>
      </w:pPr>
      <w:r>
        <w:rPr>
          <w:rFonts w:ascii="Arial" w:cs="Arial" w:eastAsia="Arial" w:hAnsi="Arial"/>
          <w:sz w:val="18"/>
          <w:szCs w:val="18"/>
          <w:color w:val="auto"/>
        </w:rPr>
        <w:t>In March 2019, we issued $ 600.0 million in principal amount of 2027 Notes in a private placement to institutional buyers. The 2027 Notes were issued at face value and are recorded as long-term debt, net of debt issuance costs, in our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1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2027 Notes are required to be guaranteed on a senior secured basis by each of our existing and future subsidiaries that guarantees the Revolving Credit Facility. As of September 30, 2019, none of our subsidiaries guaranteed the 2027 Notes. The 2027 Notes are secured, equally and ratably with the Revolving Credit Facility and any future parity lien debt, by liens on substantially all of our assets.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52" w:name="page53"/>
    <w:bookmarkEnd w:id="52"/>
    <w:p>
      <w:pPr>
        <w:ind w:right="20" w:firstLine="518"/>
        <w:spacing w:after="0" w:line="241" w:lineRule="auto"/>
        <w:rPr>
          <w:sz w:val="20"/>
          <w:szCs w:val="20"/>
          <w:color w:val="auto"/>
        </w:rPr>
      </w:pPr>
      <w:r>
        <w:rPr>
          <w:rFonts w:ascii="Arial" w:cs="Arial" w:eastAsia="Arial" w:hAnsi="Arial"/>
          <w:sz w:val="18"/>
          <w:szCs w:val="18"/>
          <w:color w:val="auto"/>
        </w:rPr>
        <w:t>The 2027 Notes are our general senior secured obligations and rank equally in right of payment with all of our existing and future unsubordinated debt. The 2027 Notes are effectively senior to all of our existing and future unsecured debt (including our 5.625% Senior Notes due 2025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our subsidiaries that do not guarantee the 2027 Notes (including obligations of the borrower under the Ex-Im Credit Facility), and are senior in right of payment to all of our existing and future subordinated indebtedness.</w:t>
      </w:r>
    </w:p>
    <w:p>
      <w:pPr>
        <w:spacing w:after="0" w:line="125" w:lineRule="exact"/>
        <w:rPr>
          <w:sz w:val="20"/>
          <w:szCs w:val="20"/>
          <w:color w:val="auto"/>
        </w:rPr>
      </w:pPr>
    </w:p>
    <w:p>
      <w:pPr>
        <w:ind w:right="200" w:firstLine="518"/>
        <w:spacing w:after="0" w:line="245" w:lineRule="auto"/>
        <w:rPr>
          <w:sz w:val="20"/>
          <w:szCs w:val="20"/>
          <w:color w:val="auto"/>
        </w:rPr>
      </w:pPr>
      <w:r>
        <w:rPr>
          <w:rFonts w:ascii="Arial" w:cs="Arial" w:eastAsia="Arial" w:hAnsi="Arial"/>
          <w:sz w:val="18"/>
          <w:szCs w:val="18"/>
          <w:color w:val="auto"/>
        </w:rPr>
        <w:t>The indenture governing the 2027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18" w:lineRule="exact"/>
        <w:rPr>
          <w:sz w:val="20"/>
          <w:szCs w:val="20"/>
          <w:color w:val="auto"/>
        </w:rPr>
      </w:pPr>
    </w:p>
    <w:p>
      <w:pPr>
        <w:ind w:right="60" w:firstLine="518"/>
        <w:spacing w:after="0" w:line="254" w:lineRule="auto"/>
        <w:rPr>
          <w:sz w:val="20"/>
          <w:szCs w:val="20"/>
          <w:color w:val="auto"/>
        </w:rPr>
      </w:pPr>
      <w:r>
        <w:rPr>
          <w:rFonts w:ascii="Arial" w:cs="Arial" w:eastAsia="Arial" w:hAnsi="Arial"/>
          <w:sz w:val="17"/>
          <w:szCs w:val="17"/>
          <w:color w:val="auto"/>
        </w:rPr>
        <w:t>Prior to April 15, 2022, we may redeem up to 40% of the 2027 Notes at a redemption price of 105.625% of the principal amount thereof, plus accrued and unpaid interest, if any, thereon to the redemption date, from the net cash proceeds of specified equity offerings. We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w:t>
      </w:r>
    </w:p>
    <w:p>
      <w:pPr>
        <w:spacing w:after="0" w:line="1" w:lineRule="exact"/>
        <w:rPr>
          <w:sz w:val="20"/>
          <w:szCs w:val="20"/>
          <w:color w:val="auto"/>
        </w:rPr>
      </w:pPr>
    </w:p>
    <w:p>
      <w:pPr>
        <w:ind w:right="40" w:firstLine="8"/>
        <w:spacing w:after="0" w:line="234"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w:t>
      </w:r>
    </w:p>
    <w:p>
      <w:pPr>
        <w:spacing w:after="0" w:line="3" w:lineRule="exact"/>
        <w:rPr>
          <w:rFonts w:ascii="Arial" w:cs="Arial" w:eastAsia="Arial" w:hAnsi="Arial"/>
          <w:sz w:val="18"/>
          <w:szCs w:val="18"/>
          <w:color w:val="auto"/>
        </w:rPr>
      </w:pPr>
    </w:p>
    <w:p>
      <w:pPr>
        <w:ind w:right="40"/>
        <w:spacing w:after="0" w:line="251" w:lineRule="auto"/>
        <w:rPr>
          <w:rFonts w:ascii="Arial" w:cs="Arial" w:eastAsia="Arial" w:hAnsi="Arial"/>
          <w:sz w:val="18"/>
          <w:szCs w:val="18"/>
          <w:color w:val="auto"/>
        </w:rPr>
      </w:pPr>
      <w:r>
        <w:rPr>
          <w:rFonts w:ascii="Arial" w:cs="Arial" w:eastAsia="Arial" w:hAnsi="Arial"/>
          <w:sz w:val="18"/>
          <w:szCs w:val="18"/>
          <w:color w:val="auto"/>
        </w:rPr>
        <w:t>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12" w:lineRule="exact"/>
        <w:rPr>
          <w:sz w:val="20"/>
          <w:szCs w:val="20"/>
          <w:color w:val="auto"/>
        </w:rPr>
      </w:pPr>
    </w:p>
    <w:p>
      <w:pPr>
        <w:ind w:firstLine="518"/>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us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61"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In September 2017, we issued $700.0 million in principal amount of the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18"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September 30, 2019,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the Revolving Credit Facility and the Ex-Im Credit Facility (collectively, the Credit Facilities) and the 2027 Notes (to the extent of the value of the assets securing such debt), are structurally subordinated to all existing and future liabilities (including trade payables) of our subsidiaries that do not guarantee the 2025 Notes, and are senior in right of payment to all of our existing and future subordinated indebtedness.</w:t>
      </w:r>
    </w:p>
    <w:p>
      <w:pPr>
        <w:spacing w:after="0" w:line="125" w:lineRule="exact"/>
        <w:rPr>
          <w:sz w:val="20"/>
          <w:szCs w:val="20"/>
          <w:color w:val="auto"/>
        </w:rPr>
      </w:pPr>
    </w:p>
    <w:p>
      <w:pPr>
        <w:ind w:right="200" w:firstLine="518"/>
        <w:spacing w:after="0" w:line="245"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53" w:name="page54"/>
    <w:bookmarkEnd w:id="53"/>
    <w:p>
      <w:pPr>
        <w:ind w:right="40" w:firstLine="518"/>
        <w:spacing w:after="0" w:line="237" w:lineRule="auto"/>
        <w:rPr>
          <w:sz w:val="20"/>
          <w:szCs w:val="20"/>
          <w:color w:val="auto"/>
        </w:rPr>
      </w:pPr>
      <w:r>
        <w:rPr>
          <w:rFonts w:ascii="Arial" w:cs="Arial" w:eastAsia="Arial" w:hAnsi="Arial"/>
          <w:sz w:val="18"/>
          <w:szCs w:val="18"/>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w:t>
      </w:r>
    </w:p>
    <w:p>
      <w:pPr>
        <w:spacing w:after="0" w:line="4"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101.406%, and at any time on or after September 15, 2022 at a redemption price of 100%, in each case plus accrued and unpaid interest, if any, thereon to the redemption date.</w:t>
      </w:r>
    </w:p>
    <w:p>
      <w:pPr>
        <w:spacing w:after="0" w:line="112" w:lineRule="exact"/>
        <w:rPr>
          <w:sz w:val="20"/>
          <w:szCs w:val="20"/>
          <w:color w:val="auto"/>
        </w:rPr>
      </w:pPr>
    </w:p>
    <w:p>
      <w:pPr>
        <w:ind w:right="20" w:firstLine="518"/>
        <w:spacing w:after="0" w:line="24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September 30,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5"/>
                <w:szCs w:val="15"/>
                <w:color w:val="auto"/>
              </w:rPr>
            </w:pPr>
          </w:p>
        </w:tc>
        <w:tc>
          <w:tcPr>
            <w:tcW w:w="3540" w:type="dxa"/>
            <w:vAlign w:val="bottom"/>
            <w:gridSpan w:val="8"/>
          </w:tcPr>
          <w:p>
            <w:pPr>
              <w:ind w:left="700"/>
              <w:spacing w:after="0"/>
              <w:rPr>
                <w:sz w:val="20"/>
                <w:szCs w:val="20"/>
                <w:color w:val="auto"/>
              </w:rPr>
            </w:pPr>
            <w:r>
              <w:rPr>
                <w:rFonts w:ascii="Arial" w:cs="Arial" w:eastAsia="Arial" w:hAnsi="Arial"/>
                <w:sz w:val="14"/>
                <w:szCs w:val="14"/>
                <w:b w:val="1"/>
                <w:bCs w:val="1"/>
                <w:color w:val="auto"/>
              </w:rPr>
              <w:t>For the Fiscal Years Ending</w:t>
            </w:r>
          </w:p>
        </w:tc>
      </w:tr>
      <w:tr>
        <w:trPr>
          <w:trHeight w:val="169"/>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60" w:type="dxa"/>
            <w:vAlign w:val="bottom"/>
          </w:tcPr>
          <w:p>
            <w:pPr>
              <w:spacing w:after="0"/>
              <w:rPr>
                <w:sz w:val="14"/>
                <w:szCs w:val="14"/>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2021-2022</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2023-2024</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210"/>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 and satellite capacity agreements</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675,563</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64,053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239,095</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136,810</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235,605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Finance lease obligations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83,250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2027 Notes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871,781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718,125</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2025 Notes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936,251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759,063</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Ex-Im Credit Facility</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138,392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40,476</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Satellite performance incentive obligations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18,823</w:t>
            </w:r>
          </w:p>
        </w:tc>
        <w:tc>
          <w:tcPr>
            <w:tcW w:w="100" w:type="dxa"/>
            <w:vAlign w:val="bottom"/>
            <w:shd w:val="clear" w:color="auto" w:fill="CFF0FC"/>
          </w:tcPr>
          <w:p>
            <w:pPr>
              <w:spacing w:after="0"/>
              <w:rPr>
                <w:sz w:val="18"/>
                <w:szCs w:val="18"/>
                <w:color w:val="auto"/>
              </w:rPr>
            </w:pPr>
          </w:p>
        </w:tc>
      </w:tr>
      <w:tr>
        <w:trPr>
          <w:trHeight w:val="193"/>
        </w:trPr>
        <w:tc>
          <w:tcPr>
            <w:tcW w:w="5240" w:type="dxa"/>
            <w:vAlign w:val="bottom"/>
            <w:gridSpan w:val="2"/>
          </w:tcPr>
          <w:p>
            <w:pPr>
              <w:spacing w:after="0" w:line="194" w:lineRule="exact"/>
              <w:rPr>
                <w:sz w:val="20"/>
                <w:szCs w:val="20"/>
                <w:color w:val="auto"/>
              </w:rPr>
            </w:pPr>
            <w:r>
              <w:rPr>
                <w:rFonts w:ascii="Arial" w:cs="Arial" w:eastAsia="Arial" w:hAnsi="Arial"/>
                <w:sz w:val="18"/>
                <w:szCs w:val="18"/>
                <w:color w:val="auto"/>
              </w:rPr>
              <w:t>Purchase commitments including satellite-related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24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agreements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1,680,303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534,025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926,434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195,102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24,742</w:t>
            </w:r>
          </w:p>
        </w:tc>
        <w:tc>
          <w:tcPr>
            <w:tcW w:w="100" w:type="dxa"/>
            <w:vAlign w:val="bottom"/>
            <w:tcBorders>
              <w:bottom w:val="single" w:sz="8" w:color="CFF0FC"/>
            </w:tcBorders>
          </w:tcPr>
          <w:p>
            <w:pPr>
              <w:spacing w:after="0"/>
              <w:rPr>
                <w:sz w:val="19"/>
                <w:szCs w:val="19"/>
                <w:color w:val="auto"/>
              </w:rPr>
            </w:pPr>
          </w:p>
        </w:tc>
      </w:tr>
      <w:tr>
        <w:trPr>
          <w:trHeight w:val="210"/>
        </w:trPr>
        <w:tc>
          <w:tcPr>
            <w:tcW w:w="5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4,421,670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656,456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1,387,212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554,168</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25"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Our condensed consolidated balance sheets included $ 118.8 million and $120.8 million of “other liabilities” as of September 30, 2019 and March 31, 2019, respectively, which primarily consisted of the long-term portion of deferred revenues, the long-term portion of our satellite performance incentive obligations relating to the ViaSat-1 and ViaSat-2 satellites, our long-term warranty obligations, the long-term portion of deferred rent and deferred income taxes. With the exception of the long-term portion of our satellite performance incentive obligations relating to the ViaSat-1 and ViaSat-2 satellites (which is included under “Satellite performance incentive obligations”), these remaining liabilities have been excluded from the above table as the timing and/or the amount of any cash payment is uncertain. See Note 11 to our consolidated financial statements included in our Annual Report on Form 10-K for the year ended March 31, 2019 for additional information regarding satellite performance incentive obligations relating to the ViaSat-1 and ViaSat-2 satellites. See Note 10 to our condensed consolidated financial statements for additional information regarding our income taxes and related tax positions and Note 8 to our condensed consolidated financial statements for a discussion of our product warranties.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79" w:lineRule="exact"/>
        <w:rPr>
          <w:sz w:val="20"/>
          <w:szCs w:val="20"/>
          <w:color w:val="auto"/>
        </w:rPr>
      </w:pPr>
    </w:p>
    <w:p>
      <w:pPr>
        <w:jc w:val="both"/>
        <w:ind w:right="240" w:firstLine="518"/>
        <w:spacing w:after="0" w:line="255" w:lineRule="auto"/>
        <w:rPr>
          <w:sz w:val="20"/>
          <w:szCs w:val="20"/>
          <w:color w:val="auto"/>
        </w:rPr>
      </w:pPr>
      <w:r>
        <w:rPr>
          <w:rFonts w:ascii="Arial" w:cs="Arial" w:eastAsia="Arial" w:hAnsi="Arial"/>
          <w:sz w:val="18"/>
          <w:szCs w:val="18"/>
          <w:color w:val="auto"/>
        </w:rPr>
        <w:t>We had no material off-balance sheet arrangements at September 30, 2019 as defined in Regulation S-K Item 303(a)(4) other than as discussed under Contractual Obligations above or disclosed in the notes to our consolidated financial statements included in this report or in our Annual Report on Form 10-K for the year ended March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65" w:lineRule="exact"/>
        <w:rPr>
          <w:sz w:val="20"/>
          <w:szCs w:val="20"/>
          <w:color w:val="auto"/>
        </w:rPr>
      </w:pPr>
    </w:p>
    <w:p>
      <w:pPr>
        <w:ind w:right="80" w:firstLine="518"/>
        <w:spacing w:after="0" w:line="276" w:lineRule="auto"/>
        <w:rPr>
          <w:sz w:val="20"/>
          <w:szCs w:val="20"/>
          <w:color w:val="auto"/>
        </w:rPr>
      </w:pPr>
      <w:r>
        <w:rPr>
          <w:rFonts w:ascii="Arial" w:cs="Arial" w:eastAsia="Arial" w:hAnsi="Arial"/>
          <w:sz w:val="18"/>
          <w:szCs w:val="18"/>
          <w:color w:val="auto"/>
        </w:rPr>
        <w:t>For information regarding recently adopted and issued accounting pronouncements, see Note 1 to our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65" w:lineRule="exact"/>
        <w:rPr>
          <w:sz w:val="20"/>
          <w:szCs w:val="20"/>
          <w:color w:val="auto"/>
        </w:rPr>
      </w:pPr>
    </w:p>
    <w:p>
      <w:pPr>
        <w:ind w:firstLine="518"/>
        <w:spacing w:after="0"/>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the 2025 Notes and the 2027 Notes, and foreign currency forward contracts. We consider investments in highly liquid instruments purchased with a remaining maturity of three months or less at the date of purchase to be cash equivalents. As of September 30, 2019, we had no outstanding borrowings under our Revolving Credit Facility, $127.7 million in principal amount of outstanding borrowings under our Ex-Im Credit Facility, $ 700.0 million in aggregate principal amount outstanding of the 2025 Notes and $600.0 million in aggregate principal amount outstanding of the 2027 Notes, and we held no short-term investments. Our 2025 Notes, 2027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22"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and six months ended September 30, 2019 and 2018.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7" w:lineRule="exact"/>
        <w:rPr>
          <w:sz w:val="20"/>
          <w:szCs w:val="20"/>
          <w:color w:val="auto"/>
        </w:rPr>
      </w:pPr>
    </w:p>
    <w:p>
      <w:pPr>
        <w:ind w:right="320" w:firstLine="518"/>
        <w:spacing w:after="0" w:line="245"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September 30, 2019 that would have been applied to any new Eurodollar-based borrowings under the Revolving Credit Facility was approximately 3.53%. As of September 30, 2019, we had no outstanding borrowings under our Revolving Credit Facility. Accordingly, assuming the outstanding balance remained constant over a year, changes in interest rates applicable to our Revolving Credit Facility would have no effect on our interest incurred or cash flow.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65"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investment in Euro Broadband Infrastructure Sàrl during the fourth quarter of fiscal year 2017, which is denominated in Euros, increases our exposure to foreign currency risk. A five percent variance in foreign currencies in which our international business is conducted would change our income (loss) before income taxes by an insignificant amount for the three and six months ended September 30, 2019 and 2018.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27" w:lineRule="exact"/>
        <w:rPr>
          <w:sz w:val="20"/>
          <w:szCs w:val="20"/>
          <w:color w:val="auto"/>
        </w:rPr>
      </w:pPr>
    </w:p>
    <w:p>
      <w:pPr>
        <w:jc w:val="both"/>
        <w:ind w:right="100" w:firstLine="518"/>
        <w:spacing w:after="0" w:line="245" w:lineRule="auto"/>
        <w:rPr>
          <w:sz w:val="20"/>
          <w:szCs w:val="20"/>
          <w:color w:val="auto"/>
        </w:rPr>
      </w:pPr>
      <w:r>
        <w:rPr>
          <w:rFonts w:ascii="Arial" w:cs="Arial" w:eastAsia="Arial" w:hAnsi="Arial"/>
          <w:sz w:val="18"/>
          <w:szCs w:val="18"/>
          <w:color w:val="auto"/>
        </w:rPr>
        <w:t>As of September 30, 2019, we had a number of foreign currency forward contracts outstanding which are intended to reduce the foreign currency risk for amounts payable to vendors in Euros and Australian dollars. The foreign currency forward contracts with a notional amount of $3.5 million had an insignificant amount of fair value recorded in accrued and other liabilities as of September 30, 2019. If the foreign currency forward rate on these foreign currency forward contracts had changed by 10%, the fair value of these foreign currency forward contracts as of September 30, 2019 would have changed by an insignificant amount.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9" w:lineRule="exact"/>
        <w:rPr>
          <w:sz w:val="20"/>
          <w:szCs w:val="20"/>
          <w:color w:val="auto"/>
        </w:rPr>
      </w:pPr>
    </w:p>
    <w:p>
      <w:pPr>
        <w:ind w:right="40" w:firstLine="518"/>
        <w:spacing w:after="0" w:line="241"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5" w:lineRule="exact"/>
        <w:rPr>
          <w:sz w:val="20"/>
          <w:szCs w:val="20"/>
          <w:color w:val="auto"/>
        </w:rPr>
      </w:pPr>
    </w:p>
    <w:p>
      <w:pPr>
        <w:ind w:right="60" w:firstLine="518"/>
        <w:spacing w:after="0" w:line="24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2019, the end of the period covered by this report. Based upon the foregoing, our Chief Executive Officer and Chief Financial Officer concluded that our disclosure controls and procedures were effective at a reasonable assurance level as of September 30, 2019.</w:t>
      </w:r>
    </w:p>
    <w:p>
      <w:pPr>
        <w:spacing w:after="0" w:line="117" w:lineRule="exact"/>
        <w:rPr>
          <w:sz w:val="20"/>
          <w:szCs w:val="20"/>
          <w:color w:val="auto"/>
        </w:rPr>
      </w:pPr>
    </w:p>
    <w:p>
      <w:pPr>
        <w:ind w:right="560" w:firstLine="518"/>
        <w:spacing w:after="0" w:line="27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5" w:lineRule="exact"/>
        <w:rPr>
          <w:sz w:val="20"/>
          <w:szCs w:val="20"/>
          <w:color w:val="auto"/>
        </w:rPr>
      </w:pPr>
    </w:p>
    <w:p>
      <w:pPr>
        <w:ind w:right="80" w:firstLine="518"/>
        <w:spacing w:after="0" w:line="24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2019,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7"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27"/>
        </w:trPr>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7"/>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9"/>
          </w:tcPr>
          <w:p>
            <w:pPr>
              <w:ind w:left="7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5"/>
                <w:szCs w:val="15"/>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960" w:type="dxa"/>
            <w:vAlign w:val="bottom"/>
          </w:tcPr>
          <w:p>
            <w:pPr>
              <w:ind w:left="220"/>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16"/>
                <w:szCs w:val="16"/>
                <w:color w:val="0000EE"/>
              </w:rPr>
            </w:pPr>
            <w:hyperlink r:id="rId81">
              <w:r>
                <w:rPr>
                  <w:rFonts w:ascii="Arial" w:cs="Arial" w:eastAsia="Arial" w:hAnsi="Arial"/>
                  <w:sz w:val="16"/>
                  <w:szCs w:val="16"/>
                  <w:color w:val="0000EE"/>
                </w:rPr>
                <w:t>Viasat, Inc. Employee Stock Purchase Plan (As Amended</w:t>
              </w:r>
            </w:hyperlink>
          </w:p>
        </w:tc>
        <w:tc>
          <w:tcPr>
            <w:tcW w:w="980" w:type="dxa"/>
            <w:vAlign w:val="bottom"/>
            <w:gridSpan w:val="2"/>
          </w:tcPr>
          <w:p>
            <w:pPr>
              <w:ind w:left="38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ind w:left="43"/>
              <w:spacing w:after="0"/>
              <w:rPr>
                <w:sz w:val="20"/>
                <w:szCs w:val="20"/>
                <w:color w:val="auto"/>
              </w:rPr>
            </w:pPr>
            <w:r>
              <w:rPr>
                <w:rFonts w:ascii="Arial" w:cs="Arial" w:eastAsia="Arial" w:hAnsi="Arial"/>
                <w:sz w:val="16"/>
                <w:szCs w:val="16"/>
                <w:color w:val="auto"/>
              </w:rPr>
              <w:t>000-21767</w:t>
            </w:r>
          </w:p>
        </w:tc>
        <w:tc>
          <w:tcPr>
            <w:tcW w:w="1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Arial" w:cs="Arial" w:eastAsia="Arial" w:hAnsi="Arial"/>
                <w:sz w:val="16"/>
                <w:szCs w:val="16"/>
                <w:color w:val="auto"/>
              </w:rPr>
              <w:t>09/05/2019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4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r:id="rId81">
              <w:r>
                <w:rPr>
                  <w:rFonts w:ascii="Arial" w:cs="Arial" w:eastAsia="Arial" w:hAnsi="Arial"/>
                  <w:sz w:val="16"/>
                  <w:szCs w:val="16"/>
                  <w:color w:val="0000EE"/>
                </w:rPr>
                <w:t>and Restated Effective September 4, 2019)</w:t>
              </w:r>
            </w:hyperlink>
          </w:p>
        </w:tc>
        <w:tc>
          <w:tcPr>
            <w:tcW w:w="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16"/>
                <w:szCs w:val="16"/>
                <w:color w:val="0000EE"/>
              </w:rPr>
            </w:pPr>
            <w:hyperlink r:id="rId82">
              <w:r>
                <w:rPr>
                  <w:rFonts w:ascii="Arial" w:cs="Arial" w:eastAsia="Arial" w:hAnsi="Arial"/>
                  <w:sz w:val="16"/>
                  <w:szCs w:val="16"/>
                  <w:color w:val="0000EE"/>
                </w:rPr>
                <w:t>1996 Equity Participation Plan of Viasat, Inc. (As Amended</w:t>
              </w:r>
            </w:hyperlink>
          </w:p>
        </w:tc>
        <w:tc>
          <w:tcPr>
            <w:tcW w:w="980" w:type="dxa"/>
            <w:vAlign w:val="bottom"/>
            <w:gridSpan w:val="2"/>
          </w:tcPr>
          <w:p>
            <w:pPr>
              <w:ind w:left="380"/>
              <w:spacing w:after="0"/>
              <w:rPr>
                <w:sz w:val="20"/>
                <w:szCs w:val="20"/>
                <w:color w:val="auto"/>
              </w:rPr>
            </w:pPr>
            <w:r>
              <w:rPr>
                <w:rFonts w:ascii="Arial" w:cs="Arial" w:eastAsia="Arial" w:hAnsi="Arial"/>
                <w:sz w:val="16"/>
                <w:szCs w:val="16"/>
                <w:color w:val="auto"/>
              </w:rPr>
              <w:t>8-K</w:t>
            </w:r>
          </w:p>
        </w:tc>
        <w:tc>
          <w:tcPr>
            <w:tcW w:w="1220" w:type="dxa"/>
            <w:vAlign w:val="bottom"/>
          </w:tcPr>
          <w:p>
            <w:pPr>
              <w:jc w:val="center"/>
              <w:ind w:left="43"/>
              <w:spacing w:after="0"/>
              <w:rPr>
                <w:sz w:val="20"/>
                <w:szCs w:val="20"/>
                <w:color w:val="auto"/>
              </w:rPr>
            </w:pPr>
            <w:r>
              <w:rPr>
                <w:rFonts w:ascii="Arial" w:cs="Arial" w:eastAsia="Arial" w:hAnsi="Arial"/>
                <w:sz w:val="16"/>
                <w:szCs w:val="16"/>
                <w:color w:val="auto"/>
              </w:rPr>
              <w:t>000-21767</w:t>
            </w:r>
          </w:p>
        </w:tc>
        <w:tc>
          <w:tcPr>
            <w:tcW w:w="1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Arial" w:cs="Arial" w:eastAsia="Arial" w:hAnsi="Arial"/>
                <w:sz w:val="16"/>
                <w:szCs w:val="16"/>
                <w:color w:val="auto"/>
              </w:rPr>
              <w:t>09/05/2019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r:id="rId82">
              <w:r>
                <w:rPr>
                  <w:rFonts w:ascii="Arial" w:cs="Arial" w:eastAsia="Arial" w:hAnsi="Arial"/>
                  <w:sz w:val="16"/>
                  <w:szCs w:val="16"/>
                  <w:color w:val="0000EE"/>
                </w:rPr>
                <w:t>and Restated Effective September 4, 2019)</w:t>
              </w:r>
            </w:hyperlink>
          </w:p>
        </w:tc>
        <w:tc>
          <w:tcPr>
            <w:tcW w:w="18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Certification of Chief Executive Officer Pursuant to</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Section 302 of the Sarbanes-Oxley Act of 2002</w:t>
              </w:r>
            </w:hyperlink>
          </w:p>
        </w:tc>
        <w:tc>
          <w:tcPr>
            <w:tcW w:w="220" w:type="dxa"/>
            <w:vAlign w:val="bottom"/>
            <w:tcBorders>
              <w:top w:val="single" w:sz="8" w:color="0000EE"/>
            </w:tcBorders>
            <w:gridSpan w:val="2"/>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Certification of Chief Financial Officer Pursuant to</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Section 302 of the Sarbanes-Oxley Act of 2002</w:t>
              </w:r>
            </w:hyperlink>
          </w:p>
        </w:tc>
        <w:tc>
          <w:tcPr>
            <w:tcW w:w="160" w:type="dxa"/>
            <w:vAlign w:val="bottom"/>
            <w:tcBorders>
              <w:top w:val="single" w:sz="8" w:color="0000EE"/>
            </w:tcBorders>
          </w:tcPr>
          <w:p>
            <w:pPr>
              <w:spacing w:after="0"/>
              <w:rPr>
                <w:sz w:val="14"/>
                <w:szCs w:val="14"/>
                <w:color w:val="auto"/>
              </w:rPr>
            </w:pPr>
          </w:p>
        </w:tc>
        <w:tc>
          <w:tcPr>
            <w:tcW w:w="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Certifications Pursuant to 18 U.S.C. Section 1350, as</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80" w:type="dxa"/>
            <w:vAlign w:val="bottom"/>
            <w:gridSpan w:val="11"/>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Adopted Pursuant to Section 906 of the Sarbanes-Oxley</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8"/>
              </w:rPr>
            </w:pPr>
            <w:hyperlink w:anchor="page61">
              <w:r>
                <w:rPr>
                  <w:rFonts w:ascii="Arial" w:cs="Arial" w:eastAsia="Arial" w:hAnsi="Arial"/>
                  <w:sz w:val="16"/>
                  <w:szCs w:val="16"/>
                  <w:color w:val="0000EE"/>
                  <w:w w:val="98"/>
                </w:rPr>
                <w:t>Act of 2002</w:t>
              </w:r>
            </w:hyperlink>
          </w:p>
        </w:tc>
        <w:tc>
          <w:tcPr>
            <w:tcW w:w="3220" w:type="dxa"/>
            <w:vAlign w:val="bottom"/>
            <w:tcBorders>
              <w:top w:val="single" w:sz="8" w:color="0000EE"/>
            </w:tcBorders>
            <w:gridSpan w:val="6"/>
          </w:tcPr>
          <w:p>
            <w:pPr>
              <w:spacing w:after="0"/>
              <w:rPr>
                <w:sz w:val="14"/>
                <w:szCs w:val="14"/>
                <w:color w:val="auto"/>
              </w:rPr>
            </w:pPr>
          </w:p>
        </w:tc>
        <w:tc>
          <w:tcPr>
            <w:tcW w:w="34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960" w:type="dxa"/>
            <w:vAlign w:val="bottom"/>
          </w:tcPr>
          <w:p>
            <w:pPr>
              <w:ind w:left="140"/>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does not appear in the Interactive Data File because its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XBRL tags are embedded within the inline XBRL</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960" w:type="dxa"/>
            <w:vAlign w:val="bottom"/>
          </w:tcPr>
          <w:p>
            <w:pPr>
              <w:ind w:left="140"/>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Labels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95"/>
        </w:trPr>
        <w:tc>
          <w:tcPr>
            <w:tcW w:w="960" w:type="dxa"/>
            <w:vAlign w:val="bottom"/>
          </w:tcPr>
          <w:p>
            <w:pPr>
              <w:ind w:left="140"/>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and contained in Exhibit 101)</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November 8, 2019</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11430</wp:posOffset>
            </wp:positionV>
            <wp:extent cx="35502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ind w:left="582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17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11430</wp:posOffset>
            </wp:positionV>
            <wp:extent cx="35502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Shawn Duffy</w:t>
      </w:r>
    </w:p>
    <w:p>
      <w:pPr>
        <w:ind w:left="58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17"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5"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8"/>
          <w:szCs w:val="18"/>
          <w:color w:val="auto"/>
        </w:rPr>
      </w:pPr>
    </w:p>
    <w:p>
      <w:pPr>
        <w:ind w:left="520" w:right="160" w:hanging="512"/>
        <w:spacing w:after="0" w:line="306"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Arial" w:cs="Arial" w:eastAsia="Arial" w:hAnsi="Arial"/>
          <w:sz w:val="17"/>
          <w:szCs w:val="17"/>
          <w:color w:val="auto"/>
        </w:rPr>
      </w:pPr>
    </w:p>
    <w:p>
      <w:pPr>
        <w:ind w:left="520" w:right="120" w:hanging="512"/>
        <w:spacing w:after="0" w:line="24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81" w:lineRule="exact"/>
        <w:rPr>
          <w:rFonts w:ascii="Arial" w:cs="Arial" w:eastAsia="Arial" w:hAnsi="Arial"/>
          <w:sz w:val="18"/>
          <w:szCs w:val="18"/>
          <w:color w:val="auto"/>
        </w:rPr>
      </w:pPr>
    </w:p>
    <w:p>
      <w:pPr>
        <w:jc w:val="both"/>
        <w:ind w:left="1040" w:right="100" w:hanging="519"/>
        <w:spacing w:after="0" w:line="255"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8"/>
          <w:szCs w:val="18"/>
          <w:color w:val="auto"/>
        </w:rPr>
      </w:pPr>
    </w:p>
    <w:p>
      <w:pPr>
        <w:ind w:left="1040" w:right="440" w:hanging="519"/>
        <w:spacing w:after="0" w:line="255"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8"/>
          <w:szCs w:val="18"/>
          <w:color w:val="auto"/>
        </w:rPr>
      </w:pPr>
    </w:p>
    <w:p>
      <w:pPr>
        <w:ind w:left="1040" w:hanging="519"/>
        <w:spacing w:after="0" w:line="255"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8"/>
          <w:szCs w:val="18"/>
          <w:color w:val="auto"/>
        </w:rPr>
      </w:pPr>
    </w:p>
    <w:p>
      <w:pPr>
        <w:ind w:left="1040" w:right="180" w:hanging="519"/>
        <w:spacing w:after="0" w:line="255"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8"/>
          <w:szCs w:val="18"/>
          <w:color w:val="auto"/>
        </w:rPr>
      </w:pPr>
    </w:p>
    <w:p>
      <w:pPr>
        <w:ind w:left="520" w:right="120" w:hanging="512"/>
        <w:spacing w:after="0" w:line="255"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8"/>
          <w:szCs w:val="18"/>
          <w:color w:val="auto"/>
        </w:rPr>
      </w:pPr>
    </w:p>
    <w:p>
      <w:pPr>
        <w:ind w:left="1040" w:right="60" w:hanging="519"/>
        <w:spacing w:after="0" w:line="276"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1040" w:right="300" w:hanging="519"/>
        <w:spacing w:after="0" w:line="276"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20320</wp:posOffset>
            </wp:positionV>
            <wp:extent cx="28213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CERTIFICATION OF CHIEF FINANCIAL OFFICER PURSUANT</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5"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8"/>
          <w:szCs w:val="18"/>
          <w:color w:val="auto"/>
        </w:rPr>
      </w:pPr>
    </w:p>
    <w:p>
      <w:pPr>
        <w:ind w:left="520" w:right="160" w:hanging="512"/>
        <w:spacing w:after="0" w:line="306"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Arial" w:cs="Arial" w:eastAsia="Arial" w:hAnsi="Arial"/>
          <w:sz w:val="17"/>
          <w:szCs w:val="17"/>
          <w:color w:val="auto"/>
        </w:rPr>
      </w:pPr>
    </w:p>
    <w:p>
      <w:pPr>
        <w:ind w:left="520" w:right="120" w:hanging="512"/>
        <w:spacing w:after="0" w:line="24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81" w:lineRule="exact"/>
        <w:rPr>
          <w:rFonts w:ascii="Arial" w:cs="Arial" w:eastAsia="Arial" w:hAnsi="Arial"/>
          <w:sz w:val="18"/>
          <w:szCs w:val="18"/>
          <w:color w:val="auto"/>
        </w:rPr>
      </w:pPr>
    </w:p>
    <w:p>
      <w:pPr>
        <w:jc w:val="both"/>
        <w:ind w:left="1040" w:right="10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8"/>
          <w:szCs w:val="18"/>
          <w:color w:val="auto"/>
        </w:rPr>
      </w:pPr>
    </w:p>
    <w:p>
      <w:pPr>
        <w:ind w:left="1040" w:right="44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8"/>
          <w:szCs w:val="18"/>
          <w:color w:val="auto"/>
        </w:rPr>
      </w:pPr>
    </w:p>
    <w:p>
      <w:pPr>
        <w:ind w:left="104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8"/>
          <w:szCs w:val="18"/>
          <w:color w:val="auto"/>
        </w:rPr>
      </w:pPr>
    </w:p>
    <w:p>
      <w:pPr>
        <w:ind w:left="1040" w:right="18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8"/>
          <w:szCs w:val="18"/>
          <w:color w:val="auto"/>
        </w:rPr>
      </w:pPr>
    </w:p>
    <w:p>
      <w:pPr>
        <w:ind w:left="520" w:right="120" w:hanging="512"/>
        <w:spacing w:after="0" w:line="255"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8"/>
          <w:szCs w:val="18"/>
          <w:color w:val="auto"/>
        </w:rPr>
      </w:pPr>
    </w:p>
    <w:p>
      <w:pPr>
        <w:ind w:left="1040" w:right="60" w:hanging="519"/>
        <w:spacing w:after="0" w:line="27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1040" w:right="300" w:hanging="519"/>
        <w:spacing w:after="0" w:line="27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20320</wp:posOffset>
            </wp:positionV>
            <wp:extent cx="28213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2" w:lineRule="exact"/>
        <w:rPr>
          <w:sz w:val="20"/>
          <w:szCs w:val="20"/>
          <w:color w:val="auto"/>
        </w:rPr>
      </w:pPr>
    </w:p>
    <w:p>
      <w:pPr>
        <w:ind w:left="1040" w:right="220" w:hanging="519"/>
        <w:spacing w:after="0" w:line="255"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2019 (the “Report”) fully complies with the requirements of Section 13(a) or Section 15(d), as applicable, of the Securities Exchange Act of 1934, as amended; and</w:t>
      </w:r>
    </w:p>
    <w:p>
      <w:pPr>
        <w:spacing w:after="0" w:line="56" w:lineRule="exact"/>
        <w:rPr>
          <w:rFonts w:ascii="Arial" w:cs="Arial" w:eastAsia="Arial" w:hAnsi="Arial"/>
          <w:sz w:val="18"/>
          <w:szCs w:val="18"/>
          <w:color w:val="auto"/>
        </w:rPr>
      </w:pPr>
    </w:p>
    <w:p>
      <w:pPr>
        <w:ind w:left="1040" w:right="160" w:hanging="519"/>
        <w:spacing w:after="0" w:line="27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20320</wp:posOffset>
            </wp:positionV>
            <wp:extent cx="28213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2" w:lineRule="exact"/>
        <w:rPr>
          <w:sz w:val="20"/>
          <w:szCs w:val="20"/>
          <w:color w:val="auto"/>
        </w:rPr>
      </w:pPr>
    </w:p>
    <w:p>
      <w:pPr>
        <w:ind w:left="1040" w:right="220" w:hanging="519"/>
        <w:spacing w:after="0" w:line="255"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2019 (the “Report”) fully complies with the requirements of Section 13(a) or Section 15(d), as applicable, of the Securities Exchange Act of 1934, as amended; and</w:t>
      </w:r>
    </w:p>
    <w:p>
      <w:pPr>
        <w:spacing w:after="0" w:line="56" w:lineRule="exact"/>
        <w:rPr>
          <w:rFonts w:ascii="Arial" w:cs="Arial" w:eastAsia="Arial" w:hAnsi="Arial"/>
          <w:sz w:val="18"/>
          <w:szCs w:val="18"/>
          <w:color w:val="auto"/>
        </w:rPr>
      </w:pPr>
    </w:p>
    <w:p>
      <w:pPr>
        <w:ind w:left="1040" w:right="160" w:hanging="519"/>
        <w:spacing w:after="0" w:line="27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20320</wp:posOffset>
            </wp:positionV>
            <wp:extent cx="28213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81" Type="http://schemas.openxmlformats.org/officeDocument/2006/relationships/hyperlink" Target="http://www.sec.gov/Archives/edgar/data/797721/000119312519238906/d795912dex101.htm" TargetMode="External"/><Relationship Id="rId82" Type="http://schemas.openxmlformats.org/officeDocument/2006/relationships/hyperlink" Target="http://www.sec.gov/Archives/edgar/data/797721/000119312519238906/d79591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2019-12-28T01:42:42Z</dcterms:created>
  <dcterms:modified xsi:type="dcterms:W3CDTF">2019-12-28T01:42:42Z</dcterms:modified>
</cp:coreProperties>
</file>